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Tables</w:t>
      </w:r>
    </w:p>
    <w:p>
      <w:pPr>
        <w:spacing w:after="0"/>
      </w:pPr>
    </w:p>
    <w:p>
      <w:pPr>
        <w:spacing w:after="100" w:befor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1.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Descriptive statistics by evaluator and text genre (0–100 scale).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5"/>
        <w:gridCol w:w="985"/>
        <w:gridCol w:w="985"/>
        <w:gridCol w:w="985"/>
        <w:gridCol w:w="985"/>
        <w:gridCol w:w="985"/>
        <w:gridCol w:w="985"/>
        <w:gridCol w:w="1051"/>
      </w:tblGrid>
      <w:tr>
        <w:tc>
          <w:tcPr>
            <w:tcW w:type="dxa" w:w="206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Evaluator</w:t>
            </w:r>
          </w:p>
        </w:tc>
        <w:tc>
          <w:tcPr>
            <w:tcW w:type="dxa" w:w="1970"/>
            <w:gridSpan w:val="2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Folktale</w:t>
            </w:r>
          </w:p>
        </w:tc>
        <w:tc>
          <w:tcPr>
            <w:tcW w:type="dxa" w:w="1970"/>
            <w:gridSpan w:val="2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Poetry</w:t>
            </w:r>
          </w:p>
        </w:tc>
        <w:tc>
          <w:tcPr>
            <w:tcW w:type="dxa" w:w="1970"/>
            <w:gridSpan w:val="2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Biography</w:t>
            </w:r>
          </w:p>
        </w:tc>
        <w:tc>
          <w:tcPr>
            <w:tcW w:type="dxa" w:w="1051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Overall M</w:t>
            </w:r>
          </w:p>
        </w:tc>
      </w:tr>
      <w:tr>
        <w:tc>
          <w:tcPr>
            <w:tcW w:type="dxa" w:w="20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M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SD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M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SD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M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SD</w:t>
            </w:r>
          </w:p>
        </w:tc>
        <w:tc>
          <w:tcPr>
            <w:tcW w:type="dxa" w:w="105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206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98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72.3</w:t>
            </w:r>
          </w:p>
        </w:tc>
        <w:tc>
          <w:tcPr>
            <w:tcW w:type="dxa" w:w="98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8.4</w:t>
            </w:r>
          </w:p>
        </w:tc>
        <w:tc>
          <w:tcPr>
            <w:tcW w:type="dxa" w:w="98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68.7</w:t>
            </w:r>
          </w:p>
        </w:tc>
        <w:tc>
          <w:tcPr>
            <w:tcW w:type="dxa" w:w="98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9.1</w:t>
            </w:r>
          </w:p>
        </w:tc>
        <w:tc>
          <w:tcPr>
            <w:tcW w:type="dxa" w:w="98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74.6</w:t>
            </w:r>
          </w:p>
        </w:tc>
        <w:tc>
          <w:tcPr>
            <w:tcW w:type="dxa" w:w="98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7.8</w:t>
            </w:r>
          </w:p>
        </w:tc>
        <w:tc>
          <w:tcPr>
            <w:tcW w:type="dxa" w:w="1051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71.9</w:t>
            </w:r>
          </w:p>
        </w:tc>
      </w:tr>
      <w:tr>
        <w:tc>
          <w:tcPr>
            <w:tcW w:type="dxa" w:w="20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ChatGPT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70.8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7.9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71.4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8.6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72.1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8.2</w:t>
            </w:r>
          </w:p>
        </w:tc>
        <w:tc>
          <w:tcPr>
            <w:tcW w:type="dxa" w:w="105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71.4</w:t>
            </w:r>
          </w:p>
        </w:tc>
      </w:tr>
      <w:tr>
        <w:tc>
          <w:tcPr>
            <w:tcW w:type="dxa" w:w="20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Gemini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69.5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8.2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70.1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9.0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71.3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7.9</w:t>
            </w:r>
          </w:p>
        </w:tc>
        <w:tc>
          <w:tcPr>
            <w:tcW w:type="dxa" w:w="105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70.3</w:t>
            </w:r>
          </w:p>
        </w:tc>
      </w:tr>
      <w:tr>
        <w:tc>
          <w:tcPr>
            <w:tcW w:type="dxa" w:w="206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Grok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68.7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8.8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69.3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9.4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70.4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8.5</w:t>
            </w:r>
          </w:p>
        </w:tc>
        <w:tc>
          <w:tcPr>
            <w:tcW w:type="dxa" w:w="105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69.5</w:t>
            </w:r>
          </w:p>
        </w:tc>
      </w:tr>
      <w:tr>
        <w:tc>
          <w:tcPr>
            <w:tcW w:type="dxa" w:w="206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Minimax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67.2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9.1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68.0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9.8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69.7</w:t>
            </w:r>
          </w:p>
        </w:tc>
        <w:tc>
          <w:tcPr>
            <w:tcW w:type="dxa" w:w="98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8.9</w:t>
            </w:r>
          </w:p>
        </w:tc>
        <w:tc>
          <w:tcPr>
            <w:tcW w:type="dxa" w:w="1051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68.3</w:t>
            </w:r>
          </w:p>
        </w:tc>
      </w:tr>
    </w:tbl>
    <w:p>
      <w:pPr>
        <w:spacing w:after="0" w:before="8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Note.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All scores are on a 0–100 scale. Teacher scores represent the mean of two independent raters. M = mean; SD = standard deviation.</w:t>
      </w:r>
    </w:p>
    <w:p>
      <w:pPr>
        <w:spacing w:after="0"/>
      </w:pPr>
    </w:p>
    <w:p>
      <w:pPr>
        <w:spacing w:after="0"/>
      </w:pPr>
    </w:p>
    <w:p>
      <w:pPr>
        <w:spacing w:after="100" w:befor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2.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Pearson correlation matrix across all evaluator pairs.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445"/>
        <w:gridCol w:w="1445"/>
        <w:gridCol w:w="1445"/>
        <w:gridCol w:w="1445"/>
        <w:gridCol w:w="1446"/>
      </w:tblGrid>
      <w:tr>
        <w:tc>
          <w:tcPr>
            <w:tcW w:type="dxa" w:w="18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Evaluator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Teacher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ChatGPT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Gemini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Grok</w:t>
            </w:r>
          </w:p>
        </w:tc>
        <w:tc>
          <w:tcPr>
            <w:tcW w:type="dxa" w:w="144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Minimax</w:t>
            </w:r>
          </w:p>
        </w:tc>
      </w:tr>
      <w:tr>
        <w:tc>
          <w:tcPr>
            <w:tcW w:type="dxa" w:w="18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—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.82**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.79**</w:t>
            </w:r>
          </w:p>
        </w:tc>
        <w:tc>
          <w:tcPr>
            <w:tcW w:type="dxa" w:w="1445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.76**</w:t>
            </w:r>
          </w:p>
        </w:tc>
        <w:tc>
          <w:tcPr>
            <w:tcW w:type="dxa" w:w="144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.74**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ChatGPT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—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.88**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.85**</w:t>
            </w:r>
          </w:p>
        </w:tc>
        <w:tc>
          <w:tcPr>
            <w:tcW w:type="dxa" w:w="14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.83**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Gemini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—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.87**</w:t>
            </w:r>
          </w:p>
        </w:tc>
        <w:tc>
          <w:tcPr>
            <w:tcW w:type="dxa" w:w="14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.84**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Grok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—</w:t>
            </w:r>
          </w:p>
        </w:tc>
        <w:tc>
          <w:tcPr>
            <w:tcW w:type="dxa" w:w="14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.86**</w:t>
            </w:r>
          </w:p>
        </w:tc>
      </w:tr>
      <w:tr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Minimax</w:t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5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44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—</w:t>
            </w:r>
          </w:p>
        </w:tc>
      </w:tr>
    </w:tbl>
    <w:p>
      <w:pPr>
        <w:spacing w:after="0" w:before="8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Note.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All correlations are significant at p &lt; .01. **p &lt; .01. Dashes indicate self-correlations.</w:t>
      </w:r>
    </w:p>
    <w:p>
      <w:pPr>
        <w:spacing w:after="0"/>
      </w:pPr>
    </w:p>
    <w:p>
      <w:pPr>
        <w:spacing w:after="0"/>
      </w:pPr>
    </w:p>
    <w:p>
      <w:pPr>
        <w:spacing w:after="100" w:befor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3.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Mixed-design ANOVA results for evaluator type and text genre effects on total scores.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300"/>
        <w:gridCol w:w="800"/>
        <w:gridCol w:w="1300"/>
        <w:gridCol w:w="1300"/>
        <w:gridCol w:w="1100"/>
        <w:gridCol w:w="1026"/>
      </w:tblGrid>
      <w:tr>
        <w:tc>
          <w:tcPr>
            <w:tcW w:type="dxa" w:w="22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Source</w:t>
            </w:r>
          </w:p>
        </w:tc>
        <w:tc>
          <w:tcPr>
            <w:tcW w:type="dxa" w:w="13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SS</w:t>
            </w:r>
          </w:p>
        </w:tc>
        <w:tc>
          <w:tcPr>
            <w:tcW w:type="dxa" w:w="8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df</w:t>
            </w:r>
          </w:p>
        </w:tc>
        <w:tc>
          <w:tcPr>
            <w:tcW w:type="dxa" w:w="13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MS</w:t>
            </w:r>
          </w:p>
        </w:tc>
        <w:tc>
          <w:tcPr>
            <w:tcW w:type="dxa" w:w="13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F</w:t>
            </w:r>
          </w:p>
        </w:tc>
        <w:tc>
          <w:tcPr>
            <w:tcW w:type="dxa" w:w="1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p</w:t>
            </w:r>
          </w:p>
        </w:tc>
        <w:tc>
          <w:tcPr>
            <w:tcW w:type="dxa" w:w="102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2"/>
                <w:szCs w:val="22"/>
              </w:rPr>
              <w:t xml:space="preserve">η²</w:t>
            </w:r>
          </w:p>
        </w:tc>
      </w:tr>
      <w:tr>
        <w:tc>
          <w:tcPr>
            <w:tcW w:type="dxa" w:w="22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Evaluator type</w:t>
            </w:r>
          </w:p>
        </w:tc>
        <w:tc>
          <w:tcPr>
            <w:tcW w:type="dxa" w:w="13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312.4</w:t>
            </w:r>
          </w:p>
        </w:tc>
        <w:tc>
          <w:tcPr>
            <w:tcW w:type="dxa" w:w="8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4</w:t>
            </w:r>
          </w:p>
        </w:tc>
        <w:tc>
          <w:tcPr>
            <w:tcW w:type="dxa" w:w="13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78.1</w:t>
            </w:r>
          </w:p>
        </w:tc>
        <w:tc>
          <w:tcPr>
            <w:tcW w:type="dxa" w:w="13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14.23</w:t>
            </w:r>
          </w:p>
        </w:tc>
        <w:tc>
          <w:tcPr>
            <w:tcW w:type="dxa" w:w="1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&lt; .001</w:t>
            </w:r>
          </w:p>
        </w:tc>
        <w:tc>
          <w:tcPr>
            <w:tcW w:type="dxa" w:w="102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.11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Text genre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88.7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44.4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8.09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&lt; .001</w:t>
            </w:r>
          </w:p>
        </w:tc>
        <w:tc>
          <w:tcPr>
            <w:tcW w:type="dxa" w:w="1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.06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Evaluator × Genre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24.6</w:t>
            </w:r>
          </w:p>
        </w:tc>
        <w:tc>
          <w:tcPr>
            <w:tcW w:type="dxa" w:w="8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3.1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0.56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.810</w:t>
            </w:r>
          </w:p>
        </w:tc>
        <w:tc>
          <w:tcPr>
            <w:tcW w:type="dxa" w:w="102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.01</w:t>
            </w:r>
          </w:p>
        </w:tc>
      </w:tr>
    </w:tbl>
    <w:p>
      <w:pPr>
        <w:spacing w:after="0" w:before="8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Note.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SS = sum of squares; df = degrees of freedom; MS = mean square; η² = eta-squared (effect size). Effect size benchmarks: .01 = small, .06 = medium, .14 = large (Cohen, 1988). The evaluator × genre interaction was non-significant.</w:t>
      </w:r>
    </w:p>
    <w:p>
      <w:pPr>
        <w:spacing w:after="0"/>
      </w:pPr>
    </w:p>
    <w:p>
      <w:pPr>
        <w:spacing w:after="0"/>
      </w:pPr>
    </w:p>
    <w:p>
      <w:pPr>
        <w:spacing w:after="100" w:befor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4.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Tukey HSD post hoc pairwise comparisons between evaluator groups.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2100"/>
        <w:gridCol w:w="1600"/>
        <w:gridCol w:w="1100"/>
        <w:gridCol w:w="2126"/>
      </w:tblGrid>
      <w:tr>
        <w:tc>
          <w:tcPr>
            <w:tcW w:type="dxa" w:w="2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Evaluator (I)</w:t>
            </w:r>
          </w:p>
        </w:tc>
        <w:tc>
          <w:tcPr>
            <w:tcW w:type="dxa" w:w="2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Evaluator (J)</w:t>
            </w:r>
          </w:p>
        </w:tc>
        <w:tc>
          <w:tcPr>
            <w:tcW w:type="dxa" w:w="16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 Difference</w:t>
            </w:r>
          </w:p>
        </w:tc>
        <w:tc>
          <w:tcPr>
            <w:tcW w:type="dxa" w:w="1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p</w:t>
            </w:r>
          </w:p>
        </w:tc>
        <w:tc>
          <w:tcPr>
            <w:tcW w:type="dxa" w:w="212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Cohen’s d</w:t>
            </w:r>
          </w:p>
        </w:tc>
      </w:tr>
      <w:tr>
        <w:tc>
          <w:tcPr>
            <w:tcW w:type="dxa" w:w="2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2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ChatGPT</w:t>
            </w:r>
          </w:p>
        </w:tc>
        <w:tc>
          <w:tcPr>
            <w:tcW w:type="dxa" w:w="16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+0.50</w:t>
            </w:r>
          </w:p>
        </w:tc>
        <w:tc>
          <w:tcPr>
            <w:tcW w:type="dxa" w:w="11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.723</w:t>
            </w:r>
          </w:p>
        </w:tc>
        <w:tc>
          <w:tcPr>
            <w:tcW w:type="dxa" w:w="212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0.06</w:t>
            </w:r>
          </w:p>
        </w:tc>
      </w:tr>
      <w:t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Gemini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+1.60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.041*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0.19</w:t>
            </w:r>
          </w:p>
        </w:tc>
      </w:tr>
      <w:t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Grok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+2.40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.003**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0.27</w:t>
            </w:r>
          </w:p>
        </w:tc>
      </w:tr>
      <w:t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Minimax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+3.60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&lt; .001***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0.40</w:t>
            </w:r>
          </w:p>
        </w:tc>
      </w:tr>
      <w:t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ChatGPT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Minimax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+3.10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&lt; .001***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0.34</w:t>
            </w:r>
          </w:p>
        </w:tc>
      </w:tr>
      <w:tr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Gemini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Grok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+0.80</w:t>
            </w:r>
          </w:p>
        </w:tc>
        <w:tc>
          <w:tcPr>
            <w:tcW w:type="dxa" w:w="11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.612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0.09</w:t>
            </w:r>
          </w:p>
        </w:tc>
      </w:tr>
    </w:tbl>
    <w:p>
      <w:pPr>
        <w:spacing w:after="0" w:before="8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Note.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 Difference = mean score of Evaluator I minus mean score of Evaluator J. Cohen’s d = effect size: 0.20 = small, 0.50 = medium, 0.80 = large (Cohen, 1988). Only theoretically meaningful pairwise contrasts are presented. *p &lt; .05. **p &lt; .01. ***p &lt; .001.</w:t>
      </w:r>
    </w:p>
    <w:p>
      <w:pPr>
        <w:spacing w:after="0"/>
      </w:pPr>
    </w:p>
    <w:p>
      <w:pPr>
        <w:spacing w:after="0"/>
      </w:pPr>
    </w:p>
    <w:p>
      <w:pPr>
        <w:spacing w:after="100" w:before="3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5.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Independent-samples t-test results for gender differences by evaluator.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50"/>
        <w:gridCol w:w="1150"/>
        <w:gridCol w:w="1150"/>
        <w:gridCol w:w="1150"/>
        <w:gridCol w:w="1150"/>
        <w:gridCol w:w="1000"/>
        <w:gridCol w:w="900"/>
        <w:gridCol w:w="576"/>
      </w:tblGrid>
      <w:tr>
        <w:tc>
          <w:tcPr>
            <w:tcW w:type="dxa" w:w="195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Evaluator</w:t>
            </w:r>
          </w:p>
        </w:tc>
        <w:tc>
          <w:tcPr>
            <w:tcW w:type="dxa" w:w="2300"/>
            <w:gridSpan w:val="2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Female</w:t>
            </w:r>
          </w:p>
        </w:tc>
        <w:tc>
          <w:tcPr>
            <w:tcW w:type="dxa" w:w="2300"/>
            <w:gridSpan w:val="2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Male</w:t>
            </w:r>
          </w:p>
        </w:tc>
        <w:tc>
          <w:tcPr>
            <w:tcW w:type="dxa" w:w="10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t</w:t>
            </w:r>
          </w:p>
        </w:tc>
        <w:tc>
          <w:tcPr>
            <w:tcW w:type="dxa" w:w="9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p</w:t>
            </w:r>
          </w:p>
        </w:tc>
        <w:tc>
          <w:tcPr>
            <w:tcW w:type="dxa" w:w="57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Cohen’s d</w:t>
            </w:r>
          </w:p>
        </w:tc>
      </w:tr>
      <w:tr>
        <w:tc>
          <w:tcPr>
            <w:tcW w:type="dxa" w:w="1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M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SD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M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/>
                <w:iCs/>
                <w:sz w:val="22"/>
                <w:szCs w:val="22"/>
              </w:rPr>
              <w:t xml:space="preserve">SD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  <w:tc>
          <w:tcPr>
            <w:tcW w:type="dxa" w:w="5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195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Teacher</w:t>
            </w:r>
          </w:p>
        </w:tc>
        <w:tc>
          <w:tcPr>
            <w:tcW w:type="dxa" w:w="115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73.8</w:t>
            </w:r>
          </w:p>
        </w:tc>
        <w:tc>
          <w:tcPr>
            <w:tcW w:type="dxa" w:w="115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7.9</w:t>
            </w:r>
          </w:p>
        </w:tc>
        <w:tc>
          <w:tcPr>
            <w:tcW w:type="dxa" w:w="115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69.9</w:t>
            </w:r>
          </w:p>
        </w:tc>
        <w:tc>
          <w:tcPr>
            <w:tcW w:type="dxa" w:w="115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8.9</w:t>
            </w:r>
          </w:p>
        </w:tc>
        <w:tc>
          <w:tcPr>
            <w:tcW w:type="dxa" w:w="10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2.67</w:t>
            </w:r>
          </w:p>
        </w:tc>
        <w:tc>
          <w:tcPr>
            <w:tcW w:type="dxa" w:w="900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.009**</w:t>
            </w:r>
          </w:p>
        </w:tc>
        <w:tc>
          <w:tcPr>
            <w:tcW w:type="dxa" w:w="576"/>
            <w:tcBorders>
              <w:top w:val="single" w:color="000000" w:sz="6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0.47</w:t>
            </w:r>
          </w:p>
        </w:tc>
      </w:tr>
      <w:tr>
        <w:tc>
          <w:tcPr>
            <w:tcW w:type="dxa" w:w="1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ChatGPT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72.1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7.4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70.6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8.4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1.11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.269</w:t>
            </w:r>
          </w:p>
        </w:tc>
        <w:tc>
          <w:tcPr>
            <w:tcW w:type="dxa" w:w="5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0.19</w:t>
            </w:r>
          </w:p>
        </w:tc>
      </w:tr>
      <w:tr>
        <w:tc>
          <w:tcPr>
            <w:tcW w:type="dxa" w:w="1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Gemini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70.8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7.8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69.7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8.7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0.78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.437</w:t>
            </w:r>
          </w:p>
        </w:tc>
        <w:tc>
          <w:tcPr>
            <w:tcW w:type="dxa" w:w="5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0.13</w:t>
            </w:r>
          </w:p>
        </w:tc>
      </w:tr>
      <w:tr>
        <w:tc>
          <w:tcPr>
            <w:tcW w:type="dxa" w:w="19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Grok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69.9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8.3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69.0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9.3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0.60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.549</w:t>
            </w:r>
          </w:p>
        </w:tc>
        <w:tc>
          <w:tcPr>
            <w:tcW w:type="dxa" w:w="57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0.10</w:t>
            </w:r>
          </w:p>
        </w:tc>
      </w:tr>
      <w:tr>
        <w:tc>
          <w:tcPr>
            <w:tcW w:type="dxa" w:w="195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Minimax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68.4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8.8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68.1</w:t>
            </w:r>
          </w:p>
        </w:tc>
        <w:tc>
          <w:tcPr>
            <w:tcW w:type="dxa" w:w="115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9.5</w:t>
            </w:r>
          </w:p>
        </w:tc>
        <w:tc>
          <w:tcPr>
            <w:tcW w:type="dxa" w:w="10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0.19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.850</w:t>
            </w:r>
          </w:p>
        </w:tc>
        <w:tc>
          <w:tcPr>
            <w:tcW w:type="dxa" w:w="576"/>
            <w:tcBorders>
              <w:top w:val="none" w:color="FFFFFF" w:sz="0"/>
              <w:left w:val="none" w:color="FFFFFF" w:sz="0"/>
              <w:bottom w:val="single" w:color="000000" w:sz="6"/>
              <w:right w:val="none" w:color="FFFFFF" w:sz="0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center"/>
            </w:pPr>
            <w:r>
              <w:rPr>
                <w:rFonts w:ascii="Times New Roman" w:cs="Times New Roman" w:eastAsia="Times New Roman" w:hAnsi="Times New Roman"/>
                <w:sz w:val="22"/>
                <w:szCs w:val="22"/>
              </w:rPr>
              <w:t xml:space="preserve">0.03</w:t>
            </w:r>
          </w:p>
        </w:tc>
      </w:tr>
    </w:tbl>
    <w:p>
      <w:pPr>
        <w:spacing w:after="0" w:before="80"/>
      </w:pPr>
      <w:r>
        <w:rPr>
          <w:rFonts w:ascii="Times New Roman" w:cs="Times New Roman" w:eastAsia="Times New Roman" w:hAnsi="Times New Roman"/>
          <w:i/>
          <w:iCs/>
          <w:sz w:val="20"/>
          <w:szCs w:val="20"/>
        </w:rPr>
        <w:t xml:space="preserve">Note. 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M = mean; SD = standard deviation. Cohen’s d effect size classification: &lt; 0.20 = negligible, 0.20–0.49 = small, 0.50–0.79 = medium (Cohen, 1988). **p &lt; .01.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Times New Roman" w:cs="Times New Roman" w:eastAsia="Times New Roman" w:hAnsi="Times New Roman"/>
        <w:sz w:val="22"/>
        <w:szCs w:val="22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2026-04-18T19:13:54.999Z</dcterms:created>
  <dcterms:modified xsi:type="dcterms:W3CDTF">2026-04-18T19:13:54.999Z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