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315B" w14:textId="77777777" w:rsidR="0058622D" w:rsidRDefault="0058622D" w:rsidP="0058622D">
      <w:pPr>
        <w:pStyle w:val="TableCaption"/>
        <w:spacing w:before="60" w:after="60"/>
        <w:ind w:right="62"/>
        <w:jc w:val="left"/>
        <w:rPr>
          <w:rFonts w:ascii="Times New Roman" w:eastAsia="Arial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i w:val="0"/>
          <w:iCs/>
          <w:sz w:val="24"/>
          <w:szCs w:val="24"/>
        </w:rPr>
        <w:t>STROBE Checklist</w:t>
      </w:r>
    </w:p>
    <w:p w14:paraId="2BC65C2F" w14:textId="77777777" w:rsidR="0058622D" w:rsidRDefault="0058622D" w:rsidP="0058622D">
      <w:pPr>
        <w:pStyle w:val="TableCaption"/>
        <w:spacing w:before="60"/>
        <w:ind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i w:val="0"/>
          <w:iCs/>
          <w:sz w:val="24"/>
          <w:szCs w:val="24"/>
        </w:rPr>
        <w:t>Strengthening the Reporting of Observational Studies in Epidemiology (von Elm et al., J Clin Epidemiol 2008;61:344–349).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1830"/>
        <w:gridCol w:w="3274"/>
        <w:gridCol w:w="3532"/>
      </w:tblGrid>
      <w:tr w:rsidR="0058622D" w14:paraId="2A9FE37A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CB2EB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both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4CD2DA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both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Topic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E5D387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both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STROBE recommendation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94BC3B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both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Reported location</w:t>
            </w:r>
          </w:p>
        </w:tc>
      </w:tr>
      <w:tr w:rsidR="0058622D" w14:paraId="54798E25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E6884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107C8A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Title and abstract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AA01A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0EC3C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23FBBEBB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4F0E0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D96A7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Title/abstract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CD7691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Indicate the study design with a commonly used term in the title or abstract.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EE6B6B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Title: "target trial emulation"; Abstract: "target trial emulation"</w:t>
            </w:r>
          </w:p>
        </w:tc>
      </w:tr>
      <w:tr w:rsidR="0058622D" w14:paraId="0D404D0F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BD0CD5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6298C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8B4AF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Provide an informative and balanced summary of what was done and what was found.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BC8465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Abstract: Purpose, Methods, Results, Conclusions</w:t>
            </w:r>
          </w:p>
        </w:tc>
      </w:tr>
      <w:tr w:rsidR="0058622D" w14:paraId="09F0FD23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D8E1C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95BA63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04EBC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D693C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3948D84C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2BDD2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CF751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Background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CC948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Explain the scientific background and rationale for the investigation.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69F0D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Introduction, paragraphs 1–3</w:t>
            </w:r>
          </w:p>
        </w:tc>
      </w:tr>
      <w:tr w:rsidR="0058622D" w14:paraId="33DB37F7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A9EA8F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3C3C40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Objectives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844D76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State specific objectives, including any prespecified hypotheses.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4094CF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Introduction, paragraph 3: comparing ultra-early vs early VP initiation timing</w:t>
            </w:r>
          </w:p>
        </w:tc>
      </w:tr>
      <w:tr w:rsidR="0058622D" w14:paraId="222AB24F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FEBF1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6F5D6A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39BEA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55019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2313F27B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0739D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F43EA3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Study design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7C2CE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Present key elements of study design early in the paper.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5D337E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Study design: target trial emulation with clone-censor-weight approach</w:t>
            </w:r>
          </w:p>
        </w:tc>
      </w:tr>
      <w:tr w:rsidR="0058622D" w14:paraId="718D3AC7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F4A2B8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75BC6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Setting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EC8AE4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the setting, locations, and relevant dates.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D1C55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Methods, Data sources: MIMIC-IV (2008–2022, Boston, US); 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eICU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-CRD (2014–2015, multi-center US)</w:t>
            </w:r>
          </w:p>
        </w:tc>
      </w:tr>
      <w:tr w:rsidR="0058622D" w14:paraId="560D9818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14D4C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433090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Participants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EEBA6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the eligibility criteria, and the sources and methods of selection of participants.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72896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Eligibility criteria: adults with septic shock, NE-equivalent ≥0.25 µg/kg/min, no prior VP; follow-up to day 28</w:t>
            </w:r>
          </w:p>
        </w:tc>
      </w:tr>
      <w:tr w:rsidR="0058622D" w14:paraId="4FC178A6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290B79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E02B1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6E3032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For matched studies, give matching criteria and number of exposed and unexposed.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FBCBA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N/A (clone-censor-weight design; cloning described in Statistical analysis)</w:t>
            </w:r>
          </w:p>
        </w:tc>
      </w:tr>
      <w:tr w:rsidR="0058622D" w14:paraId="29D07F39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C3E591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EED7B1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Variables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97D4C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Define all outcomes, exposures, predictors, potential confounders, and effect modifiers.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6C9E12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Methods, Outcomes (primary: 28-day mortality; 6 secondary); Covariates (full list); </w:t>
            </w:r>
            <w:r>
              <w:rPr>
                <w:rFonts w:ascii="Times New Roman" w:eastAsia="Arial" w:hAnsi="Times New Roman" w:cs="Times New Roman"/>
                <w:b w:val="0"/>
                <w:bCs/>
                <w:i w:val="0"/>
                <w:iCs/>
                <w:sz w:val="24"/>
                <w:szCs w:val="24"/>
                <w:lang w:eastAsia="en-US"/>
              </w:rPr>
              <w:t>Online Resource 3</w:t>
            </w:r>
          </w:p>
        </w:tc>
      </w:tr>
      <w:tr w:rsidR="0058622D" w14:paraId="5082B0F4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AD7B8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069EC3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Data sources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A98274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For each variable, give sources of data and details of methods of assessment.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A2820E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Data sources (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ricu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 package); Online Resource 3 (operational definitions); Online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Resource 4 (missing data)</w:t>
            </w:r>
          </w:p>
        </w:tc>
      </w:tr>
      <w:tr w:rsidR="0058622D" w14:paraId="0FF8D7F9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0CB709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AAEC3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Bias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3346C3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any efforts to address potential sources of bias.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D2783D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analysis: CCW to address immortal time bias; IPCW for confounding by indication</w:t>
            </w:r>
          </w:p>
        </w:tc>
      </w:tr>
      <w:tr w:rsidR="0058622D" w14:paraId="03F42AFC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82264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033BD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Study size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B1AD2C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Explain how the study size was arrived at.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16422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Cohort characteristics: 5,157 patients from two databases (no a priori sample size calculation; all eligible patients included)</w:t>
            </w:r>
          </w:p>
        </w:tc>
      </w:tr>
      <w:tr w:rsidR="0058622D" w14:paraId="20AE9DF8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21B91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DC6CCB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Quantitative variables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A8AA7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Explain how quantitative variables were handled in the analyses.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7A0D8E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Covariates: continuous variables in weight models; subgroup cut points in Online Resource 9</w:t>
            </w:r>
          </w:p>
        </w:tc>
      </w:tr>
      <w:tr w:rsidR="0058622D" w14:paraId="1B0F0915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EEEA7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9A5B9F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Statistical methods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DCE1D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all statistical methods, including those used to control for confounding.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D0170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analysis: CCW with IPCW, weighted KM, risk difference, RMST difference, weighted Cox (supplementary); stratified by database, robust SE clustered by patient</w:t>
            </w:r>
          </w:p>
        </w:tc>
      </w:tr>
      <w:tr w:rsidR="0058622D" w14:paraId="6D1722AF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DC394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8F348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9DF456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any methods used to examine subgroups and interactions.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75A3B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Secondary outcomes and subgroup analyses: exploratory stratification by lactate, NE dose, ventilation, SOFA</w:t>
            </w:r>
          </w:p>
        </w:tc>
      </w:tr>
      <w:tr w:rsidR="0058622D" w14:paraId="0BD950A4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9A870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12c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3B610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B060D9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Explain how missing data were addressed.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243BDE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Missing data; Online Resource 4: LOCF with variable-specific caps</w:t>
            </w:r>
          </w:p>
        </w:tc>
      </w:tr>
      <w:tr w:rsidR="0058622D" w14:paraId="068DA1B2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F7518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12d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FECF5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664A0F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If applicable, explain how loss to follow-up was addressed.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D7FAFF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analysis: artificial censoring at strategy deviation handled by IPCW</w:t>
            </w:r>
          </w:p>
        </w:tc>
      </w:tr>
      <w:tr w:rsidR="0058622D" w14:paraId="4BAC43C8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280E7C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12e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48AD6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307E9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any sensitivity analyses.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76411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Sensitivity analyses: 95th-percentile truncation, weighted Cox with covariate adjustment, separate database analyses, 56 alternative time-zero definitions</w:t>
            </w:r>
          </w:p>
        </w:tc>
      </w:tr>
      <w:tr w:rsidR="0058622D" w14:paraId="47B46A0D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B1387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D0A4F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549EB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59EBB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64C47EEC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F5552C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13a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754B4B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Participants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A6B5D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numbers of individuals at each stage of study.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199CFC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Cohort characteristics (N = 5,157; 10,314 clones); Figure 1 (flow diagram)</w:t>
            </w:r>
          </w:p>
        </w:tc>
      </w:tr>
      <w:tr w:rsidR="0058622D" w14:paraId="65AFEB9C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146131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13b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56BCF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29BE2E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reasons for non-participation at each stage.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5CF1A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Figure 1: eligibility criteria not met (NE threshold, prior VP, no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follow-up)</w:t>
            </w:r>
          </w:p>
        </w:tc>
      </w:tr>
      <w:tr w:rsidR="0058622D" w14:paraId="367198EC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8EEAC3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13c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52B36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AB9009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Consider use of a flow diagram.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592F1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Figure 1</w:t>
            </w:r>
          </w:p>
        </w:tc>
      </w:tr>
      <w:tr w:rsidR="0058622D" w14:paraId="4FD1178F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F04555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14a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44B195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Descriptive data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017E88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characteristics of study participants and information on exposures and potential confounders.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0419A8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Table 1: baseline characteristics (overall, N = 5,157)</w:t>
            </w:r>
          </w:p>
        </w:tc>
      </w:tr>
      <w:tr w:rsidR="0058622D" w14:paraId="4397890F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381BAD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14b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E9A78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CD466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Indicate number of participants with missing data for each variable of interest.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11CAA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Online Resource 5</w:t>
            </w:r>
          </w:p>
        </w:tc>
      </w:tr>
      <w:tr w:rsidR="0058622D" w14:paraId="03DC25EB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771E6F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14c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B6FF8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276B24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Summarize follow-up time.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A2BA9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Cohort characteristics</w:t>
            </w:r>
          </w:p>
        </w:tc>
      </w:tr>
      <w:tr w:rsidR="0058622D" w14:paraId="0AFA75F6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A768A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466EF6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Outcome data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BFA9A8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numbers of outcome events or summary measures over time.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808218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Table 1 (crude events); Results, Primary and Secondary outcomes; Figure 2 (cumulative incidence curves)</w:t>
            </w:r>
          </w:p>
        </w:tc>
      </w:tr>
      <w:tr w:rsidR="0058622D" w14:paraId="6B439AED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8C09E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16a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864AAD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Main results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8FB2F0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unadjusted estimates and confounder-adjusted estimates and their precision.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491F5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Table 1 (crude: 41.3%); Results: RD −5.5 pp (−8.1 to −5.7); RMST +1.49 days (1.51–2.10); HR 0.81 (0.78–0.85)</w:t>
            </w:r>
          </w:p>
        </w:tc>
      </w:tr>
      <w:tr w:rsidR="0058622D" w14:paraId="3360A0C1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B9B65E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16b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A0B5F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771B24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category boundaries when continuous variables were categorized.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FD116B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Subgroup analyses: lactate &lt;2 / 2–&lt;4 / ≥4; NE &lt;0.30 / ≥0.30; SOFA &lt;10 / 10–&lt;14 / ≥14</w:t>
            </w:r>
          </w:p>
        </w:tc>
      </w:tr>
      <w:tr w:rsidR="0058622D" w14:paraId="3E4BE429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D03C9C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16c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60C3F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C49B69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If relevant, consider translating relative risk into absolute risk.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2ED8D2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Primary outcome: absolute RD and RMST difference reported alongside HR</w:t>
            </w:r>
          </w:p>
        </w:tc>
      </w:tr>
      <w:tr w:rsidR="0058622D" w14:paraId="2CEDF647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07CC31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5482F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Other analyses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E325B5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other analyses done—subgroups, interactions, sensitivity analyses.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CE6CA5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Subgroup analyses (Online Resource 9); Sensitivity analyses (Online Resource 10,11)</w:t>
            </w:r>
          </w:p>
        </w:tc>
      </w:tr>
      <w:tr w:rsidR="0058622D" w14:paraId="4839C2BE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0DC6E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936B5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8A055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FC4D9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1DEC8317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AF0DCE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57304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Key results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CE413F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Summarize key results with reference to study objectives.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4DFEF5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Discussion, paragraph 1</w:t>
            </w:r>
          </w:p>
        </w:tc>
      </w:tr>
      <w:tr w:rsidR="0058622D" w14:paraId="01518254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56DD79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F43AE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Limitations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83BC1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 limitations, considering sources of potential bias or imprecision.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D32C2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Discussion, Limitations paragraph (residual confounding with specific examples, generalizability, proxy definitions, ischemia, misclassification)</w:t>
            </w:r>
          </w:p>
        </w:tc>
      </w:tr>
      <w:tr w:rsidR="0058622D" w14:paraId="0D97CC03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F018B4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9484C6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Interpretation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5A7E03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a cautious overall interpretation.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450DF6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Discussion, paragraphs 1–8; Conclusions</w:t>
            </w:r>
          </w:p>
        </w:tc>
      </w:tr>
      <w:tr w:rsidR="0058622D" w14:paraId="565DA196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37A552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21664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Generalizability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75D729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Discuss the generalizability of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the study results.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0282B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 xml:space="preserve">Discussion, Limitations: results address timing among users; not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generalizable to nonusers or later initiators</w:t>
            </w:r>
          </w:p>
        </w:tc>
      </w:tr>
      <w:tr w:rsidR="0058622D" w14:paraId="17400362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0CE20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6487EB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Other information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31E73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80977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55892132" w14:textId="77777777" w:rsidTr="00EF6C3C">
        <w:trPr>
          <w:trHeight w:val="20"/>
        </w:trPr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DCE74D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464EBF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Funding</w:t>
            </w:r>
          </w:p>
        </w:tc>
        <w:tc>
          <w:tcPr>
            <w:tcW w:w="34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EBE363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Give the source of funding and the role of the funders.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2334FC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Declarations, Funding: no specific grant received</w:t>
            </w:r>
          </w:p>
        </w:tc>
      </w:tr>
    </w:tbl>
    <w:p w14:paraId="08CB5E13" w14:textId="77777777" w:rsidR="0058622D" w:rsidRDefault="0058622D" w:rsidP="0058622D">
      <w:pPr>
        <w:pStyle w:val="TableCaption"/>
        <w:spacing w:before="60"/>
        <w:ind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  <w:t>CCW, clone-censor-weight; CI, confidence interval; HR, hazard ratio; IPCW, inverse probability of censoring weighting; LOCF, last observation carried forward; NE, norepinephrine; RD, risk difference; RMST, restricted mean survival time; VP, vasopressin.</w:t>
      </w:r>
    </w:p>
    <w:p w14:paraId="7CE4A962" w14:textId="77777777" w:rsidR="0058622D" w:rsidRDefault="0058622D" w:rsidP="0058622D">
      <w:pPr>
        <w:pStyle w:val="TableCaption"/>
        <w:spacing w:before="60"/>
        <w:ind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</w:p>
    <w:p w14:paraId="6B43146D" w14:textId="77777777" w:rsidR="0058622D" w:rsidRDefault="0058622D" w:rsidP="0058622D">
      <w:pPr>
        <w:pStyle w:val="TableCaption"/>
        <w:spacing w:before="60" w:after="60"/>
        <w:ind w:left="62" w:right="62"/>
        <w:jc w:val="left"/>
        <w:rPr>
          <w:rFonts w:ascii="Times New Roman" w:eastAsia="Arial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i w:val="0"/>
          <w:iCs/>
          <w:sz w:val="24"/>
          <w:szCs w:val="24"/>
        </w:rPr>
        <w:t>TARGET Checklist</w:t>
      </w:r>
    </w:p>
    <w:p w14:paraId="07739528" w14:textId="77777777" w:rsidR="0058622D" w:rsidRDefault="0058622D" w:rsidP="0058622D">
      <w:pPr>
        <w:pStyle w:val="TableCaption"/>
        <w:spacing w:before="60"/>
        <w:ind w:left="62"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  <w:t>Transparent Reporting of Observational Studies Emulating a Target Trial (Cashin et al., JAMA 2025;334:1084–1093).</w:t>
      </w:r>
    </w:p>
    <w:p w14:paraId="782DE73C" w14:textId="77777777" w:rsidR="0058622D" w:rsidRDefault="0058622D" w:rsidP="0058622D">
      <w:pPr>
        <w:pStyle w:val="TableCaption"/>
        <w:spacing w:before="60"/>
        <w:ind w:left="62"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4860"/>
        <w:gridCol w:w="3669"/>
      </w:tblGrid>
      <w:tr w:rsidR="0058622D" w14:paraId="3C8686F6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0CE27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5961E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Checklist item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90E816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Reported location</w:t>
            </w:r>
          </w:p>
        </w:tc>
      </w:tr>
      <w:tr w:rsidR="0058622D" w14:paraId="7BDED64C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F456A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ADCD0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Abstract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9EE5B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381D3490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ED00C6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1a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E77DF4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Identify that the study attempts to emulate a target trial. State objectives and summarize the target trial.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BE3C5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Abstract, Purpose and Methods</w:t>
            </w:r>
          </w:p>
        </w:tc>
      </w:tr>
      <w:tr w:rsidR="0058622D" w14:paraId="4303B39E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3764E2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1b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CA21AB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the data sources used for emulation.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1E6EC4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Abstract, Methods: "using MIMIC-IV and 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eICU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-CRD"</w:t>
            </w:r>
          </w:p>
        </w:tc>
      </w:tr>
      <w:tr w:rsidR="0058622D" w14:paraId="018C8486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00E7B0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1c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693ACF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Summarize key assumptions, statistical methods, findings and conclusions.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A5E5FC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Abstract, Methods, Results and Conclusions</w:t>
            </w:r>
          </w:p>
        </w:tc>
      </w:tr>
      <w:tr w:rsidR="0058622D" w14:paraId="64EC1870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C4C38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58CCF8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02651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42C5B0F9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07263A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F666EF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the scientific background and gap in knowledge.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7BAC28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Introduction, paragraphs 1–3</w:t>
            </w:r>
          </w:p>
        </w:tc>
      </w:tr>
      <w:tr w:rsidR="0058622D" w14:paraId="6539AC19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232AE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132CA9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Summarize the causal question.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492224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Introduction, paragraph 3</w:t>
            </w:r>
          </w:p>
        </w:tc>
      </w:tr>
      <w:tr w:rsidR="0058622D" w14:paraId="7486BE91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08C1EA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A81229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the rationale for emulating a target trial. Cite informing randomized trials.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18FBF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Introduction, paragraphs 1–3; VASST and VANISH cited</w:t>
            </w:r>
          </w:p>
        </w:tc>
      </w:tr>
      <w:tr w:rsidR="0058622D" w14:paraId="1E21D288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49B55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BE9D6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A9475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680F6BC4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29678A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9FA94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Cite data sources: purpose, type, geography, setting, period, linkage.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52E30B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Methods, Data sources (MIMIC-IV 2008–2022; 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eICU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-CRD 2014–2015; 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ricu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 harmonization)</w:t>
            </w:r>
          </w:p>
        </w:tc>
      </w:tr>
      <w:tr w:rsidR="0058622D" w14:paraId="479E117E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2A61A2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6a/7a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945AC0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Eligibility criteria: specify and describe operationalization.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0E6217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Methods, Eligibility criteria; </w:t>
            </w:r>
            <w:r>
              <w:rPr>
                <w:rFonts w:ascii="Times New Roman" w:eastAsia="Arial" w:hAnsi="Times New Roman" w:cs="Times New Roman"/>
                <w:b w:val="0"/>
                <w:bCs/>
                <w:i w:val="0"/>
                <w:iCs/>
                <w:sz w:val="24"/>
                <w:szCs w:val="24"/>
                <w:lang w:eastAsia="en-US"/>
              </w:rPr>
              <w:t>Online Resource 2</w:t>
            </w:r>
          </w:p>
        </w:tc>
      </w:tr>
      <w:tr w:rsidR="0058622D" w14:paraId="41327528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611EB0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6b/7b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8719C9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Treatment strategies: specify and describe operationalization.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9055A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Treatment strategies; Online Resource 2</w:t>
            </w:r>
          </w:p>
        </w:tc>
      </w:tr>
      <w:tr w:rsidR="0058622D" w14:paraId="05A652E7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C54DA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6c/7c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741F75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Assignment procedures: state random assignment in target trial; describe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operationalization.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8BB548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 xml:space="preserve">Methods, Treatment strategies (random assignment stated); </w:t>
            </w: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Statistical analysis (cloning procedure)</w:t>
            </w:r>
          </w:p>
        </w:tc>
      </w:tr>
      <w:tr w:rsidR="0058622D" w14:paraId="53484A90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C7209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6d/7d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A391A7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Follow-up: confirm start at assignment; specify end; describe operationalization.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B82AA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 (time zero to day 28, death, or end of observation; censoring rules; assignment window event handling)</w:t>
            </w:r>
          </w:p>
        </w:tc>
      </w:tr>
      <w:tr w:rsidR="0058622D" w14:paraId="2E733363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615B9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6e/7e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D04860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Outcomes: describe and operationalize.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978FC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Outcomes; Online Resource 3</w:t>
            </w:r>
          </w:p>
        </w:tc>
      </w:tr>
      <w:tr w:rsidR="0058622D" w14:paraId="1ABEA10F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87270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6f/7f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FEFD54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Causal contrasts: describe and operationalize, including effect measures.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ED69FD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 (risk difference, RMST difference as primary; HR as supplementary); Online Resource 2</w:t>
            </w:r>
          </w:p>
        </w:tc>
      </w:tr>
      <w:tr w:rsidR="0058622D" w14:paraId="589D1757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E35832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6g/7g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5F6678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 xml:space="preserve">Identifying assumptions: describe assumptions for each </w:t>
            </w:r>
            <w:proofErr w:type="spellStart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estimand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EEB4D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Covariates: conditional exchangeability assumed; full variable list; Supplementary Methods</w:t>
            </w:r>
          </w:p>
        </w:tc>
      </w:tr>
      <w:tr w:rsidR="0058622D" w14:paraId="18191817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D95400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6h/7h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C5CA6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Data analysis plan: describe procedures, modelling assumptions, missing data, sensitivity analyses.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BF16E1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Methods, Statistical analysis, Missing data, Sensitivity analyses; Online Resource 4</w:t>
            </w:r>
          </w:p>
        </w:tc>
      </w:tr>
      <w:tr w:rsidR="0058622D" w14:paraId="6D40D864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BDE98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1B471E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81810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6D4EC4A4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BBA5A2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72184A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numbers assessed, eligible, and assigned. Flow diagram strongly recommended.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BEBBA1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Cohort characteristics (N = 5,157; 10,314 clones; 943 ultra-early adherent, 323 early adherent); Figure 1</w:t>
            </w:r>
          </w:p>
        </w:tc>
      </w:tr>
      <w:tr w:rsidR="0058622D" w14:paraId="42657396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DAC1F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04EDF7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baseline characteristics by treatment strategy.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CE0AD4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Table 1 (overall)</w:t>
            </w:r>
          </w:p>
        </w:tc>
      </w:tr>
      <w:tr w:rsidR="0058622D" w14:paraId="7FB99F3E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9100AB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7773A4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Summarize follow-up length and reasons for end of follow-up.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402EFE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Cohort characteristics</w:t>
            </w:r>
          </w:p>
        </w:tc>
      </w:tr>
      <w:tr w:rsidR="0058622D" w14:paraId="6EE01B56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F1F0E2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6FA98B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frequency of missing data.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7C8012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Online Resource 4</w:t>
            </w:r>
          </w:p>
        </w:tc>
      </w:tr>
      <w:tr w:rsidR="0058622D" w14:paraId="112B815C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685B5F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2A2AB01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Describe frequency or distribution of each outcome by strategy.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6587433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Table 1 (crude events); Results, Primary and Secondary outcomes</w:t>
            </w:r>
          </w:p>
        </w:tc>
      </w:tr>
      <w:tr w:rsidR="0058622D" w14:paraId="07D9BE26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D0E661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C70292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effect estimates with precision, including absolute and relative measures.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E75CA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Results: RD −5.5 pp (−8.1 to −5.7); RMST +1.49 days (1.51–2.10); HR 0.81 (0.78–0.85); Figures 2–3</w:t>
            </w:r>
          </w:p>
        </w:tc>
      </w:tr>
      <w:tr w:rsidR="0058622D" w14:paraId="2DD6A1BE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7605E9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71AB0A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Report results of all sensitivity analyses.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F908E2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Results, Sensitivity analyses; Online Resource 10-11</w:t>
            </w:r>
          </w:p>
        </w:tc>
      </w:tr>
      <w:tr w:rsidR="0058622D" w14:paraId="149B0A50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07AF1F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7D5FB7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1D282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6B773E23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AE748E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5E37A7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Provide interpretation of key findings.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2DEE15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Discussion, paragraphs 1–4</w:t>
            </w:r>
          </w:p>
        </w:tc>
      </w:tr>
      <w:tr w:rsidR="0058622D" w14:paraId="6F0F1FBD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897B0D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E67DFC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 limitations considering target trial–emulation differences and plausibility of assumptions.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200AD9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Discussion, Confounding and Limitations paragraphs</w:t>
            </w:r>
          </w:p>
        </w:tc>
      </w:tr>
      <w:tr w:rsidR="0058622D" w14:paraId="437E24FD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4178D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4C6B9F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Other information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D7E523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</w:p>
        </w:tc>
      </w:tr>
      <w:tr w:rsidR="0058622D" w14:paraId="302BF18F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95DDD5E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010248B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Ethics approval and approval numbers.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FACB86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 (MIT IRB No. 0403000206; BIDMC 2001-P-001699/14)</w:t>
            </w:r>
          </w:p>
        </w:tc>
      </w:tr>
      <w:tr w:rsidR="0058622D" w14:paraId="3A6AB86A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0DED69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FDB17F4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State whether the study protocol was registered.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3332AEDA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Declarations: not prospectively registered; protocol specified before data extraction</w:t>
            </w:r>
          </w:p>
        </w:tc>
      </w:tr>
      <w:tr w:rsidR="0058622D" w14:paraId="185A2E22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B317E78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4CD91C5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Data, code and materials accessibility.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5DF3A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Declarations, Data availability; Methods, Software and code availability</w:t>
            </w:r>
          </w:p>
        </w:tc>
      </w:tr>
      <w:tr w:rsidR="0058622D" w14:paraId="0167922A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56A8929C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1C0D56B9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Funding sources and role of funders.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6C4A7D6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Declarations, Funding</w:t>
            </w:r>
          </w:p>
        </w:tc>
      </w:tr>
      <w:tr w:rsidR="0058622D" w14:paraId="03453AA9" w14:textId="77777777" w:rsidTr="00EF6C3C">
        <w:tc>
          <w:tcPr>
            <w:tcW w:w="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7D5F0B6D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42466150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Conflicts of interest.</w:t>
            </w:r>
          </w:p>
        </w:tc>
        <w:tc>
          <w:tcPr>
            <w:tcW w:w="37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14:paraId="21102417" w14:textId="77777777" w:rsidR="0058622D" w:rsidRDefault="0058622D" w:rsidP="00EF6C3C">
            <w:pPr>
              <w:pStyle w:val="TableCaption"/>
              <w:spacing w:before="60" w:after="60"/>
              <w:ind w:left="62" w:right="62"/>
              <w:jc w:val="left"/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 w:val="0"/>
                <w:i w:val="0"/>
                <w:iCs/>
                <w:sz w:val="24"/>
                <w:szCs w:val="24"/>
                <w:lang w:eastAsia="en-US"/>
              </w:rPr>
              <w:t>Declarations, Competing interests</w:t>
            </w:r>
          </w:p>
        </w:tc>
      </w:tr>
    </w:tbl>
    <w:p w14:paraId="11E810A2" w14:textId="77777777" w:rsidR="0058622D" w:rsidRDefault="0058622D" w:rsidP="0058622D">
      <w:pPr>
        <w:pStyle w:val="TableCaption"/>
        <w:spacing w:before="60"/>
        <w:ind w:right="62"/>
        <w:jc w:val="left"/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i w:val="0"/>
          <w:iCs/>
          <w:sz w:val="24"/>
          <w:szCs w:val="24"/>
        </w:rPr>
        <w:t>HR, hazard ratio; IPCW, inverse probability of censoring weighting; RD, risk difference; RMST, restricted mean survival time.</w:t>
      </w:r>
    </w:p>
    <w:p w14:paraId="46B48D1A" w14:textId="70F8EC8A" w:rsidR="008D0120" w:rsidRPr="0058622D" w:rsidRDefault="008D0120" w:rsidP="0058622D">
      <w:pPr>
        <w:rPr>
          <w:rFonts w:eastAsia="Arial" w:hint="eastAsia"/>
          <w:b/>
          <w:bCs/>
          <w:i/>
        </w:rPr>
      </w:pPr>
    </w:p>
    <w:sectPr w:rsidR="008D0120" w:rsidRPr="0058622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434C6"/>
    <w:multiLevelType w:val="hybridMultilevel"/>
    <w:tmpl w:val="8758B40C"/>
    <w:lvl w:ilvl="0" w:tplc="C3A62B72">
      <w:start w:val="1"/>
      <w:numFmt w:val="bullet"/>
      <w:lvlText w:val="●"/>
      <w:lvlJc w:val="left"/>
      <w:pPr>
        <w:ind w:left="720" w:hanging="360"/>
      </w:pPr>
    </w:lvl>
    <w:lvl w:ilvl="1" w:tplc="0ABE8B5A">
      <w:start w:val="1"/>
      <w:numFmt w:val="bullet"/>
      <w:lvlText w:val="○"/>
      <w:lvlJc w:val="left"/>
      <w:pPr>
        <w:ind w:left="1440" w:hanging="360"/>
      </w:pPr>
    </w:lvl>
    <w:lvl w:ilvl="2" w:tplc="8DA47232">
      <w:start w:val="1"/>
      <w:numFmt w:val="bullet"/>
      <w:lvlText w:val="■"/>
      <w:lvlJc w:val="left"/>
      <w:pPr>
        <w:ind w:left="2160" w:hanging="360"/>
      </w:pPr>
    </w:lvl>
    <w:lvl w:ilvl="3" w:tplc="524CB6F6">
      <w:start w:val="1"/>
      <w:numFmt w:val="bullet"/>
      <w:lvlText w:val="●"/>
      <w:lvlJc w:val="left"/>
      <w:pPr>
        <w:ind w:left="2880" w:hanging="360"/>
      </w:pPr>
    </w:lvl>
    <w:lvl w:ilvl="4" w:tplc="69F2095C">
      <w:start w:val="1"/>
      <w:numFmt w:val="bullet"/>
      <w:lvlText w:val="○"/>
      <w:lvlJc w:val="left"/>
      <w:pPr>
        <w:ind w:left="3600" w:hanging="360"/>
      </w:pPr>
    </w:lvl>
    <w:lvl w:ilvl="5" w:tplc="87AE95D0">
      <w:start w:val="1"/>
      <w:numFmt w:val="bullet"/>
      <w:lvlText w:val="■"/>
      <w:lvlJc w:val="left"/>
      <w:pPr>
        <w:ind w:left="4320" w:hanging="360"/>
      </w:pPr>
    </w:lvl>
    <w:lvl w:ilvl="6" w:tplc="D7B4CD4A">
      <w:start w:val="1"/>
      <w:numFmt w:val="bullet"/>
      <w:lvlText w:val="●"/>
      <w:lvlJc w:val="left"/>
      <w:pPr>
        <w:ind w:left="5040" w:hanging="360"/>
      </w:pPr>
    </w:lvl>
    <w:lvl w:ilvl="7" w:tplc="3FB0B37A">
      <w:start w:val="1"/>
      <w:numFmt w:val="bullet"/>
      <w:lvlText w:val="●"/>
      <w:lvlJc w:val="left"/>
      <w:pPr>
        <w:ind w:left="5760" w:hanging="360"/>
      </w:pPr>
    </w:lvl>
    <w:lvl w:ilvl="8" w:tplc="BE6E2BEE">
      <w:start w:val="1"/>
      <w:numFmt w:val="bullet"/>
      <w:lvlText w:val="●"/>
      <w:lvlJc w:val="left"/>
      <w:pPr>
        <w:ind w:left="6480" w:hanging="360"/>
      </w:pPr>
    </w:lvl>
  </w:abstractNum>
  <w:num w:numId="1" w16cid:durableId="6790395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8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0"/>
    <w:rsid w:val="00086630"/>
    <w:rsid w:val="002A68FE"/>
    <w:rsid w:val="00363360"/>
    <w:rsid w:val="0058622D"/>
    <w:rsid w:val="007A7B63"/>
    <w:rsid w:val="008D0120"/>
    <w:rsid w:val="00983996"/>
    <w:rsid w:val="00B005F8"/>
    <w:rsid w:val="00B76F56"/>
    <w:rsid w:val="00C045BB"/>
    <w:rsid w:val="00F65B1C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059D6"/>
  <w15:docId w15:val="{3E8863C1-9104-4F4D-876E-8D3AF20B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customStyle="1" w:styleId="TableCaption">
    <w:name w:val="Table Caption"/>
    <w:basedOn w:val="a"/>
    <w:qFormat/>
    <w:rsid w:val="00F85867"/>
    <w:pPr>
      <w:jc w:val="center"/>
    </w:pPr>
    <w:rPr>
      <w:rFonts w:ascii="Arial" w:hAnsi="Arial" w:cs="Arial"/>
      <w:b/>
      <w:i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中島　誉也</cp:lastModifiedBy>
  <cp:revision>8</cp:revision>
  <dcterms:created xsi:type="dcterms:W3CDTF">2026-03-26T11:44:00Z</dcterms:created>
  <dcterms:modified xsi:type="dcterms:W3CDTF">2026-04-18T01:40:00Z</dcterms:modified>
</cp:coreProperties>
</file>