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25E59" w14:textId="02A7C089" w:rsidR="00DC3EF2" w:rsidRDefault="00185C40" w:rsidP="00185C40">
      <w:pPr>
        <w:jc w:val="center"/>
        <w:rPr>
          <w:b/>
          <w:bCs/>
          <w:sz w:val="28"/>
          <w:szCs w:val="28"/>
        </w:rPr>
      </w:pPr>
      <w:r w:rsidRPr="00185C40">
        <w:rPr>
          <w:b/>
          <w:bCs/>
          <w:sz w:val="28"/>
          <w:szCs w:val="28"/>
        </w:rPr>
        <w:t>Supplementary information</w:t>
      </w:r>
    </w:p>
    <w:p w14:paraId="48843F21" w14:textId="05477B9D" w:rsidR="00185C40" w:rsidRDefault="00185C40" w:rsidP="00185C40">
      <w:pPr>
        <w:jc w:val="center"/>
        <w:rPr>
          <w:b/>
          <w:bCs/>
          <w:sz w:val="24"/>
          <w:szCs w:val="24"/>
        </w:rPr>
      </w:pPr>
      <w:r w:rsidRPr="00185C40">
        <w:rPr>
          <w:b/>
          <w:bCs/>
          <w:sz w:val="24"/>
          <w:szCs w:val="24"/>
        </w:rPr>
        <w:t>Metabolic impact of redox perturbations on recombinant protein production in </w:t>
      </w:r>
      <w:proofErr w:type="spellStart"/>
      <w:r w:rsidRPr="00185C40">
        <w:rPr>
          <w:b/>
          <w:bCs/>
          <w:i/>
          <w:iCs/>
          <w:sz w:val="24"/>
          <w:szCs w:val="24"/>
        </w:rPr>
        <w:t>Komagataella</w:t>
      </w:r>
      <w:proofErr w:type="spellEnd"/>
      <w:r w:rsidRPr="00185C40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185C40">
        <w:rPr>
          <w:b/>
          <w:bCs/>
          <w:i/>
          <w:iCs/>
          <w:sz w:val="24"/>
          <w:szCs w:val="24"/>
        </w:rPr>
        <w:t>phaffii</w:t>
      </w:r>
      <w:proofErr w:type="spellEnd"/>
      <w:r w:rsidRPr="00185C40">
        <w:rPr>
          <w:b/>
          <w:bCs/>
          <w:sz w:val="24"/>
          <w:szCs w:val="24"/>
        </w:rPr>
        <w:t> under methanolic growth conditions </w:t>
      </w:r>
    </w:p>
    <w:p w14:paraId="668CCE6F" w14:textId="4391F04B" w:rsidR="00185C40" w:rsidRPr="001229EA" w:rsidRDefault="00185C40" w:rsidP="00185C40">
      <w:pPr>
        <w:rPr>
          <w:sz w:val="24"/>
          <w:szCs w:val="24"/>
          <w:lang w:val="es-ES"/>
        </w:rPr>
      </w:pPr>
      <w:r w:rsidRPr="00185C40">
        <w:rPr>
          <w:sz w:val="24"/>
          <w:szCs w:val="24"/>
          <w:lang w:val="es-ES"/>
        </w:rPr>
        <w:t>Eric Antón, Sergi Monforte</w:t>
      </w:r>
      <w:r w:rsidRPr="00185C40">
        <w:rPr>
          <w:sz w:val="24"/>
          <w:szCs w:val="24"/>
          <w:vertAlign w:val="superscript"/>
          <w:lang w:val="es-ES"/>
        </w:rPr>
        <w:t>ǂ</w:t>
      </w:r>
      <w:r w:rsidRPr="00185C40">
        <w:rPr>
          <w:sz w:val="24"/>
          <w:szCs w:val="24"/>
          <w:lang w:val="es-ES"/>
        </w:rPr>
        <w:t>, Ane Quesada-Ganuza</w:t>
      </w:r>
      <w:r w:rsidRPr="00185C40">
        <w:rPr>
          <w:sz w:val="24"/>
          <w:szCs w:val="24"/>
          <w:vertAlign w:val="superscript"/>
          <w:lang w:val="es-ES"/>
        </w:rPr>
        <w:t>§</w:t>
      </w:r>
      <w:r w:rsidRPr="00185C40">
        <w:rPr>
          <w:sz w:val="24"/>
          <w:szCs w:val="24"/>
          <w:lang w:val="es-ES"/>
        </w:rPr>
        <w:t>, Joan Albiol, Pau Ferrer</w:t>
      </w:r>
      <w:r w:rsidRPr="00185C40">
        <w:rPr>
          <w:sz w:val="24"/>
          <w:szCs w:val="24"/>
          <w:vertAlign w:val="superscript"/>
          <w:lang w:val="es-ES"/>
        </w:rPr>
        <w:t>*</w:t>
      </w:r>
      <w:r w:rsidRPr="001229EA">
        <w:rPr>
          <w:sz w:val="24"/>
          <w:szCs w:val="24"/>
          <w:lang w:val="es-ES"/>
        </w:rPr>
        <w:t> </w:t>
      </w:r>
    </w:p>
    <w:p w14:paraId="42D8596E" w14:textId="5969A210" w:rsidR="00185C40" w:rsidRPr="00185C40" w:rsidRDefault="00185C40" w:rsidP="00185C40">
      <w:pPr>
        <w:rPr>
          <w:b/>
          <w:bCs/>
          <w:sz w:val="24"/>
          <w:szCs w:val="24"/>
        </w:rPr>
      </w:pPr>
      <w:r w:rsidRPr="00185C40">
        <w:rPr>
          <w:b/>
          <w:bCs/>
          <w:sz w:val="24"/>
          <w:szCs w:val="24"/>
          <w:lang w:val="en-US"/>
        </w:rPr>
        <w:t>Author information:</w:t>
      </w:r>
      <w:r w:rsidRPr="00185C40">
        <w:rPr>
          <w:b/>
          <w:bCs/>
          <w:sz w:val="24"/>
          <w:szCs w:val="24"/>
        </w:rPr>
        <w:t> </w:t>
      </w:r>
    </w:p>
    <w:p w14:paraId="00EBBA64" w14:textId="7A530043" w:rsidR="00185C40" w:rsidRPr="00185C40" w:rsidRDefault="00185C40" w:rsidP="00185C40">
      <w:pPr>
        <w:rPr>
          <w:sz w:val="24"/>
          <w:szCs w:val="24"/>
        </w:rPr>
      </w:pPr>
      <w:r w:rsidRPr="00185C40">
        <w:rPr>
          <w:sz w:val="24"/>
          <w:szCs w:val="24"/>
          <w:lang w:val="en-US"/>
        </w:rPr>
        <w:t xml:space="preserve">Department of Chemical, Biological and Environmental Engineering, </w:t>
      </w:r>
      <w:proofErr w:type="spellStart"/>
      <w:r w:rsidRPr="00185C40">
        <w:rPr>
          <w:sz w:val="24"/>
          <w:szCs w:val="24"/>
          <w:lang w:val="en-US"/>
        </w:rPr>
        <w:t>Universitat</w:t>
      </w:r>
      <w:proofErr w:type="spellEnd"/>
      <w:r w:rsidRPr="00185C40">
        <w:rPr>
          <w:sz w:val="24"/>
          <w:szCs w:val="24"/>
          <w:lang w:val="en-US"/>
        </w:rPr>
        <w:t> </w:t>
      </w:r>
      <w:proofErr w:type="spellStart"/>
      <w:r w:rsidRPr="00185C40">
        <w:rPr>
          <w:sz w:val="24"/>
          <w:szCs w:val="24"/>
          <w:lang w:val="en-US"/>
        </w:rPr>
        <w:t>Autònoma</w:t>
      </w:r>
      <w:proofErr w:type="spellEnd"/>
      <w:r w:rsidRPr="00185C40">
        <w:rPr>
          <w:sz w:val="24"/>
          <w:szCs w:val="24"/>
          <w:lang w:val="en-US"/>
        </w:rPr>
        <w:t xml:space="preserve"> de Barcelona, Catalonia, Spain</w:t>
      </w:r>
      <w:r w:rsidRPr="00185C40">
        <w:rPr>
          <w:sz w:val="24"/>
          <w:szCs w:val="24"/>
        </w:rPr>
        <w:t> </w:t>
      </w:r>
    </w:p>
    <w:p w14:paraId="6E5A313E" w14:textId="3806BCBC" w:rsidR="00185C40" w:rsidRPr="00185C40" w:rsidRDefault="00185C40" w:rsidP="00185C40">
      <w:pPr>
        <w:rPr>
          <w:sz w:val="24"/>
          <w:szCs w:val="24"/>
        </w:rPr>
      </w:pPr>
      <w:r w:rsidRPr="00185C40">
        <w:rPr>
          <w:sz w:val="24"/>
          <w:szCs w:val="24"/>
          <w:lang w:val="en-US"/>
        </w:rPr>
        <w:t>§ Current affiliation: </w:t>
      </w:r>
      <w:proofErr w:type="spellStart"/>
      <w:r w:rsidRPr="00185C40">
        <w:rPr>
          <w:sz w:val="24"/>
          <w:szCs w:val="24"/>
          <w:lang w:val="en-US"/>
        </w:rPr>
        <w:t>Viralgen</w:t>
      </w:r>
      <w:proofErr w:type="spellEnd"/>
      <w:r w:rsidRPr="00185C40">
        <w:rPr>
          <w:sz w:val="24"/>
          <w:szCs w:val="24"/>
          <w:lang w:val="en-US"/>
        </w:rPr>
        <w:t>, Basque Country, Spain</w:t>
      </w:r>
      <w:r w:rsidRPr="00185C40">
        <w:rPr>
          <w:sz w:val="24"/>
          <w:szCs w:val="24"/>
        </w:rPr>
        <w:t> </w:t>
      </w:r>
    </w:p>
    <w:p w14:paraId="15200A18" w14:textId="5F260CF0" w:rsidR="00185C40" w:rsidRPr="00185C40" w:rsidRDefault="00185C40" w:rsidP="00185C40">
      <w:pPr>
        <w:rPr>
          <w:sz w:val="24"/>
          <w:szCs w:val="24"/>
        </w:rPr>
      </w:pPr>
      <w:r w:rsidRPr="00185C40">
        <w:rPr>
          <w:sz w:val="24"/>
          <w:szCs w:val="24"/>
          <w:lang w:val="en-US"/>
        </w:rPr>
        <w:t>ǂ Current affiliation: </w:t>
      </w:r>
      <w:proofErr w:type="spellStart"/>
      <w:r w:rsidRPr="00185C40">
        <w:rPr>
          <w:sz w:val="24"/>
          <w:szCs w:val="24"/>
          <w:lang w:val="en-US"/>
        </w:rPr>
        <w:t>Centrident</w:t>
      </w:r>
      <w:proofErr w:type="spellEnd"/>
      <w:r w:rsidRPr="00185C40">
        <w:rPr>
          <w:sz w:val="24"/>
          <w:szCs w:val="24"/>
          <w:lang w:val="en-US"/>
        </w:rPr>
        <w:t xml:space="preserve"> Pharmaceuticals, Catalonia, Spain</w:t>
      </w:r>
      <w:r w:rsidRPr="00185C40">
        <w:rPr>
          <w:sz w:val="24"/>
          <w:szCs w:val="24"/>
        </w:rPr>
        <w:t> </w:t>
      </w:r>
    </w:p>
    <w:p w14:paraId="092FEF66" w14:textId="20630AA6" w:rsidR="00185C40" w:rsidRPr="00185C40" w:rsidRDefault="00185C40" w:rsidP="00185C40">
      <w:pPr>
        <w:rPr>
          <w:b/>
          <w:bCs/>
          <w:sz w:val="24"/>
          <w:szCs w:val="24"/>
        </w:rPr>
      </w:pPr>
      <w:r w:rsidRPr="00185C40">
        <w:rPr>
          <w:sz w:val="24"/>
          <w:szCs w:val="24"/>
        </w:rPr>
        <w:t>*Corresponding author</w:t>
      </w:r>
      <w:r w:rsidRPr="00185C40">
        <w:rPr>
          <w:b/>
          <w:bCs/>
          <w:sz w:val="24"/>
          <w:szCs w:val="24"/>
        </w:rPr>
        <w:t> </w:t>
      </w:r>
    </w:p>
    <w:p w14:paraId="647B4423" w14:textId="5942E030" w:rsidR="00185C40" w:rsidRDefault="00E85E6C" w:rsidP="00185C4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59F6774" wp14:editId="562D04B1">
            <wp:extent cx="5770026" cy="2495550"/>
            <wp:effectExtent l="0" t="0" r="2540" b="0"/>
            <wp:docPr id="159249800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498003" name="Picture 159249800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658" cy="249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48F4D" w14:textId="77777777" w:rsidR="009C2E84" w:rsidRPr="009C2E84" w:rsidRDefault="009C2E84" w:rsidP="009C2E84">
      <w:pPr>
        <w:rPr>
          <w:sz w:val="28"/>
          <w:szCs w:val="28"/>
        </w:rPr>
      </w:pPr>
    </w:p>
    <w:p w14:paraId="755D00CC" w14:textId="4335BDBB" w:rsidR="00A80E00" w:rsidRPr="00185C40" w:rsidRDefault="00A80E00" w:rsidP="003C448A">
      <w:pPr>
        <w:jc w:val="both"/>
        <w:rPr>
          <w:b/>
          <w:bCs/>
          <w:sz w:val="24"/>
          <w:szCs w:val="24"/>
        </w:rPr>
      </w:pPr>
      <w:r w:rsidRPr="00185C40">
        <w:rPr>
          <w:b/>
          <w:bCs/>
          <w:sz w:val="24"/>
          <w:szCs w:val="24"/>
        </w:rPr>
        <w:t xml:space="preserve">Supplementary figure I. </w:t>
      </w:r>
      <w:r w:rsidRPr="003C448A">
        <w:rPr>
          <w:sz w:val="24"/>
          <w:szCs w:val="24"/>
        </w:rPr>
        <w:t xml:space="preserve">Plasmid maps of pPUZZLE_cPOS5 (A) and </w:t>
      </w:r>
      <w:proofErr w:type="spellStart"/>
      <w:r w:rsidRPr="003C448A">
        <w:rPr>
          <w:sz w:val="24"/>
          <w:szCs w:val="24"/>
        </w:rPr>
        <w:t>pPUZZLE_AtOX</w:t>
      </w:r>
      <w:proofErr w:type="spellEnd"/>
      <w:r w:rsidRPr="003C448A">
        <w:rPr>
          <w:sz w:val="24"/>
          <w:szCs w:val="24"/>
        </w:rPr>
        <w:t xml:space="preserve"> (B). The restriction enzyme used for plasmid linearization (</w:t>
      </w:r>
      <w:proofErr w:type="spellStart"/>
      <w:r w:rsidRPr="003C448A">
        <w:rPr>
          <w:sz w:val="24"/>
          <w:szCs w:val="24"/>
        </w:rPr>
        <w:t>AvrII</w:t>
      </w:r>
      <w:proofErr w:type="spellEnd"/>
      <w:r w:rsidRPr="003C448A">
        <w:rPr>
          <w:sz w:val="24"/>
          <w:szCs w:val="24"/>
        </w:rPr>
        <w:t xml:space="preserve">) cuts in the middle of </w:t>
      </w:r>
      <w:proofErr w:type="spellStart"/>
      <w:r w:rsidRPr="003C448A">
        <w:rPr>
          <w:sz w:val="24"/>
          <w:szCs w:val="24"/>
        </w:rPr>
        <w:t>pGAP</w:t>
      </w:r>
      <w:proofErr w:type="spellEnd"/>
      <w:r w:rsidRPr="003C448A">
        <w:rPr>
          <w:sz w:val="24"/>
          <w:szCs w:val="24"/>
        </w:rPr>
        <w:t xml:space="preserve">. </w:t>
      </w:r>
      <w:proofErr w:type="spellStart"/>
      <w:r w:rsidRPr="003C448A">
        <w:rPr>
          <w:sz w:val="24"/>
          <w:szCs w:val="24"/>
        </w:rPr>
        <w:t>pPUZZLE</w:t>
      </w:r>
      <w:proofErr w:type="spellEnd"/>
      <w:r w:rsidRPr="003C448A">
        <w:rPr>
          <w:sz w:val="24"/>
          <w:szCs w:val="24"/>
        </w:rPr>
        <w:t xml:space="preserve"> contains the </w:t>
      </w:r>
      <w:proofErr w:type="spellStart"/>
      <w:r w:rsidRPr="003C448A">
        <w:rPr>
          <w:sz w:val="24"/>
          <w:szCs w:val="24"/>
        </w:rPr>
        <w:t>kanMX</w:t>
      </w:r>
      <w:proofErr w:type="spellEnd"/>
      <w:r w:rsidRPr="003C448A">
        <w:rPr>
          <w:sz w:val="24"/>
          <w:szCs w:val="24"/>
        </w:rPr>
        <w:t xml:space="preserve"> gene for kanamycin resistance in bacteria (</w:t>
      </w:r>
      <w:r w:rsidRPr="003C448A">
        <w:rPr>
          <w:i/>
          <w:iCs/>
          <w:sz w:val="24"/>
          <w:szCs w:val="24"/>
        </w:rPr>
        <w:t>Escherichia coli</w:t>
      </w:r>
      <w:r w:rsidRPr="003C448A">
        <w:rPr>
          <w:sz w:val="24"/>
          <w:szCs w:val="24"/>
        </w:rPr>
        <w:t>) and geneticin G418 resistance in yeast (</w:t>
      </w:r>
      <w:proofErr w:type="spellStart"/>
      <w:r w:rsidR="001229EA">
        <w:rPr>
          <w:i/>
          <w:iCs/>
          <w:sz w:val="24"/>
          <w:szCs w:val="24"/>
        </w:rPr>
        <w:t>Komagataella</w:t>
      </w:r>
      <w:proofErr w:type="spellEnd"/>
      <w:r w:rsidR="001229EA">
        <w:rPr>
          <w:i/>
          <w:iCs/>
          <w:sz w:val="24"/>
          <w:szCs w:val="24"/>
        </w:rPr>
        <w:t xml:space="preserve"> </w:t>
      </w:r>
      <w:proofErr w:type="spellStart"/>
      <w:r w:rsidR="001229EA">
        <w:rPr>
          <w:i/>
          <w:iCs/>
          <w:sz w:val="24"/>
          <w:szCs w:val="24"/>
        </w:rPr>
        <w:t>phaffii</w:t>
      </w:r>
      <w:proofErr w:type="spellEnd"/>
      <w:r w:rsidRPr="003C448A">
        <w:rPr>
          <w:sz w:val="24"/>
          <w:szCs w:val="24"/>
        </w:rPr>
        <w:t>).</w:t>
      </w:r>
    </w:p>
    <w:p w14:paraId="153C12D5" w14:textId="77777777" w:rsidR="009C2E84" w:rsidRPr="009C2E84" w:rsidRDefault="009C2E84" w:rsidP="009C2E84">
      <w:pPr>
        <w:rPr>
          <w:sz w:val="28"/>
          <w:szCs w:val="28"/>
        </w:rPr>
      </w:pPr>
    </w:p>
    <w:p w14:paraId="0D53CAD9" w14:textId="77777777" w:rsidR="009C2E84" w:rsidRPr="009C2E84" w:rsidRDefault="009C2E84" w:rsidP="009C2E84">
      <w:pPr>
        <w:rPr>
          <w:sz w:val="28"/>
          <w:szCs w:val="28"/>
        </w:rPr>
      </w:pPr>
    </w:p>
    <w:p w14:paraId="37D6107D" w14:textId="77777777" w:rsidR="009C2E84" w:rsidRDefault="009C2E84" w:rsidP="009C2E84">
      <w:pPr>
        <w:rPr>
          <w:sz w:val="28"/>
          <w:szCs w:val="28"/>
        </w:rPr>
      </w:pPr>
    </w:p>
    <w:p w14:paraId="5B02B7CF" w14:textId="77777777" w:rsidR="00B66BE5" w:rsidRDefault="00B66BE5" w:rsidP="009C2E84">
      <w:pPr>
        <w:rPr>
          <w:sz w:val="28"/>
          <w:szCs w:val="28"/>
        </w:rPr>
      </w:pPr>
    </w:p>
    <w:p w14:paraId="00E40ECD" w14:textId="77777777" w:rsidR="00B66BE5" w:rsidRDefault="00B66BE5" w:rsidP="009C2E84">
      <w:pPr>
        <w:rPr>
          <w:sz w:val="28"/>
          <w:szCs w:val="28"/>
        </w:rPr>
      </w:pPr>
    </w:p>
    <w:p w14:paraId="7166001E" w14:textId="77777777" w:rsidR="00B66BE5" w:rsidRDefault="00B66BE5" w:rsidP="009C2E84">
      <w:pPr>
        <w:rPr>
          <w:sz w:val="28"/>
          <w:szCs w:val="28"/>
        </w:rPr>
      </w:pPr>
    </w:p>
    <w:p w14:paraId="5E6A90A4" w14:textId="4D443AFC" w:rsidR="00B66BE5" w:rsidRPr="009C2E84" w:rsidRDefault="00B66BE5" w:rsidP="009C2E84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D97B0F5" wp14:editId="1B839072">
            <wp:extent cx="5400040" cy="3733800"/>
            <wp:effectExtent l="0" t="0" r="10160" b="0"/>
            <wp:docPr id="3952823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D5043FC-7523-4164-A2F6-FD26E3061B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2DE6478" w14:textId="11358A37" w:rsidR="009C2E84" w:rsidRDefault="00B66BE5" w:rsidP="009C2E84">
      <w:pPr>
        <w:rPr>
          <w:sz w:val="24"/>
          <w:szCs w:val="24"/>
          <w:lang w:val="en-US"/>
        </w:rPr>
      </w:pPr>
      <w:r w:rsidRPr="00B66BE5">
        <w:rPr>
          <w:b/>
          <w:bCs/>
          <w:sz w:val="24"/>
          <w:szCs w:val="24"/>
          <w:lang w:val="en-US"/>
        </w:rPr>
        <w:t>Supplementary figure 2:</w:t>
      </w:r>
      <w:r w:rsidRPr="00B66BE5">
        <w:rPr>
          <w:sz w:val="24"/>
          <w:szCs w:val="24"/>
          <w:lang w:val="en-US"/>
        </w:rPr>
        <w:t> </w:t>
      </w:r>
      <w:r w:rsidRPr="00B66BE5">
        <w:rPr>
          <w:i/>
          <w:iCs/>
          <w:sz w:val="24"/>
          <w:szCs w:val="24"/>
          <w:lang w:val="en-US"/>
        </w:rPr>
        <w:t>In silico </w:t>
      </w:r>
      <w:r w:rsidRPr="00B66BE5">
        <w:rPr>
          <w:sz w:val="24"/>
          <w:szCs w:val="24"/>
          <w:lang w:val="en-US"/>
        </w:rPr>
        <w:t>predicted ATP turnover rate variation caused by NADH kinase (blue line) or alternative oxidase (yellow line) overexpression.</w:t>
      </w:r>
    </w:p>
    <w:p w14:paraId="6A2049D8" w14:textId="2F47BF82" w:rsidR="00B749BC" w:rsidRDefault="00B749BC" w:rsidP="009C2E84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6E8AB345" wp14:editId="32036E97">
            <wp:extent cx="5499100" cy="3467100"/>
            <wp:effectExtent l="0" t="0" r="6350" b="0"/>
            <wp:docPr id="20879131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E5B92B6-3552-483D-9B65-3B469DB230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8B25DFD" w14:textId="1BEABA3F" w:rsidR="00B749BC" w:rsidRPr="00B66BE5" w:rsidRDefault="00B749BC" w:rsidP="009C2E84">
      <w:pPr>
        <w:rPr>
          <w:sz w:val="24"/>
          <w:szCs w:val="24"/>
        </w:rPr>
      </w:pPr>
      <w:r w:rsidRPr="00B749BC">
        <w:rPr>
          <w:b/>
          <w:bCs/>
          <w:sz w:val="24"/>
          <w:szCs w:val="24"/>
          <w:lang w:val="en-US"/>
        </w:rPr>
        <w:t>Supplementary figure 3:</w:t>
      </w:r>
      <w:r w:rsidRPr="00B749BC">
        <w:rPr>
          <w:sz w:val="24"/>
          <w:szCs w:val="24"/>
          <w:lang w:val="en-US"/>
        </w:rPr>
        <w:t> </w:t>
      </w:r>
      <w:r w:rsidRPr="00B749BC">
        <w:rPr>
          <w:i/>
          <w:iCs/>
          <w:sz w:val="24"/>
          <w:szCs w:val="24"/>
          <w:lang w:val="en-US"/>
        </w:rPr>
        <w:t>In silico </w:t>
      </w:r>
      <w:r w:rsidRPr="00B749BC">
        <w:rPr>
          <w:sz w:val="24"/>
          <w:szCs w:val="24"/>
          <w:lang w:val="en-US"/>
        </w:rPr>
        <w:t xml:space="preserve">predicted </w:t>
      </w:r>
      <w:r w:rsidR="001229EA">
        <w:rPr>
          <w:sz w:val="24"/>
          <w:szCs w:val="24"/>
          <w:lang w:val="en-US"/>
        </w:rPr>
        <w:t>m</w:t>
      </w:r>
      <w:r w:rsidRPr="00B749BC">
        <w:rPr>
          <w:sz w:val="24"/>
          <w:szCs w:val="24"/>
          <w:lang w:val="en-US"/>
        </w:rPr>
        <w:t>itochondrial NADH/NAD</w:t>
      </w:r>
      <w:r w:rsidR="001229EA" w:rsidRPr="001229EA">
        <w:rPr>
          <w:sz w:val="24"/>
          <w:szCs w:val="24"/>
          <w:vertAlign w:val="superscript"/>
          <w:lang w:val="en-US"/>
        </w:rPr>
        <w:t>+</w:t>
      </w:r>
      <w:r w:rsidRPr="00B749BC">
        <w:rPr>
          <w:sz w:val="24"/>
          <w:szCs w:val="24"/>
          <w:lang w:val="en-US"/>
        </w:rPr>
        <w:t xml:space="preserve"> turnover rate variation caused by NADH kinase (blue line) or alternative oxidase (yellow line) overexpression.</w:t>
      </w:r>
    </w:p>
    <w:p w14:paraId="54A40FC9" w14:textId="2DB5EC01" w:rsidR="00EE40F8" w:rsidRPr="00EE40F8" w:rsidRDefault="00EE40F8" w:rsidP="00EE40F8">
      <w:pPr>
        <w:jc w:val="both"/>
        <w:rPr>
          <w:b/>
          <w:bCs/>
          <w:sz w:val="24"/>
          <w:szCs w:val="24"/>
        </w:rPr>
      </w:pPr>
    </w:p>
    <w:p w14:paraId="2739FFF1" w14:textId="565AD226" w:rsidR="00E22831" w:rsidRDefault="00EE40F8" w:rsidP="00EE40F8">
      <w:pPr>
        <w:jc w:val="both"/>
        <w:rPr>
          <w:b/>
          <w:bCs/>
          <w:sz w:val="24"/>
          <w:szCs w:val="24"/>
        </w:rPr>
      </w:pPr>
      <w:r w:rsidRPr="00EE40F8">
        <w:rPr>
          <w:b/>
          <w:bCs/>
          <w:sz w:val="24"/>
          <w:szCs w:val="24"/>
          <w:lang w:val="en-US"/>
        </w:rPr>
        <w:lastRenderedPageBreak/>
        <w:t xml:space="preserve">Supplementary table </w:t>
      </w:r>
      <w:r w:rsidR="00E22831">
        <w:rPr>
          <w:b/>
          <w:bCs/>
          <w:sz w:val="24"/>
          <w:szCs w:val="24"/>
          <w:lang w:val="en-US"/>
        </w:rPr>
        <w:t>1</w:t>
      </w:r>
      <w:r w:rsidRPr="00EE40F8">
        <w:rPr>
          <w:b/>
          <w:bCs/>
          <w:sz w:val="24"/>
          <w:szCs w:val="24"/>
          <w:lang w:val="en-US"/>
        </w:rPr>
        <w:t xml:space="preserve">. Primers used </w:t>
      </w:r>
      <w:r w:rsidR="00E22831">
        <w:rPr>
          <w:b/>
          <w:bCs/>
          <w:sz w:val="24"/>
          <w:szCs w:val="24"/>
          <w:lang w:val="en-US"/>
        </w:rPr>
        <w:t>in this study</w:t>
      </w:r>
      <w:r w:rsidRPr="00EE40F8">
        <w:rPr>
          <w:b/>
          <w:bCs/>
          <w:sz w:val="24"/>
          <w:szCs w:val="24"/>
        </w:rPr>
        <w:t> </w:t>
      </w:r>
    </w:p>
    <w:tbl>
      <w:tblPr>
        <w:tblStyle w:val="Taulaambquadrcula"/>
        <w:tblW w:w="8926" w:type="dxa"/>
        <w:tblLook w:val="04A0" w:firstRow="1" w:lastRow="0" w:firstColumn="1" w:lastColumn="0" w:noHBand="0" w:noVBand="1"/>
      </w:tblPr>
      <w:tblGrid>
        <w:gridCol w:w="1980"/>
        <w:gridCol w:w="4678"/>
        <w:gridCol w:w="2268"/>
      </w:tblGrid>
      <w:tr w:rsidR="00E22831" w14:paraId="1458FCC3" w14:textId="77777777" w:rsidTr="005731B2">
        <w:tc>
          <w:tcPr>
            <w:tcW w:w="1980" w:type="dxa"/>
            <w:shd w:val="clear" w:color="auto" w:fill="D0CECE" w:themeFill="background2" w:themeFillShade="E6"/>
          </w:tcPr>
          <w:p w14:paraId="42FF181D" w14:textId="71453102" w:rsidR="00E22831" w:rsidRPr="005731B2" w:rsidRDefault="00E22831" w:rsidP="00E22831">
            <w:pPr>
              <w:jc w:val="center"/>
              <w:rPr>
                <w:b/>
                <w:bCs/>
                <w:sz w:val="24"/>
                <w:szCs w:val="24"/>
              </w:rPr>
            </w:pPr>
            <w:r w:rsidRPr="005731B2">
              <w:rPr>
                <w:b/>
                <w:bCs/>
                <w:sz w:val="24"/>
                <w:szCs w:val="24"/>
              </w:rPr>
              <w:t>Primer</w:t>
            </w:r>
          </w:p>
        </w:tc>
        <w:tc>
          <w:tcPr>
            <w:tcW w:w="4678" w:type="dxa"/>
            <w:shd w:val="clear" w:color="auto" w:fill="D0CECE" w:themeFill="background2" w:themeFillShade="E6"/>
          </w:tcPr>
          <w:p w14:paraId="4F4CDF0F" w14:textId="4E73C82B" w:rsidR="00E22831" w:rsidRDefault="00E22831" w:rsidP="00E228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Sequence (5’-3’)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53162A13" w14:textId="371AFB52" w:rsidR="00E22831" w:rsidRDefault="00E22831" w:rsidP="00E228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Purpose</w:t>
            </w:r>
          </w:p>
        </w:tc>
      </w:tr>
      <w:tr w:rsidR="005731B2" w14:paraId="27616344" w14:textId="77777777" w:rsidTr="005731B2">
        <w:tc>
          <w:tcPr>
            <w:tcW w:w="1980" w:type="dxa"/>
          </w:tcPr>
          <w:p w14:paraId="4DEADB49" w14:textId="107B4083" w:rsidR="005731B2" w:rsidRDefault="005731B2" w:rsidP="00E22831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pGAP_seq_fw</w:t>
            </w:r>
            <w:proofErr w:type="spellEnd"/>
          </w:p>
        </w:tc>
        <w:tc>
          <w:tcPr>
            <w:tcW w:w="4678" w:type="dxa"/>
          </w:tcPr>
          <w:p w14:paraId="45EB5B4F" w14:textId="3321A1F1" w:rsidR="005731B2" w:rsidRDefault="005731B2" w:rsidP="00E228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AGGTCGTGTACCCGACCTAG</w:t>
            </w:r>
          </w:p>
        </w:tc>
        <w:tc>
          <w:tcPr>
            <w:tcW w:w="2268" w:type="dxa"/>
            <w:vMerge w:val="restart"/>
          </w:tcPr>
          <w:p w14:paraId="711AACBB" w14:textId="595C5FE0" w:rsidR="005731B2" w:rsidRPr="005731B2" w:rsidRDefault="005731B2" w:rsidP="00E22831">
            <w:pPr>
              <w:jc w:val="center"/>
              <w:rPr>
                <w:sz w:val="24"/>
                <w:szCs w:val="24"/>
              </w:rPr>
            </w:pPr>
            <w:proofErr w:type="spellStart"/>
            <w:r w:rsidRPr="005731B2">
              <w:rPr>
                <w:sz w:val="24"/>
                <w:szCs w:val="24"/>
              </w:rPr>
              <w:t>cPCR</w:t>
            </w:r>
            <w:proofErr w:type="spellEnd"/>
            <w:r w:rsidRPr="005731B2">
              <w:rPr>
                <w:sz w:val="24"/>
                <w:szCs w:val="24"/>
              </w:rPr>
              <w:t xml:space="preserve"> check cPOS5 integration</w:t>
            </w:r>
          </w:p>
        </w:tc>
      </w:tr>
      <w:tr w:rsidR="005731B2" w14:paraId="1366944D" w14:textId="77777777" w:rsidTr="005731B2">
        <w:tc>
          <w:tcPr>
            <w:tcW w:w="1980" w:type="dxa"/>
          </w:tcPr>
          <w:p w14:paraId="34E580DC" w14:textId="67989172" w:rsidR="005731B2" w:rsidRDefault="005731B2" w:rsidP="00E228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POS5_seq_rev</w:t>
            </w:r>
          </w:p>
        </w:tc>
        <w:tc>
          <w:tcPr>
            <w:tcW w:w="4678" w:type="dxa"/>
          </w:tcPr>
          <w:p w14:paraId="638D3E5A" w14:textId="41D6B3F6" w:rsidR="005731B2" w:rsidRDefault="005731B2" w:rsidP="00E228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GAAGATGTCCAAGTTAGTCAAGTGTG</w:t>
            </w:r>
          </w:p>
        </w:tc>
        <w:tc>
          <w:tcPr>
            <w:tcW w:w="2268" w:type="dxa"/>
            <w:vMerge/>
          </w:tcPr>
          <w:p w14:paraId="3C9DF902" w14:textId="77777777" w:rsidR="005731B2" w:rsidRPr="005731B2" w:rsidRDefault="005731B2" w:rsidP="00E22831">
            <w:pPr>
              <w:jc w:val="center"/>
              <w:rPr>
                <w:sz w:val="24"/>
                <w:szCs w:val="24"/>
              </w:rPr>
            </w:pPr>
          </w:p>
        </w:tc>
      </w:tr>
      <w:tr w:rsidR="005731B2" w14:paraId="0F5F0C5D" w14:textId="77777777" w:rsidTr="005731B2">
        <w:tc>
          <w:tcPr>
            <w:tcW w:w="1980" w:type="dxa"/>
          </w:tcPr>
          <w:p w14:paraId="615407E4" w14:textId="249D5F0D" w:rsidR="005731B2" w:rsidRDefault="005731B2" w:rsidP="00E228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ACT1_fw</w:t>
            </w:r>
          </w:p>
        </w:tc>
        <w:tc>
          <w:tcPr>
            <w:tcW w:w="4678" w:type="dxa"/>
          </w:tcPr>
          <w:p w14:paraId="6FBF9F53" w14:textId="61C39F7F" w:rsidR="005731B2" w:rsidRDefault="005731B2" w:rsidP="00E228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TGTCCGGTGGTACTATGTTCC</w:t>
            </w:r>
          </w:p>
        </w:tc>
        <w:tc>
          <w:tcPr>
            <w:tcW w:w="2268" w:type="dxa"/>
            <w:vMerge w:val="restart"/>
          </w:tcPr>
          <w:p w14:paraId="255029C4" w14:textId="25A555F8" w:rsidR="005731B2" w:rsidRPr="005731B2" w:rsidRDefault="005731B2" w:rsidP="005731B2">
            <w:pPr>
              <w:jc w:val="center"/>
              <w:rPr>
                <w:sz w:val="24"/>
                <w:szCs w:val="24"/>
              </w:rPr>
            </w:pPr>
            <w:r w:rsidRPr="005731B2">
              <w:rPr>
                <w:sz w:val="24"/>
                <w:szCs w:val="24"/>
              </w:rPr>
              <w:t xml:space="preserve">cPOS5 gene copy number determination through </w:t>
            </w:r>
            <w:proofErr w:type="spellStart"/>
            <w:r w:rsidRPr="005731B2">
              <w:rPr>
                <w:sz w:val="24"/>
                <w:szCs w:val="24"/>
              </w:rPr>
              <w:t>ddPCR</w:t>
            </w:r>
            <w:proofErr w:type="spellEnd"/>
          </w:p>
        </w:tc>
      </w:tr>
      <w:tr w:rsidR="005731B2" w14:paraId="24ABB799" w14:textId="77777777" w:rsidTr="005731B2">
        <w:tc>
          <w:tcPr>
            <w:tcW w:w="1980" w:type="dxa"/>
          </w:tcPr>
          <w:p w14:paraId="4C69FC30" w14:textId="426D3C37" w:rsidR="005731B2" w:rsidRDefault="005731B2" w:rsidP="00E228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ACT1_rev</w:t>
            </w:r>
          </w:p>
        </w:tc>
        <w:tc>
          <w:tcPr>
            <w:tcW w:w="4678" w:type="dxa"/>
          </w:tcPr>
          <w:p w14:paraId="18FCA451" w14:textId="06BAC8A0" w:rsidR="005731B2" w:rsidRDefault="005731B2" w:rsidP="00E228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GATTCGTCGTACTCTTGCTTTGA</w:t>
            </w:r>
          </w:p>
        </w:tc>
        <w:tc>
          <w:tcPr>
            <w:tcW w:w="2268" w:type="dxa"/>
            <w:vMerge/>
          </w:tcPr>
          <w:p w14:paraId="2F3879F7" w14:textId="77777777" w:rsidR="005731B2" w:rsidRDefault="005731B2" w:rsidP="00E228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731B2" w14:paraId="2B65190E" w14:textId="77777777" w:rsidTr="005731B2">
        <w:tc>
          <w:tcPr>
            <w:tcW w:w="1980" w:type="dxa"/>
          </w:tcPr>
          <w:p w14:paraId="6AAF2B44" w14:textId="07B71C66" w:rsidR="005731B2" w:rsidRDefault="005731B2" w:rsidP="00E228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POS5_dd_fw</w:t>
            </w:r>
          </w:p>
        </w:tc>
        <w:tc>
          <w:tcPr>
            <w:tcW w:w="4678" w:type="dxa"/>
          </w:tcPr>
          <w:p w14:paraId="5D1BC2DE" w14:textId="6BD75B91" w:rsidR="005731B2" w:rsidRDefault="005731B2" w:rsidP="00E228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GGAGTGTCATTGAAGAAGAA</w:t>
            </w:r>
          </w:p>
        </w:tc>
        <w:tc>
          <w:tcPr>
            <w:tcW w:w="2268" w:type="dxa"/>
            <w:vMerge/>
          </w:tcPr>
          <w:p w14:paraId="0D0F9F76" w14:textId="77777777" w:rsidR="005731B2" w:rsidRDefault="005731B2" w:rsidP="00E228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731B2" w14:paraId="17E43B07" w14:textId="77777777" w:rsidTr="005731B2">
        <w:tc>
          <w:tcPr>
            <w:tcW w:w="1980" w:type="dxa"/>
          </w:tcPr>
          <w:p w14:paraId="607F07D9" w14:textId="6C257E65" w:rsidR="005731B2" w:rsidRDefault="005731B2" w:rsidP="00E228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POS5_dd_rev</w:t>
            </w:r>
          </w:p>
        </w:tc>
        <w:tc>
          <w:tcPr>
            <w:tcW w:w="4678" w:type="dxa"/>
          </w:tcPr>
          <w:p w14:paraId="045D00E7" w14:textId="30C4307D" w:rsidR="005731B2" w:rsidRDefault="005731B2" w:rsidP="00E228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CGTCAGCAGTAGTTCTAC</w:t>
            </w:r>
          </w:p>
        </w:tc>
        <w:tc>
          <w:tcPr>
            <w:tcW w:w="2268" w:type="dxa"/>
            <w:vMerge/>
          </w:tcPr>
          <w:p w14:paraId="7EF85510" w14:textId="77777777" w:rsidR="005731B2" w:rsidRDefault="005731B2" w:rsidP="00E228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0C1AF840" w14:textId="77777777" w:rsidR="00E22831" w:rsidRPr="00EE40F8" w:rsidRDefault="00E22831" w:rsidP="00E22831">
      <w:pPr>
        <w:jc w:val="center"/>
        <w:rPr>
          <w:b/>
          <w:bCs/>
          <w:sz w:val="24"/>
          <w:szCs w:val="24"/>
        </w:rPr>
      </w:pPr>
    </w:p>
    <w:p w14:paraId="3E84A83C" w14:textId="77777777" w:rsidR="00EE40F8" w:rsidRDefault="00EE40F8" w:rsidP="0026063D">
      <w:pPr>
        <w:jc w:val="both"/>
        <w:rPr>
          <w:b/>
          <w:bCs/>
          <w:sz w:val="24"/>
          <w:szCs w:val="24"/>
          <w:lang w:val="en-US"/>
        </w:rPr>
      </w:pPr>
    </w:p>
    <w:p w14:paraId="5B06451F" w14:textId="058E17DC" w:rsidR="0026063D" w:rsidRPr="0026063D" w:rsidRDefault="0026063D" w:rsidP="0026063D">
      <w:pPr>
        <w:jc w:val="both"/>
        <w:rPr>
          <w:sz w:val="24"/>
          <w:szCs w:val="24"/>
        </w:rPr>
      </w:pPr>
      <w:r w:rsidRPr="0026063D">
        <w:rPr>
          <w:b/>
          <w:bCs/>
          <w:sz w:val="24"/>
          <w:szCs w:val="24"/>
          <w:lang w:val="en-US"/>
        </w:rPr>
        <w:t xml:space="preserve">Supplementary table </w:t>
      </w:r>
      <w:r w:rsidR="00E22831">
        <w:rPr>
          <w:b/>
          <w:bCs/>
          <w:sz w:val="24"/>
          <w:szCs w:val="24"/>
          <w:lang w:val="en-US"/>
        </w:rPr>
        <w:t>2</w:t>
      </w:r>
      <w:r w:rsidRPr="0026063D">
        <w:rPr>
          <w:b/>
          <w:bCs/>
          <w:sz w:val="24"/>
          <w:szCs w:val="24"/>
          <w:lang w:val="en-US"/>
        </w:rPr>
        <w:t>. </w:t>
      </w:r>
      <w:proofErr w:type="spellStart"/>
      <w:r w:rsidRPr="0026063D">
        <w:rPr>
          <w:sz w:val="24"/>
          <w:szCs w:val="24"/>
          <w:lang w:val="en-US"/>
        </w:rPr>
        <w:t>ddPCR</w:t>
      </w:r>
      <w:proofErr w:type="spellEnd"/>
      <w:r w:rsidRPr="0026063D">
        <w:rPr>
          <w:sz w:val="24"/>
          <w:szCs w:val="24"/>
          <w:lang w:val="en-US"/>
        </w:rPr>
        <w:t xml:space="preserve"> analysis results to determine POS5 kinase gene copy number on HcAtOX1 + cPOS5 co-expressing clones</w:t>
      </w:r>
      <w:r w:rsidRPr="0026063D">
        <w:rPr>
          <w:sz w:val="24"/>
          <w:szCs w:val="24"/>
          <w:u w:val="single"/>
          <w:lang w:val="en-US"/>
        </w:rPr>
        <w:t> </w:t>
      </w:r>
      <w:r w:rsidRPr="0026063D">
        <w:rPr>
          <w:sz w:val="24"/>
          <w:szCs w:val="24"/>
          <w:lang w:val="en-US"/>
        </w:rPr>
        <w:t>(P</w:t>
      </w:r>
      <w:r>
        <w:rPr>
          <w:sz w:val="24"/>
          <w:szCs w:val="24"/>
          <w:lang w:val="en-US"/>
        </w:rPr>
        <w:t>OSNOX</w:t>
      </w:r>
      <w:r w:rsidRPr="0026063D">
        <w:rPr>
          <w:sz w:val="24"/>
          <w:szCs w:val="24"/>
          <w:lang w:val="en-US"/>
        </w:rPr>
        <w:t>) and cPOS5 clones.</w:t>
      </w:r>
      <w:r w:rsidRPr="0026063D">
        <w:rPr>
          <w:sz w:val="24"/>
          <w:szCs w:val="24"/>
        </w:rPr>
        <w:t> </w:t>
      </w:r>
    </w:p>
    <w:tbl>
      <w:tblPr>
        <w:tblW w:w="5550" w:type="dxa"/>
        <w:tblInd w:w="14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5"/>
        <w:gridCol w:w="2775"/>
      </w:tblGrid>
      <w:tr w:rsidR="0026063D" w:rsidRPr="0026063D" w14:paraId="7DCC0644" w14:textId="77777777" w:rsidTr="0026063D">
        <w:trPr>
          <w:trHeight w:val="285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5FFEC" w14:textId="1CD2C90D" w:rsidR="0026063D" w:rsidRPr="0026063D" w:rsidRDefault="0026063D" w:rsidP="0026063D">
            <w:pPr>
              <w:jc w:val="center"/>
              <w:rPr>
                <w:sz w:val="28"/>
                <w:szCs w:val="28"/>
              </w:rPr>
            </w:pPr>
            <w:proofErr w:type="spellStart"/>
            <w:r w:rsidRPr="0026063D">
              <w:rPr>
                <w:sz w:val="28"/>
                <w:szCs w:val="28"/>
                <w:lang w:val="ca-ES"/>
              </w:rPr>
              <w:t>Strain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AF7D04F" w14:textId="5D77CABE" w:rsidR="0026063D" w:rsidRPr="0026063D" w:rsidRDefault="0026063D" w:rsidP="0026063D">
            <w:pPr>
              <w:jc w:val="center"/>
              <w:rPr>
                <w:sz w:val="28"/>
                <w:szCs w:val="28"/>
              </w:rPr>
            </w:pPr>
            <w:r w:rsidRPr="001229EA">
              <w:rPr>
                <w:i/>
                <w:iCs/>
                <w:sz w:val="28"/>
                <w:szCs w:val="28"/>
                <w:lang w:val="ca-ES"/>
              </w:rPr>
              <w:t>POS5</w:t>
            </w:r>
            <w:r w:rsidRPr="0026063D">
              <w:rPr>
                <w:sz w:val="28"/>
                <w:szCs w:val="28"/>
                <w:lang w:val="ca-ES"/>
              </w:rPr>
              <w:t> </w:t>
            </w:r>
            <w:proofErr w:type="spellStart"/>
            <w:r w:rsidRPr="0026063D">
              <w:rPr>
                <w:sz w:val="28"/>
                <w:szCs w:val="28"/>
                <w:lang w:val="ca-ES"/>
              </w:rPr>
              <w:t>Copy</w:t>
            </w:r>
            <w:proofErr w:type="spellEnd"/>
            <w:r w:rsidRPr="0026063D">
              <w:rPr>
                <w:sz w:val="28"/>
                <w:szCs w:val="28"/>
                <w:lang w:val="ca-ES"/>
              </w:rPr>
              <w:t> </w:t>
            </w:r>
            <w:proofErr w:type="spellStart"/>
            <w:r w:rsidRPr="0026063D">
              <w:rPr>
                <w:sz w:val="28"/>
                <w:szCs w:val="28"/>
                <w:lang w:val="ca-ES"/>
              </w:rPr>
              <w:t>Number</w:t>
            </w:r>
            <w:proofErr w:type="spellEnd"/>
          </w:p>
        </w:tc>
      </w:tr>
      <w:tr w:rsidR="0026063D" w:rsidRPr="0026063D" w14:paraId="02296556" w14:textId="77777777" w:rsidTr="0026063D">
        <w:trPr>
          <w:trHeight w:val="285"/>
        </w:trPr>
        <w:tc>
          <w:tcPr>
            <w:tcW w:w="2775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CCCCCC"/>
            <w:hideMark/>
          </w:tcPr>
          <w:p w14:paraId="17196CB2" w14:textId="5FD15A1A" w:rsidR="0026063D" w:rsidRPr="0026063D" w:rsidRDefault="0026063D" w:rsidP="0026063D">
            <w:pPr>
              <w:jc w:val="center"/>
              <w:rPr>
                <w:sz w:val="28"/>
                <w:szCs w:val="28"/>
              </w:rPr>
            </w:pPr>
            <w:r w:rsidRPr="0026063D">
              <w:rPr>
                <w:sz w:val="28"/>
                <w:szCs w:val="28"/>
                <w:lang w:val="ca-ES"/>
              </w:rPr>
              <w:t>P</w:t>
            </w:r>
            <w:r>
              <w:rPr>
                <w:sz w:val="28"/>
                <w:szCs w:val="28"/>
                <w:lang w:val="ca-ES"/>
              </w:rPr>
              <w:t>OSNOX</w:t>
            </w:r>
            <w:r w:rsidRPr="0026063D">
              <w:rPr>
                <w:sz w:val="28"/>
                <w:szCs w:val="28"/>
                <w:lang w:val="ca-ES"/>
              </w:rPr>
              <w:t xml:space="preserve"> c1</w:t>
            </w:r>
          </w:p>
        </w:tc>
        <w:tc>
          <w:tcPr>
            <w:tcW w:w="2775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shd w:val="clear" w:color="auto" w:fill="CCCCCC"/>
            <w:hideMark/>
          </w:tcPr>
          <w:p w14:paraId="456BA43B" w14:textId="2CFAC8E1" w:rsidR="0026063D" w:rsidRPr="0026063D" w:rsidRDefault="0026063D" w:rsidP="0026063D">
            <w:pPr>
              <w:jc w:val="center"/>
              <w:rPr>
                <w:sz w:val="28"/>
                <w:szCs w:val="28"/>
              </w:rPr>
            </w:pPr>
            <w:r w:rsidRPr="0026063D">
              <w:rPr>
                <w:sz w:val="28"/>
                <w:szCs w:val="28"/>
                <w:lang w:val="ca-ES"/>
              </w:rPr>
              <w:t>0.71</w:t>
            </w:r>
            <w:r>
              <w:rPr>
                <w:sz w:val="28"/>
                <w:szCs w:val="28"/>
                <w:lang w:val="ca-ES"/>
              </w:rPr>
              <w:t xml:space="preserve"> </w:t>
            </w:r>
            <w:r>
              <w:rPr>
                <w:rFonts w:cstheme="minorHAnsi"/>
                <w:sz w:val="28"/>
                <w:szCs w:val="28"/>
                <w:lang w:val="ca-ES"/>
              </w:rPr>
              <w:t>±</w:t>
            </w:r>
            <w:r>
              <w:rPr>
                <w:sz w:val="28"/>
                <w:szCs w:val="28"/>
                <w:lang w:val="ca-ES"/>
              </w:rPr>
              <w:t xml:space="preserve"> 0.01</w:t>
            </w:r>
          </w:p>
        </w:tc>
      </w:tr>
      <w:tr w:rsidR="0026063D" w:rsidRPr="0026063D" w14:paraId="2119B4BB" w14:textId="77777777" w:rsidTr="0026063D">
        <w:trPr>
          <w:trHeight w:val="285"/>
        </w:trPr>
        <w:tc>
          <w:tcPr>
            <w:tcW w:w="277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213E35" w14:textId="28F5D9FE" w:rsidR="0026063D" w:rsidRPr="0026063D" w:rsidRDefault="0026063D" w:rsidP="0026063D">
            <w:pPr>
              <w:jc w:val="center"/>
              <w:rPr>
                <w:sz w:val="28"/>
                <w:szCs w:val="28"/>
              </w:rPr>
            </w:pPr>
            <w:r w:rsidRPr="0026063D">
              <w:rPr>
                <w:sz w:val="28"/>
                <w:szCs w:val="28"/>
                <w:lang w:val="ca-ES"/>
              </w:rPr>
              <w:t>P</w:t>
            </w:r>
            <w:r>
              <w:rPr>
                <w:sz w:val="28"/>
                <w:szCs w:val="28"/>
                <w:lang w:val="ca-ES"/>
              </w:rPr>
              <w:t>OSNOX</w:t>
            </w:r>
            <w:r w:rsidRPr="0026063D">
              <w:rPr>
                <w:sz w:val="28"/>
                <w:szCs w:val="28"/>
                <w:lang w:val="ca-ES"/>
              </w:rPr>
              <w:t xml:space="preserve"> c2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5C1FF1" w14:textId="1D4F0BC8" w:rsidR="0026063D" w:rsidRPr="0026063D" w:rsidRDefault="0026063D" w:rsidP="0026063D">
            <w:pPr>
              <w:jc w:val="center"/>
              <w:rPr>
                <w:sz w:val="28"/>
                <w:szCs w:val="28"/>
              </w:rPr>
            </w:pPr>
            <w:r w:rsidRPr="0026063D">
              <w:rPr>
                <w:sz w:val="28"/>
                <w:szCs w:val="28"/>
                <w:lang w:val="ca-ES"/>
              </w:rPr>
              <w:t>1.13</w:t>
            </w:r>
            <w:r>
              <w:rPr>
                <w:sz w:val="28"/>
                <w:szCs w:val="28"/>
                <w:lang w:val="ca-ES"/>
              </w:rPr>
              <w:t xml:space="preserve"> </w:t>
            </w:r>
            <w:r>
              <w:rPr>
                <w:rFonts w:cstheme="minorHAnsi"/>
                <w:sz w:val="28"/>
                <w:szCs w:val="28"/>
                <w:lang w:val="ca-ES"/>
              </w:rPr>
              <w:t>± 0.02</w:t>
            </w:r>
          </w:p>
        </w:tc>
      </w:tr>
      <w:tr w:rsidR="0026063D" w:rsidRPr="0026063D" w14:paraId="7D24F127" w14:textId="77777777" w:rsidTr="0026063D">
        <w:trPr>
          <w:trHeight w:val="285"/>
        </w:trPr>
        <w:tc>
          <w:tcPr>
            <w:tcW w:w="2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CCC"/>
            <w:hideMark/>
          </w:tcPr>
          <w:p w14:paraId="7237274C" w14:textId="5B92C3FA" w:rsidR="0026063D" w:rsidRPr="0026063D" w:rsidRDefault="0026063D" w:rsidP="0026063D">
            <w:pPr>
              <w:jc w:val="center"/>
              <w:rPr>
                <w:sz w:val="28"/>
                <w:szCs w:val="28"/>
              </w:rPr>
            </w:pPr>
            <w:r w:rsidRPr="0026063D">
              <w:rPr>
                <w:sz w:val="28"/>
                <w:szCs w:val="28"/>
                <w:lang w:val="ca-ES"/>
              </w:rPr>
              <w:t>P</w:t>
            </w:r>
            <w:r>
              <w:rPr>
                <w:sz w:val="28"/>
                <w:szCs w:val="28"/>
                <w:lang w:val="ca-ES"/>
              </w:rPr>
              <w:t>OSNOX</w:t>
            </w:r>
            <w:r w:rsidRPr="0026063D">
              <w:rPr>
                <w:sz w:val="28"/>
                <w:szCs w:val="28"/>
                <w:lang w:val="ca-ES"/>
              </w:rPr>
              <w:t xml:space="preserve"> c3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CCC"/>
            <w:hideMark/>
          </w:tcPr>
          <w:p w14:paraId="48EB85BF" w14:textId="0B4FD8B3" w:rsidR="0026063D" w:rsidRPr="0026063D" w:rsidRDefault="0026063D" w:rsidP="0026063D">
            <w:pPr>
              <w:jc w:val="center"/>
              <w:rPr>
                <w:sz w:val="28"/>
                <w:szCs w:val="28"/>
              </w:rPr>
            </w:pPr>
            <w:r w:rsidRPr="0026063D">
              <w:rPr>
                <w:sz w:val="28"/>
                <w:szCs w:val="28"/>
                <w:lang w:val="ca-ES"/>
              </w:rPr>
              <w:t>2.05</w:t>
            </w:r>
            <w:r>
              <w:rPr>
                <w:sz w:val="28"/>
                <w:szCs w:val="28"/>
                <w:lang w:val="ca-ES"/>
              </w:rPr>
              <w:t xml:space="preserve"> </w:t>
            </w:r>
            <w:r>
              <w:rPr>
                <w:rFonts w:cstheme="minorHAnsi"/>
                <w:sz w:val="28"/>
                <w:szCs w:val="28"/>
                <w:lang w:val="ca-ES"/>
              </w:rPr>
              <w:t>± 0.63</w:t>
            </w:r>
          </w:p>
        </w:tc>
      </w:tr>
      <w:tr w:rsidR="0026063D" w:rsidRPr="0026063D" w14:paraId="73311792" w14:textId="77777777" w:rsidTr="0026063D">
        <w:trPr>
          <w:trHeight w:val="285"/>
        </w:trPr>
        <w:tc>
          <w:tcPr>
            <w:tcW w:w="277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4470EA" w14:textId="78CCDAF8" w:rsidR="0026063D" w:rsidRPr="0026063D" w:rsidRDefault="0026063D" w:rsidP="0026063D">
            <w:pPr>
              <w:jc w:val="center"/>
              <w:rPr>
                <w:sz w:val="28"/>
                <w:szCs w:val="28"/>
              </w:rPr>
            </w:pPr>
            <w:r w:rsidRPr="0026063D">
              <w:rPr>
                <w:sz w:val="28"/>
                <w:szCs w:val="28"/>
                <w:lang w:val="ca-ES"/>
              </w:rPr>
              <w:t>P</w:t>
            </w:r>
            <w:r>
              <w:rPr>
                <w:sz w:val="28"/>
                <w:szCs w:val="28"/>
                <w:lang w:val="ca-ES"/>
              </w:rPr>
              <w:t>OSNOX</w:t>
            </w:r>
            <w:r w:rsidRPr="0026063D">
              <w:rPr>
                <w:sz w:val="28"/>
                <w:szCs w:val="28"/>
                <w:lang w:val="ca-ES"/>
              </w:rPr>
              <w:t xml:space="preserve"> c6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5AC6B58" w14:textId="33C221CA" w:rsidR="0026063D" w:rsidRPr="0026063D" w:rsidRDefault="0026063D" w:rsidP="0026063D">
            <w:pPr>
              <w:jc w:val="center"/>
              <w:rPr>
                <w:sz w:val="28"/>
                <w:szCs w:val="28"/>
              </w:rPr>
            </w:pPr>
            <w:r w:rsidRPr="0026063D">
              <w:rPr>
                <w:sz w:val="28"/>
                <w:szCs w:val="28"/>
                <w:lang w:val="ca-ES"/>
              </w:rPr>
              <w:t>3.35</w:t>
            </w:r>
            <w:r>
              <w:rPr>
                <w:sz w:val="28"/>
                <w:szCs w:val="28"/>
                <w:lang w:val="ca-ES"/>
              </w:rPr>
              <w:t xml:space="preserve"> </w:t>
            </w:r>
            <w:r>
              <w:rPr>
                <w:rFonts w:cstheme="minorHAnsi"/>
                <w:sz w:val="28"/>
                <w:szCs w:val="28"/>
                <w:lang w:val="ca-ES"/>
              </w:rPr>
              <w:t>± 0.02</w:t>
            </w:r>
          </w:p>
        </w:tc>
      </w:tr>
      <w:tr w:rsidR="0026063D" w:rsidRPr="0026063D" w14:paraId="71646971" w14:textId="77777777" w:rsidTr="0026063D">
        <w:trPr>
          <w:trHeight w:val="285"/>
        </w:trPr>
        <w:tc>
          <w:tcPr>
            <w:tcW w:w="2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CCC"/>
            <w:hideMark/>
          </w:tcPr>
          <w:p w14:paraId="3D622949" w14:textId="601D36F5" w:rsidR="0026063D" w:rsidRPr="0026063D" w:rsidRDefault="0026063D" w:rsidP="0026063D">
            <w:pPr>
              <w:jc w:val="center"/>
              <w:rPr>
                <w:sz w:val="28"/>
                <w:szCs w:val="28"/>
              </w:rPr>
            </w:pPr>
            <w:r w:rsidRPr="0026063D">
              <w:rPr>
                <w:sz w:val="28"/>
                <w:szCs w:val="28"/>
                <w:lang w:val="ca-ES"/>
              </w:rPr>
              <w:t>P</w:t>
            </w:r>
            <w:r>
              <w:rPr>
                <w:sz w:val="28"/>
                <w:szCs w:val="28"/>
                <w:lang w:val="ca-ES"/>
              </w:rPr>
              <w:t>OSNOX</w:t>
            </w:r>
            <w:r w:rsidRPr="0026063D">
              <w:rPr>
                <w:sz w:val="28"/>
                <w:szCs w:val="28"/>
                <w:lang w:val="ca-ES"/>
              </w:rPr>
              <w:t xml:space="preserve"> c10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CCC"/>
            <w:hideMark/>
          </w:tcPr>
          <w:p w14:paraId="79D6A910" w14:textId="3FA530E2" w:rsidR="0026063D" w:rsidRPr="0026063D" w:rsidRDefault="0026063D" w:rsidP="0026063D">
            <w:pPr>
              <w:jc w:val="center"/>
              <w:rPr>
                <w:sz w:val="28"/>
                <w:szCs w:val="28"/>
              </w:rPr>
            </w:pPr>
            <w:r w:rsidRPr="0026063D">
              <w:rPr>
                <w:sz w:val="28"/>
                <w:szCs w:val="28"/>
                <w:lang w:val="ca-ES"/>
              </w:rPr>
              <w:t>2.05</w:t>
            </w:r>
            <w:r>
              <w:rPr>
                <w:sz w:val="28"/>
                <w:szCs w:val="28"/>
                <w:lang w:val="ca-ES"/>
              </w:rPr>
              <w:t xml:space="preserve"> </w:t>
            </w:r>
            <w:r>
              <w:rPr>
                <w:rFonts w:cstheme="minorHAnsi"/>
                <w:sz w:val="28"/>
                <w:szCs w:val="28"/>
                <w:lang w:val="ca-ES"/>
              </w:rPr>
              <w:t>± 0.16</w:t>
            </w:r>
          </w:p>
        </w:tc>
      </w:tr>
      <w:tr w:rsidR="0026063D" w:rsidRPr="0026063D" w14:paraId="72105DC6" w14:textId="77777777" w:rsidTr="0026063D">
        <w:trPr>
          <w:trHeight w:val="285"/>
        </w:trPr>
        <w:tc>
          <w:tcPr>
            <w:tcW w:w="277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42DF71B" w14:textId="055053AC" w:rsidR="0026063D" w:rsidRPr="0026063D" w:rsidRDefault="0026063D" w:rsidP="0026063D">
            <w:pPr>
              <w:jc w:val="center"/>
              <w:rPr>
                <w:sz w:val="28"/>
                <w:szCs w:val="28"/>
              </w:rPr>
            </w:pPr>
            <w:r w:rsidRPr="0026063D">
              <w:rPr>
                <w:sz w:val="28"/>
                <w:szCs w:val="28"/>
                <w:lang w:val="ca-ES"/>
              </w:rPr>
              <w:t>P</w:t>
            </w:r>
            <w:r>
              <w:rPr>
                <w:sz w:val="28"/>
                <w:szCs w:val="28"/>
                <w:lang w:val="ca-ES"/>
              </w:rPr>
              <w:t>OSNOX</w:t>
            </w:r>
            <w:r w:rsidRPr="0026063D">
              <w:rPr>
                <w:sz w:val="28"/>
                <w:szCs w:val="28"/>
                <w:lang w:val="ca-ES"/>
              </w:rPr>
              <w:t xml:space="preserve"> c13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26DA5BE" w14:textId="165596A0" w:rsidR="0026063D" w:rsidRPr="0026063D" w:rsidRDefault="0026063D" w:rsidP="0026063D">
            <w:pPr>
              <w:jc w:val="center"/>
              <w:rPr>
                <w:sz w:val="28"/>
                <w:szCs w:val="28"/>
              </w:rPr>
            </w:pPr>
            <w:r w:rsidRPr="0026063D">
              <w:rPr>
                <w:sz w:val="28"/>
                <w:szCs w:val="28"/>
                <w:lang w:val="ca-ES"/>
              </w:rPr>
              <w:t>2.06</w:t>
            </w:r>
            <w:r>
              <w:rPr>
                <w:sz w:val="28"/>
                <w:szCs w:val="28"/>
                <w:lang w:val="ca-ES"/>
              </w:rPr>
              <w:t xml:space="preserve"> </w:t>
            </w:r>
            <w:r>
              <w:rPr>
                <w:rFonts w:cstheme="minorHAnsi"/>
                <w:sz w:val="28"/>
                <w:szCs w:val="28"/>
                <w:lang w:val="ca-ES"/>
              </w:rPr>
              <w:t>± 0.63</w:t>
            </w:r>
          </w:p>
        </w:tc>
      </w:tr>
      <w:tr w:rsidR="0026063D" w:rsidRPr="0026063D" w14:paraId="4AD282D4" w14:textId="77777777" w:rsidTr="0026063D">
        <w:trPr>
          <w:trHeight w:val="285"/>
        </w:trPr>
        <w:tc>
          <w:tcPr>
            <w:tcW w:w="2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CCC"/>
            <w:hideMark/>
          </w:tcPr>
          <w:p w14:paraId="78EA5CA1" w14:textId="48A3271C" w:rsidR="0026063D" w:rsidRPr="0026063D" w:rsidRDefault="0026063D" w:rsidP="0026063D">
            <w:pPr>
              <w:jc w:val="center"/>
              <w:rPr>
                <w:sz w:val="28"/>
                <w:szCs w:val="28"/>
              </w:rPr>
            </w:pPr>
            <w:r w:rsidRPr="0026063D">
              <w:rPr>
                <w:sz w:val="28"/>
                <w:szCs w:val="28"/>
                <w:lang w:val="ca-ES"/>
              </w:rPr>
              <w:t>P</w:t>
            </w:r>
            <w:r>
              <w:rPr>
                <w:sz w:val="28"/>
                <w:szCs w:val="28"/>
                <w:lang w:val="ca-ES"/>
              </w:rPr>
              <w:t>OSNOX</w:t>
            </w:r>
            <w:r w:rsidRPr="0026063D">
              <w:rPr>
                <w:sz w:val="28"/>
                <w:szCs w:val="28"/>
                <w:lang w:val="ca-ES"/>
              </w:rPr>
              <w:t xml:space="preserve"> c16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CCC"/>
            <w:hideMark/>
          </w:tcPr>
          <w:p w14:paraId="51F07550" w14:textId="5C971141" w:rsidR="0026063D" w:rsidRPr="0026063D" w:rsidRDefault="0026063D" w:rsidP="0026063D">
            <w:pPr>
              <w:jc w:val="center"/>
              <w:rPr>
                <w:sz w:val="28"/>
                <w:szCs w:val="28"/>
              </w:rPr>
            </w:pPr>
            <w:r w:rsidRPr="0026063D">
              <w:rPr>
                <w:sz w:val="28"/>
                <w:szCs w:val="28"/>
                <w:lang w:val="ca-ES"/>
              </w:rPr>
              <w:t>3.55</w:t>
            </w:r>
            <w:r>
              <w:rPr>
                <w:sz w:val="28"/>
                <w:szCs w:val="28"/>
                <w:lang w:val="ca-ES"/>
              </w:rPr>
              <w:t xml:space="preserve"> </w:t>
            </w:r>
            <w:r>
              <w:rPr>
                <w:rFonts w:cstheme="minorHAnsi"/>
                <w:sz w:val="28"/>
                <w:szCs w:val="28"/>
                <w:lang w:val="ca-ES"/>
              </w:rPr>
              <w:t>± 0.01</w:t>
            </w:r>
          </w:p>
        </w:tc>
      </w:tr>
      <w:tr w:rsidR="0026063D" w:rsidRPr="0026063D" w14:paraId="09B1A840" w14:textId="77777777" w:rsidTr="0026063D">
        <w:trPr>
          <w:trHeight w:val="285"/>
        </w:trPr>
        <w:tc>
          <w:tcPr>
            <w:tcW w:w="277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F1EDB0" w14:textId="514D39FB" w:rsidR="0026063D" w:rsidRPr="0026063D" w:rsidRDefault="0026063D" w:rsidP="0026063D">
            <w:pPr>
              <w:jc w:val="center"/>
              <w:rPr>
                <w:sz w:val="28"/>
                <w:szCs w:val="28"/>
              </w:rPr>
            </w:pPr>
            <w:r w:rsidRPr="0026063D">
              <w:rPr>
                <w:sz w:val="28"/>
                <w:szCs w:val="28"/>
                <w:lang w:val="ca-ES"/>
              </w:rPr>
              <w:t>P</w:t>
            </w:r>
            <w:r>
              <w:rPr>
                <w:sz w:val="28"/>
                <w:szCs w:val="28"/>
                <w:lang w:val="ca-ES"/>
              </w:rPr>
              <w:t>OSNOX</w:t>
            </w:r>
            <w:r w:rsidRPr="0026063D">
              <w:rPr>
                <w:sz w:val="28"/>
                <w:szCs w:val="28"/>
                <w:lang w:val="ca-ES"/>
              </w:rPr>
              <w:t xml:space="preserve"> c20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4383747" w14:textId="6F7F245D" w:rsidR="0026063D" w:rsidRPr="0026063D" w:rsidRDefault="0026063D" w:rsidP="0026063D">
            <w:pPr>
              <w:jc w:val="center"/>
              <w:rPr>
                <w:sz w:val="28"/>
                <w:szCs w:val="28"/>
              </w:rPr>
            </w:pPr>
            <w:r w:rsidRPr="0026063D">
              <w:rPr>
                <w:sz w:val="28"/>
                <w:szCs w:val="28"/>
                <w:lang w:val="ca-ES"/>
              </w:rPr>
              <w:t>12.22</w:t>
            </w:r>
            <w:r>
              <w:rPr>
                <w:sz w:val="28"/>
                <w:szCs w:val="28"/>
                <w:lang w:val="ca-ES"/>
              </w:rPr>
              <w:t xml:space="preserve"> </w:t>
            </w:r>
            <w:r>
              <w:rPr>
                <w:rFonts w:cstheme="minorHAnsi"/>
                <w:sz w:val="28"/>
                <w:szCs w:val="28"/>
                <w:lang w:val="ca-ES"/>
              </w:rPr>
              <w:t>± 0.00</w:t>
            </w:r>
          </w:p>
        </w:tc>
      </w:tr>
      <w:tr w:rsidR="0026063D" w:rsidRPr="0026063D" w14:paraId="3B3854FE" w14:textId="77777777" w:rsidTr="0026063D">
        <w:trPr>
          <w:trHeight w:val="285"/>
        </w:trPr>
        <w:tc>
          <w:tcPr>
            <w:tcW w:w="2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CCC"/>
            <w:hideMark/>
          </w:tcPr>
          <w:p w14:paraId="7F905711" w14:textId="168F73D2" w:rsidR="0026063D" w:rsidRPr="0026063D" w:rsidRDefault="0026063D" w:rsidP="0026063D">
            <w:pPr>
              <w:jc w:val="center"/>
              <w:rPr>
                <w:sz w:val="28"/>
                <w:szCs w:val="28"/>
              </w:rPr>
            </w:pPr>
            <w:r w:rsidRPr="0026063D">
              <w:rPr>
                <w:sz w:val="28"/>
                <w:szCs w:val="28"/>
                <w:lang w:val="ca-ES"/>
              </w:rPr>
              <w:t>cPOS5  </w:t>
            </w:r>
            <w:r>
              <w:rPr>
                <w:sz w:val="28"/>
                <w:szCs w:val="28"/>
                <w:lang w:val="ca-ES"/>
              </w:rPr>
              <w:t>c</w:t>
            </w:r>
            <w:r w:rsidRPr="0026063D">
              <w:rPr>
                <w:sz w:val="28"/>
                <w:szCs w:val="28"/>
                <w:lang w:val="ca-ES"/>
              </w:rPr>
              <w:t>1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CCC"/>
            <w:hideMark/>
          </w:tcPr>
          <w:p w14:paraId="5F6933BD" w14:textId="5EB89154" w:rsidR="0026063D" w:rsidRPr="0026063D" w:rsidRDefault="0026063D" w:rsidP="0026063D">
            <w:pPr>
              <w:jc w:val="center"/>
              <w:rPr>
                <w:sz w:val="28"/>
                <w:szCs w:val="28"/>
              </w:rPr>
            </w:pPr>
            <w:r w:rsidRPr="0026063D">
              <w:rPr>
                <w:sz w:val="28"/>
                <w:szCs w:val="28"/>
                <w:lang w:val="ca-ES"/>
              </w:rPr>
              <w:t>1.95</w:t>
            </w:r>
            <w:r>
              <w:rPr>
                <w:sz w:val="28"/>
                <w:szCs w:val="28"/>
                <w:lang w:val="ca-ES"/>
              </w:rPr>
              <w:t xml:space="preserve"> </w:t>
            </w:r>
            <w:r>
              <w:rPr>
                <w:rFonts w:cstheme="minorHAnsi"/>
                <w:sz w:val="28"/>
                <w:szCs w:val="28"/>
                <w:lang w:val="ca-ES"/>
              </w:rPr>
              <w:t>± 0.17</w:t>
            </w:r>
          </w:p>
        </w:tc>
      </w:tr>
      <w:tr w:rsidR="0026063D" w:rsidRPr="0026063D" w14:paraId="02DB8A35" w14:textId="77777777" w:rsidTr="0026063D">
        <w:trPr>
          <w:trHeight w:val="285"/>
        </w:trPr>
        <w:tc>
          <w:tcPr>
            <w:tcW w:w="277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2179F3" w14:textId="185B0BCB" w:rsidR="0026063D" w:rsidRPr="0026063D" w:rsidRDefault="0026063D" w:rsidP="0026063D">
            <w:pPr>
              <w:jc w:val="center"/>
              <w:rPr>
                <w:sz w:val="28"/>
                <w:szCs w:val="28"/>
              </w:rPr>
            </w:pPr>
            <w:r w:rsidRPr="0026063D">
              <w:rPr>
                <w:sz w:val="28"/>
                <w:szCs w:val="28"/>
                <w:lang w:val="ca-ES"/>
              </w:rPr>
              <w:t>cPOS5  </w:t>
            </w:r>
            <w:r>
              <w:rPr>
                <w:sz w:val="28"/>
                <w:szCs w:val="28"/>
                <w:lang w:val="ca-ES"/>
              </w:rPr>
              <w:t>c</w:t>
            </w:r>
            <w:r w:rsidRPr="0026063D">
              <w:rPr>
                <w:sz w:val="28"/>
                <w:szCs w:val="28"/>
                <w:lang w:val="ca-ES"/>
              </w:rPr>
              <w:t>2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E504BC6" w14:textId="7865A2A8" w:rsidR="0026063D" w:rsidRPr="0026063D" w:rsidRDefault="0026063D" w:rsidP="0026063D">
            <w:pPr>
              <w:jc w:val="center"/>
              <w:rPr>
                <w:sz w:val="28"/>
                <w:szCs w:val="28"/>
              </w:rPr>
            </w:pPr>
            <w:r w:rsidRPr="0026063D">
              <w:rPr>
                <w:sz w:val="28"/>
                <w:szCs w:val="28"/>
                <w:lang w:val="ca-ES"/>
              </w:rPr>
              <w:t>1.19</w:t>
            </w:r>
            <w:r>
              <w:rPr>
                <w:sz w:val="28"/>
                <w:szCs w:val="28"/>
                <w:lang w:val="ca-ES"/>
              </w:rPr>
              <w:t xml:space="preserve"> </w:t>
            </w:r>
            <w:r>
              <w:rPr>
                <w:rFonts w:cstheme="minorHAnsi"/>
                <w:sz w:val="28"/>
                <w:szCs w:val="28"/>
                <w:lang w:val="ca-ES"/>
              </w:rPr>
              <w:t>± 0.01</w:t>
            </w:r>
          </w:p>
        </w:tc>
      </w:tr>
      <w:tr w:rsidR="0026063D" w:rsidRPr="0026063D" w14:paraId="55E0FB56" w14:textId="77777777" w:rsidTr="0026063D">
        <w:trPr>
          <w:trHeight w:val="285"/>
        </w:trPr>
        <w:tc>
          <w:tcPr>
            <w:tcW w:w="2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3B51CBD3" w14:textId="77E02FAD" w:rsidR="0026063D" w:rsidRPr="0026063D" w:rsidRDefault="0026063D" w:rsidP="0026063D">
            <w:pPr>
              <w:jc w:val="center"/>
              <w:rPr>
                <w:sz w:val="28"/>
                <w:szCs w:val="28"/>
              </w:rPr>
            </w:pPr>
            <w:r w:rsidRPr="0026063D">
              <w:rPr>
                <w:sz w:val="28"/>
                <w:szCs w:val="28"/>
                <w:lang w:val="ca-ES"/>
              </w:rPr>
              <w:t xml:space="preserve">cPOS5  </w:t>
            </w:r>
            <w:r>
              <w:rPr>
                <w:sz w:val="28"/>
                <w:szCs w:val="28"/>
                <w:lang w:val="ca-ES"/>
              </w:rPr>
              <w:t>c</w:t>
            </w:r>
            <w:r w:rsidRPr="0026063D">
              <w:rPr>
                <w:sz w:val="28"/>
                <w:szCs w:val="28"/>
                <w:lang w:val="ca-ES"/>
              </w:rPr>
              <w:t>3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053CD0" w14:textId="5155DD06" w:rsidR="0026063D" w:rsidRPr="0026063D" w:rsidRDefault="0026063D" w:rsidP="0026063D">
            <w:pPr>
              <w:jc w:val="center"/>
              <w:rPr>
                <w:sz w:val="28"/>
                <w:szCs w:val="28"/>
              </w:rPr>
            </w:pPr>
            <w:r w:rsidRPr="0026063D">
              <w:rPr>
                <w:sz w:val="28"/>
                <w:szCs w:val="28"/>
                <w:lang w:val="ca-ES"/>
              </w:rPr>
              <w:t>0.97</w:t>
            </w:r>
            <w:r>
              <w:rPr>
                <w:sz w:val="28"/>
                <w:szCs w:val="28"/>
                <w:lang w:val="ca-ES"/>
              </w:rPr>
              <w:t xml:space="preserve"> </w:t>
            </w:r>
            <w:r>
              <w:rPr>
                <w:rFonts w:cstheme="minorHAnsi"/>
                <w:sz w:val="28"/>
                <w:szCs w:val="28"/>
                <w:lang w:val="ca-ES"/>
              </w:rPr>
              <w:t>± 0.01</w:t>
            </w:r>
          </w:p>
        </w:tc>
      </w:tr>
      <w:tr w:rsidR="0026063D" w:rsidRPr="0026063D" w14:paraId="0A91AB00" w14:textId="77777777" w:rsidTr="0026063D">
        <w:trPr>
          <w:trHeight w:val="285"/>
        </w:trPr>
        <w:tc>
          <w:tcPr>
            <w:tcW w:w="2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16FBF8" w14:textId="5A9D39E7" w:rsidR="0026063D" w:rsidRPr="0026063D" w:rsidRDefault="0026063D" w:rsidP="0026063D">
            <w:pPr>
              <w:jc w:val="center"/>
              <w:rPr>
                <w:sz w:val="28"/>
                <w:szCs w:val="28"/>
              </w:rPr>
            </w:pPr>
            <w:r w:rsidRPr="0026063D">
              <w:rPr>
                <w:sz w:val="28"/>
                <w:szCs w:val="28"/>
                <w:lang w:val="ca-ES"/>
              </w:rPr>
              <w:t xml:space="preserve">cPOS5  </w:t>
            </w:r>
            <w:r>
              <w:rPr>
                <w:sz w:val="28"/>
                <w:szCs w:val="28"/>
                <w:lang w:val="ca-ES"/>
              </w:rPr>
              <w:t>c</w:t>
            </w:r>
            <w:r w:rsidRPr="0026063D">
              <w:rPr>
                <w:sz w:val="28"/>
                <w:szCs w:val="28"/>
                <w:lang w:val="ca-ES"/>
              </w:rPr>
              <w:t>4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D17E3" w14:textId="663D01C3" w:rsidR="0026063D" w:rsidRPr="0026063D" w:rsidRDefault="0026063D" w:rsidP="0026063D">
            <w:pPr>
              <w:jc w:val="center"/>
              <w:rPr>
                <w:sz w:val="28"/>
                <w:szCs w:val="28"/>
              </w:rPr>
            </w:pPr>
            <w:r w:rsidRPr="0026063D">
              <w:rPr>
                <w:sz w:val="28"/>
                <w:szCs w:val="28"/>
                <w:lang w:val="ca-ES"/>
              </w:rPr>
              <w:t>1.24</w:t>
            </w:r>
            <w:r>
              <w:rPr>
                <w:sz w:val="28"/>
                <w:szCs w:val="28"/>
                <w:lang w:val="ca-ES"/>
              </w:rPr>
              <w:t xml:space="preserve"> </w:t>
            </w:r>
            <w:r>
              <w:rPr>
                <w:rFonts w:cstheme="minorHAnsi"/>
                <w:sz w:val="28"/>
                <w:szCs w:val="28"/>
                <w:lang w:val="ca-ES"/>
              </w:rPr>
              <w:t>± 0.02</w:t>
            </w:r>
          </w:p>
        </w:tc>
      </w:tr>
    </w:tbl>
    <w:p w14:paraId="039AFE6A" w14:textId="41CAF996" w:rsidR="009C2E84" w:rsidRDefault="009C2E84" w:rsidP="009C2E84">
      <w:pPr>
        <w:rPr>
          <w:sz w:val="28"/>
          <w:szCs w:val="28"/>
        </w:rPr>
      </w:pPr>
    </w:p>
    <w:p w14:paraId="3CBFD16A" w14:textId="77777777" w:rsidR="00262C3C" w:rsidRDefault="00262C3C" w:rsidP="009C2E84">
      <w:pPr>
        <w:rPr>
          <w:sz w:val="28"/>
          <w:szCs w:val="28"/>
        </w:rPr>
      </w:pPr>
    </w:p>
    <w:p w14:paraId="31E72D9B" w14:textId="77777777" w:rsidR="002666D0" w:rsidRDefault="002666D0" w:rsidP="009C2E84">
      <w:pPr>
        <w:rPr>
          <w:sz w:val="28"/>
          <w:szCs w:val="28"/>
        </w:rPr>
      </w:pPr>
    </w:p>
    <w:p w14:paraId="3D601951" w14:textId="77777777" w:rsidR="002666D0" w:rsidRDefault="002666D0" w:rsidP="009C2E84">
      <w:pPr>
        <w:rPr>
          <w:sz w:val="28"/>
          <w:szCs w:val="28"/>
        </w:rPr>
      </w:pPr>
    </w:p>
    <w:p w14:paraId="724E301F" w14:textId="77777777" w:rsidR="002666D0" w:rsidRDefault="002666D0" w:rsidP="009C2E84">
      <w:pPr>
        <w:rPr>
          <w:sz w:val="28"/>
          <w:szCs w:val="28"/>
        </w:rPr>
      </w:pPr>
    </w:p>
    <w:p w14:paraId="229E4C69" w14:textId="77777777" w:rsidR="002666D0" w:rsidRDefault="002666D0" w:rsidP="009C2E84">
      <w:pPr>
        <w:rPr>
          <w:sz w:val="28"/>
          <w:szCs w:val="28"/>
        </w:rPr>
        <w:sectPr w:rsidR="002666D0" w:rsidSect="00204470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871A10C" w14:textId="07E04AC6" w:rsidR="002666D0" w:rsidRDefault="000A2EF3" w:rsidP="009C2E84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2A14647" wp14:editId="538B469A">
            <wp:extent cx="8377311" cy="4304714"/>
            <wp:effectExtent l="0" t="0" r="5080" b="635"/>
            <wp:docPr id="150053738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C8CEB15-8884-4E4C-827C-27A1D69BE78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1D139AD" w14:textId="77777777" w:rsidR="002666D0" w:rsidRDefault="002666D0" w:rsidP="009C2E84">
      <w:pPr>
        <w:rPr>
          <w:sz w:val="28"/>
          <w:szCs w:val="28"/>
        </w:rPr>
      </w:pPr>
    </w:p>
    <w:p w14:paraId="3CA020EF" w14:textId="0B8D1EC7" w:rsidR="002666D0" w:rsidRPr="002666D0" w:rsidRDefault="002666D0" w:rsidP="009C2E84">
      <w:pPr>
        <w:rPr>
          <w:sz w:val="24"/>
          <w:szCs w:val="24"/>
        </w:rPr>
        <w:sectPr w:rsidR="002666D0" w:rsidRPr="002666D0" w:rsidSect="002666D0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  <w:proofErr w:type="spellStart"/>
      <w:r w:rsidRPr="002666D0">
        <w:rPr>
          <w:b/>
          <w:bCs/>
          <w:sz w:val="24"/>
          <w:szCs w:val="24"/>
          <w:lang w:val="ca-ES"/>
        </w:rPr>
        <w:t>Supplementary</w:t>
      </w:r>
      <w:proofErr w:type="spellEnd"/>
      <w:r w:rsidRPr="002666D0">
        <w:rPr>
          <w:b/>
          <w:bCs/>
          <w:sz w:val="24"/>
          <w:szCs w:val="24"/>
          <w:lang w:val="ca-ES"/>
        </w:rPr>
        <w:t xml:space="preserve"> </w:t>
      </w:r>
      <w:proofErr w:type="spellStart"/>
      <w:r w:rsidRPr="002666D0">
        <w:rPr>
          <w:b/>
          <w:bCs/>
          <w:sz w:val="24"/>
          <w:szCs w:val="24"/>
          <w:lang w:val="ca-ES"/>
        </w:rPr>
        <w:t>figure</w:t>
      </w:r>
      <w:proofErr w:type="spellEnd"/>
      <w:r w:rsidRPr="002666D0">
        <w:rPr>
          <w:b/>
          <w:bCs/>
          <w:sz w:val="24"/>
          <w:szCs w:val="24"/>
          <w:lang w:val="ca-ES"/>
        </w:rPr>
        <w:t xml:space="preserve"> 4.</w:t>
      </w:r>
      <w:r w:rsidRPr="002666D0">
        <w:rPr>
          <w:sz w:val="24"/>
          <w:szCs w:val="24"/>
          <w:lang w:val="ca-ES"/>
        </w:rPr>
        <w:t> </w:t>
      </w:r>
      <w:r w:rsidRPr="002666D0">
        <w:rPr>
          <w:i/>
          <w:iCs/>
          <w:sz w:val="24"/>
          <w:szCs w:val="24"/>
          <w:lang w:val="en-US"/>
        </w:rPr>
        <w:t xml:space="preserve">In </w:t>
      </w:r>
      <w:proofErr w:type="gramStart"/>
      <w:r w:rsidRPr="002666D0">
        <w:rPr>
          <w:i/>
          <w:iCs/>
          <w:sz w:val="24"/>
          <w:szCs w:val="24"/>
          <w:lang w:val="en-US"/>
        </w:rPr>
        <w:t>silico</w:t>
      </w:r>
      <w:proofErr w:type="gramEnd"/>
      <w:r w:rsidRPr="002666D0">
        <w:rPr>
          <w:i/>
          <w:iCs/>
          <w:sz w:val="24"/>
          <w:szCs w:val="24"/>
          <w:lang w:val="en-US"/>
        </w:rPr>
        <w:t> </w:t>
      </w:r>
      <w:r w:rsidRPr="002666D0">
        <w:rPr>
          <w:sz w:val="24"/>
          <w:szCs w:val="24"/>
          <w:lang w:val="en-US"/>
        </w:rPr>
        <w:t xml:space="preserve">predicted cytosolic NADPH turnover rate variation caused by NADH kinase (blue line) or alternative oxidase (yellow line) overexpression </w:t>
      </w:r>
      <w:r w:rsidR="001229EA" w:rsidRPr="002666D0">
        <w:rPr>
          <w:sz w:val="24"/>
          <w:szCs w:val="24"/>
          <w:lang w:val="en-US"/>
        </w:rPr>
        <w:t>or the</w:t>
      </w:r>
      <w:r w:rsidRPr="002666D0">
        <w:rPr>
          <w:sz w:val="24"/>
          <w:szCs w:val="24"/>
          <w:lang w:val="en-US"/>
        </w:rPr>
        <w:t xml:space="preserve"> combination of both ectopic genes (green line).  For the combined</w:t>
      </w:r>
      <w:r>
        <w:rPr>
          <w:sz w:val="24"/>
          <w:szCs w:val="24"/>
          <w:lang w:val="en-US"/>
        </w:rPr>
        <w:t xml:space="preserve"> mutant </w:t>
      </w:r>
      <w:proofErr w:type="gramStart"/>
      <w:r>
        <w:rPr>
          <w:sz w:val="24"/>
          <w:szCs w:val="24"/>
          <w:lang w:val="en-US"/>
        </w:rPr>
        <w:t>simulation</w:t>
      </w:r>
      <w:proofErr w:type="gramEnd"/>
      <w:r>
        <w:rPr>
          <w:sz w:val="24"/>
          <w:szCs w:val="24"/>
          <w:lang w:val="en-US"/>
        </w:rPr>
        <w:t xml:space="preserve"> the </w:t>
      </w:r>
      <w:r>
        <w:rPr>
          <w:sz w:val="24"/>
          <w:szCs w:val="24"/>
        </w:rPr>
        <w:t>alternative</w:t>
      </w:r>
      <w:r w:rsidRPr="002666D0">
        <w:rPr>
          <w:sz w:val="24"/>
          <w:szCs w:val="24"/>
        </w:rPr>
        <w:t xml:space="preserve"> reaction flux </w:t>
      </w:r>
      <w:r>
        <w:rPr>
          <w:sz w:val="24"/>
          <w:szCs w:val="24"/>
        </w:rPr>
        <w:t>was fixe</w:t>
      </w:r>
      <w:r w:rsidR="001229EA">
        <w:rPr>
          <w:sz w:val="24"/>
          <w:szCs w:val="24"/>
        </w:rPr>
        <w:t>d</w:t>
      </w:r>
      <w:r>
        <w:rPr>
          <w:sz w:val="24"/>
          <w:szCs w:val="24"/>
        </w:rPr>
        <w:t xml:space="preserve"> to</w:t>
      </w:r>
      <w:r w:rsidRPr="002666D0">
        <w:rPr>
          <w:sz w:val="24"/>
          <w:szCs w:val="24"/>
        </w:rPr>
        <w:t xml:space="preserve"> (0.1 mmol/(</w:t>
      </w:r>
      <w:proofErr w:type="spellStart"/>
      <w:r w:rsidRPr="002666D0">
        <w:rPr>
          <w:sz w:val="24"/>
          <w:szCs w:val="24"/>
        </w:rPr>
        <w:t>gDCW·h</w:t>
      </w:r>
      <w:proofErr w:type="spellEnd"/>
      <w:r w:rsidRPr="002666D0">
        <w:rPr>
          <w:sz w:val="24"/>
          <w:szCs w:val="24"/>
        </w:rPr>
        <w:t>)) and progressively augmenting the P</w:t>
      </w:r>
      <w:r w:rsidR="001229EA">
        <w:rPr>
          <w:sz w:val="24"/>
          <w:szCs w:val="24"/>
        </w:rPr>
        <w:t>os5</w:t>
      </w:r>
      <w:r w:rsidRPr="002666D0">
        <w:rPr>
          <w:sz w:val="24"/>
          <w:szCs w:val="24"/>
        </w:rPr>
        <w:t xml:space="preserve"> reaction flux</w:t>
      </w:r>
    </w:p>
    <w:p w14:paraId="3329E02B" w14:textId="68809E8D" w:rsidR="00B36697" w:rsidRDefault="00032595" w:rsidP="009C2E84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294F7A17" wp14:editId="364F44A3">
            <wp:extent cx="7715647" cy="4242018"/>
            <wp:effectExtent l="0" t="0" r="0" b="6350"/>
            <wp:docPr id="10917312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73120" name="Picture 10917312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647" cy="4242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83ADE" w14:textId="5079782A" w:rsidR="00E0453C" w:rsidRDefault="00262C3C" w:rsidP="009C2E84">
      <w:pPr>
        <w:rPr>
          <w:sz w:val="28"/>
          <w:szCs w:val="28"/>
        </w:rPr>
        <w:sectPr w:rsidR="00E0453C" w:rsidSect="00262C3C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  <w:r>
        <w:rPr>
          <w:b/>
          <w:bCs/>
          <w:sz w:val="28"/>
          <w:szCs w:val="28"/>
          <w:lang w:val="en-US"/>
        </w:rPr>
        <w:t>Supplementary figure</w:t>
      </w:r>
      <w:r w:rsidRPr="00262C3C">
        <w:rPr>
          <w:b/>
          <w:bCs/>
          <w:sz w:val="28"/>
          <w:szCs w:val="28"/>
          <w:lang w:val="en-US"/>
        </w:rPr>
        <w:t xml:space="preserve"> </w:t>
      </w:r>
      <w:r w:rsidR="002666D0">
        <w:rPr>
          <w:b/>
          <w:bCs/>
          <w:sz w:val="28"/>
          <w:szCs w:val="28"/>
          <w:lang w:val="en-US"/>
        </w:rPr>
        <w:t>5</w:t>
      </w:r>
      <w:r w:rsidRPr="00262C3C">
        <w:rPr>
          <w:b/>
          <w:bCs/>
          <w:sz w:val="28"/>
          <w:szCs w:val="28"/>
          <w:lang w:val="en-US"/>
        </w:rPr>
        <w:t>. </w:t>
      </w:r>
      <w:r w:rsidR="00D21FD2">
        <w:rPr>
          <w:sz w:val="28"/>
          <w:szCs w:val="28"/>
          <w:lang w:val="en-US"/>
        </w:rPr>
        <w:t>Lipase activity levels (expressed as</w:t>
      </w:r>
      <w:r w:rsidRPr="00262C3C">
        <w:rPr>
          <w:sz w:val="28"/>
          <w:szCs w:val="28"/>
          <w:lang w:val="en-US"/>
        </w:rPr>
        <w:t xml:space="preserve"> </w:t>
      </w:r>
      <w:r w:rsidR="00D21FD2">
        <w:rPr>
          <w:sz w:val="28"/>
          <w:szCs w:val="28"/>
          <w:lang w:val="en-US"/>
        </w:rPr>
        <w:t>spec</w:t>
      </w:r>
      <w:r w:rsidR="005E7E17">
        <w:rPr>
          <w:sz w:val="28"/>
          <w:szCs w:val="28"/>
          <w:lang w:val="en-US"/>
        </w:rPr>
        <w:t xml:space="preserve">ific </w:t>
      </w:r>
      <w:r w:rsidRPr="00262C3C">
        <w:rPr>
          <w:sz w:val="28"/>
          <w:szCs w:val="28"/>
          <w:lang w:val="en-US"/>
        </w:rPr>
        <w:t xml:space="preserve">lipase </w:t>
      </w:r>
      <w:r>
        <w:rPr>
          <w:sz w:val="28"/>
          <w:szCs w:val="28"/>
          <w:lang w:val="en-US"/>
        </w:rPr>
        <w:t>fold change</w:t>
      </w:r>
      <w:r w:rsidR="005E7E17">
        <w:rPr>
          <w:sz w:val="28"/>
          <w:szCs w:val="28"/>
          <w:lang w:val="en-US"/>
        </w:rPr>
        <w:t>)</w:t>
      </w:r>
      <w:r w:rsidRPr="00262C3C">
        <w:rPr>
          <w:sz w:val="28"/>
          <w:szCs w:val="28"/>
          <w:lang w:val="en-US"/>
        </w:rPr>
        <w:t xml:space="preserve"> of </w:t>
      </w:r>
      <w:r>
        <w:rPr>
          <w:sz w:val="28"/>
          <w:szCs w:val="28"/>
          <w:lang w:val="en-US"/>
        </w:rPr>
        <w:t>cPOS5</w:t>
      </w:r>
      <w:r w:rsidRPr="00262C3C">
        <w:rPr>
          <w:sz w:val="28"/>
          <w:szCs w:val="28"/>
          <w:lang w:val="en-US"/>
        </w:rPr>
        <w:t xml:space="preserve"> and HcAtOX1 + cPOS5</w:t>
      </w:r>
      <w:r>
        <w:rPr>
          <w:sz w:val="28"/>
          <w:szCs w:val="28"/>
          <w:lang w:val="en-US"/>
        </w:rPr>
        <w:t xml:space="preserve"> (POSNOX)</w:t>
      </w:r>
      <w:r w:rsidRPr="00262C3C">
        <w:rPr>
          <w:sz w:val="28"/>
          <w:szCs w:val="28"/>
          <w:lang w:val="en-US"/>
        </w:rPr>
        <w:t xml:space="preserve"> co-expressing clones with the X-33 Rol </w:t>
      </w:r>
      <w:r w:rsidR="001229EA">
        <w:rPr>
          <w:sz w:val="28"/>
          <w:szCs w:val="28"/>
          <w:lang w:val="en-US"/>
        </w:rPr>
        <w:t xml:space="preserve">strain </w:t>
      </w:r>
      <w:r w:rsidRPr="00262C3C">
        <w:rPr>
          <w:sz w:val="28"/>
          <w:szCs w:val="28"/>
          <w:lang w:val="en-US"/>
        </w:rPr>
        <w:t>as reference</w:t>
      </w:r>
      <w:r w:rsidR="00E0453C">
        <w:rPr>
          <w:sz w:val="28"/>
          <w:szCs w:val="28"/>
          <w:lang w:val="en-US"/>
        </w:rPr>
        <w:t xml:space="preserve"> in small scale cultivations using methanol as carbon source</w:t>
      </w:r>
      <w:r w:rsidRPr="00262C3C">
        <w:rPr>
          <w:sz w:val="28"/>
          <w:szCs w:val="28"/>
          <w:lang w:val="en-US"/>
        </w:rPr>
        <w:t>.</w:t>
      </w:r>
      <w:r w:rsidRPr="00262C3C">
        <w:rPr>
          <w:sz w:val="28"/>
          <w:szCs w:val="28"/>
        </w:rPr>
        <w:t> </w:t>
      </w:r>
    </w:p>
    <w:p w14:paraId="05A73E0E" w14:textId="77777777" w:rsidR="00B36697" w:rsidRDefault="00B36697" w:rsidP="009C2E84">
      <w:pPr>
        <w:rPr>
          <w:sz w:val="28"/>
          <w:szCs w:val="28"/>
        </w:rPr>
        <w:sectPr w:rsidR="00B36697" w:rsidSect="00204470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DCDD900" w14:textId="30E0D56B" w:rsidR="00B36697" w:rsidRPr="009C2E84" w:rsidRDefault="00B36697" w:rsidP="006F4EEA">
      <w:pPr>
        <w:rPr>
          <w:sz w:val="28"/>
          <w:szCs w:val="28"/>
        </w:rPr>
      </w:pPr>
    </w:p>
    <w:sectPr w:rsidR="00B36697" w:rsidRPr="009C2E84" w:rsidSect="00B3669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0F"/>
    <w:rsid w:val="00032595"/>
    <w:rsid w:val="000A2EF3"/>
    <w:rsid w:val="001229EA"/>
    <w:rsid w:val="00137D61"/>
    <w:rsid w:val="00185C40"/>
    <w:rsid w:val="00204470"/>
    <w:rsid w:val="0026063D"/>
    <w:rsid w:val="00262C3C"/>
    <w:rsid w:val="002666D0"/>
    <w:rsid w:val="003C448A"/>
    <w:rsid w:val="004A5FE8"/>
    <w:rsid w:val="005731B2"/>
    <w:rsid w:val="00580EA2"/>
    <w:rsid w:val="005E7E17"/>
    <w:rsid w:val="006364C5"/>
    <w:rsid w:val="00677C30"/>
    <w:rsid w:val="006F4EEA"/>
    <w:rsid w:val="007C5A16"/>
    <w:rsid w:val="00814EE4"/>
    <w:rsid w:val="008E4FAA"/>
    <w:rsid w:val="00930589"/>
    <w:rsid w:val="009C2E84"/>
    <w:rsid w:val="00A57051"/>
    <w:rsid w:val="00A64E6F"/>
    <w:rsid w:val="00A80E00"/>
    <w:rsid w:val="00B36697"/>
    <w:rsid w:val="00B66BE5"/>
    <w:rsid w:val="00B749BC"/>
    <w:rsid w:val="00C4465D"/>
    <w:rsid w:val="00D21FD2"/>
    <w:rsid w:val="00DC3EF2"/>
    <w:rsid w:val="00E0453C"/>
    <w:rsid w:val="00E22831"/>
    <w:rsid w:val="00E27257"/>
    <w:rsid w:val="00E56F0F"/>
    <w:rsid w:val="00E85E6C"/>
    <w:rsid w:val="00EE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6BD60"/>
  <w15:chartTrackingRefBased/>
  <w15:docId w15:val="{A8DB6E28-7CDC-4BD6-8B49-134DBC7F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E56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56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56F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56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56F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56F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56F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56F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56F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56F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56F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56F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56F0F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56F0F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56F0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56F0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56F0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56F0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56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56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56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56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6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56F0F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56F0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56F0F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56F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56F0F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56F0F"/>
    <w:rPr>
      <w:b/>
      <w:bCs/>
      <w:smallCaps/>
      <w:color w:val="2F5496" w:themeColor="accent1" w:themeShade="BF"/>
      <w:spacing w:val="5"/>
    </w:rPr>
  </w:style>
  <w:style w:type="table" w:styleId="Taulaambquadrcula">
    <w:name w:val="Table Grid"/>
    <w:basedOn w:val="Taulanormal"/>
    <w:uiPriority w:val="39"/>
    <w:rsid w:val="00E22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webSettings" Target="webSettings.xml"/><Relationship Id="rId7" Type="http://schemas.openxmlformats.org/officeDocument/2006/relationships/chart" Target="charts/chart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image" Target="media/image1.tmp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Jupyter\MOMA%20Simulations%20POS5%20and%20AtOX\POS5%20AtOX%20Overexpression%20study\MOMA_POSNOX_DualMutant_Analysi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Jupyter\MOMA%20Simulations%20POS5%20and%20AtOX\POS5%20AtOX%20Overexpression%20study\MOMA_POSNOX_DualMutant_Analysi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Jupyter\MOMA%20Simulations%20POS5%20and%20AtOX\POS5%20AtOX%20Overexpression%20study\MOMA_POSNOX_DualMutant_Analysi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a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1"/>
          <c:order val="0"/>
          <c:spPr>
            <a:ln w="19050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xVal>
            <c:numRef>
              <c:f>'RDX Turnovers_mit'!$K$4:$K$14</c:f>
              <c:numCache>
                <c:formatCode>General</c:formatCode>
                <c:ptCount val="11"/>
                <c:pt idx="0">
                  <c:v>0</c:v>
                </c:pt>
                <c:pt idx="1">
                  <c:v>0.02</c:v>
                </c:pt>
                <c:pt idx="2">
                  <c:v>0.04</c:v>
                </c:pt>
                <c:pt idx="3">
                  <c:v>0.06</c:v>
                </c:pt>
                <c:pt idx="4">
                  <c:v>0.08</c:v>
                </c:pt>
                <c:pt idx="5">
                  <c:v>0.1</c:v>
                </c:pt>
                <c:pt idx="6">
                  <c:v>0.12</c:v>
                </c:pt>
                <c:pt idx="7">
                  <c:v>0.14000000000000001</c:v>
                </c:pt>
                <c:pt idx="8">
                  <c:v>0.16</c:v>
                </c:pt>
                <c:pt idx="9">
                  <c:v>0.18</c:v>
                </c:pt>
                <c:pt idx="10">
                  <c:v>0.2</c:v>
                </c:pt>
              </c:numCache>
            </c:numRef>
          </c:xVal>
          <c:yVal>
            <c:numRef>
              <c:f>'RDX Turnovers_mit'!$E$4:$E$14</c:f>
              <c:numCache>
                <c:formatCode>General</c:formatCode>
                <c:ptCount val="11"/>
                <c:pt idx="0">
                  <c:v>9.9667564387716201</c:v>
                </c:pt>
                <c:pt idx="1">
                  <c:v>9.9630935468498265</c:v>
                </c:pt>
                <c:pt idx="2">
                  <c:v>9.9595596100432555</c:v>
                </c:pt>
                <c:pt idx="3">
                  <c:v>9.9560413311414901</c:v>
                </c:pt>
                <c:pt idx="4">
                  <c:v>9.9525345130865173</c:v>
                </c:pt>
                <c:pt idx="5">
                  <c:v>9.9484518896991343</c:v>
                </c:pt>
                <c:pt idx="6">
                  <c:v>9.9441179574200138</c:v>
                </c:pt>
                <c:pt idx="7">
                  <c:v>9.9402174386100164</c:v>
                </c:pt>
                <c:pt idx="8">
                  <c:v>9.9363156755985802</c:v>
                </c:pt>
                <c:pt idx="9">
                  <c:v>9.9324160506446919</c:v>
                </c:pt>
                <c:pt idx="10">
                  <c:v>9.9285243635279006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B9FF-41A4-91A8-744E581DE233}"/>
            </c:ext>
          </c:extLst>
        </c:ser>
        <c:ser>
          <c:idx val="0"/>
          <c:order val="1"/>
          <c:spPr>
            <a:ln w="19050" cap="rnd">
              <a:solidFill>
                <a:srgbClr val="0070C0"/>
              </a:solidFill>
              <a:round/>
            </a:ln>
            <a:effectLst/>
          </c:spPr>
          <c:marker>
            <c:symbol val="none"/>
          </c:marker>
          <c:xVal>
            <c:numRef>
              <c:f>'RDX Turnovers_mit'!$K$4:$K$14</c:f>
              <c:numCache>
                <c:formatCode>General</c:formatCode>
                <c:ptCount val="11"/>
                <c:pt idx="0">
                  <c:v>0</c:v>
                </c:pt>
                <c:pt idx="1">
                  <c:v>0.02</c:v>
                </c:pt>
                <c:pt idx="2">
                  <c:v>0.04</c:v>
                </c:pt>
                <c:pt idx="3">
                  <c:v>0.06</c:v>
                </c:pt>
                <c:pt idx="4">
                  <c:v>0.08</c:v>
                </c:pt>
                <c:pt idx="5">
                  <c:v>0.1</c:v>
                </c:pt>
                <c:pt idx="6">
                  <c:v>0.12</c:v>
                </c:pt>
                <c:pt idx="7">
                  <c:v>0.14000000000000001</c:v>
                </c:pt>
                <c:pt idx="8">
                  <c:v>0.16</c:v>
                </c:pt>
                <c:pt idx="9">
                  <c:v>0.18</c:v>
                </c:pt>
                <c:pt idx="10">
                  <c:v>0.2</c:v>
                </c:pt>
              </c:numCache>
            </c:numRef>
          </c:xVal>
          <c:yVal>
            <c:numRef>
              <c:f>'RDX Turnovers_mit'!$L$4:$L$14</c:f>
              <c:numCache>
                <c:formatCode>General</c:formatCode>
                <c:ptCount val="11"/>
                <c:pt idx="0">
                  <c:v>9.9667564387716201</c:v>
                </c:pt>
                <c:pt idx="1">
                  <c:v>9.9672370596658677</c:v>
                </c:pt>
                <c:pt idx="2">
                  <c:v>9.9677461834039729</c:v>
                </c:pt>
                <c:pt idx="3">
                  <c:v>9.9682550704016357</c:v>
                </c:pt>
                <c:pt idx="4">
                  <c:v>9.9687637187897664</c:v>
                </c:pt>
                <c:pt idx="5">
                  <c:v>9.9692621787806992</c:v>
                </c:pt>
                <c:pt idx="6">
                  <c:v>9.9697444957693229</c:v>
                </c:pt>
                <c:pt idx="7">
                  <c:v>9.9702416673663929</c:v>
                </c:pt>
                <c:pt idx="8">
                  <c:v>9.9707539473484239</c:v>
                </c:pt>
                <c:pt idx="9">
                  <c:v>9.9712683294018163</c:v>
                </c:pt>
                <c:pt idx="10">
                  <c:v>9.9717774197200058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B9FF-41A4-91A8-744E581DE2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31293648"/>
        <c:axId val="631294128"/>
      </c:scatterChart>
      <c:valAx>
        <c:axId val="631293648"/>
        <c:scaling>
          <c:orientation val="minMax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b="1" baseline="0"/>
                  <a:t>Ectopic reaction flux (mmol/gDCW*h)</a:t>
                </a:r>
                <a:endParaRPr lang="en-GB" b="1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GB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1294128"/>
        <c:crosses val="autoZero"/>
        <c:crossBetween val="midCat"/>
      </c:valAx>
      <c:valAx>
        <c:axId val="631294128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b="1"/>
                  <a:t>ATP</a:t>
                </a:r>
                <a:r>
                  <a:rPr lang="en-GB" b="1" baseline="0"/>
                  <a:t> turnover rate (mmol/gDCW*h)</a:t>
                </a:r>
                <a:endParaRPr lang="en-GB" b="1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GB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1293648"/>
        <c:crosses val="autoZero"/>
        <c:crossBetween val="midCat"/>
      </c:valAx>
      <c:spPr>
        <a:noFill/>
        <a:ln w="22225">
          <a:solidFill>
            <a:schemeClr val="tx1"/>
          </a:solidFill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a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solidFill>
                <a:srgbClr val="0070C0"/>
              </a:solidFill>
              <a:round/>
            </a:ln>
            <a:effectLst/>
          </c:spPr>
          <c:marker>
            <c:symbol val="none"/>
          </c:marker>
          <c:xVal>
            <c:numRef>
              <c:f>'RDX Turnovers_mit'!$D$4:$D$14</c:f>
              <c:numCache>
                <c:formatCode>General</c:formatCode>
                <c:ptCount val="11"/>
                <c:pt idx="0">
                  <c:v>0</c:v>
                </c:pt>
                <c:pt idx="1">
                  <c:v>0.02</c:v>
                </c:pt>
                <c:pt idx="2">
                  <c:v>0.04</c:v>
                </c:pt>
                <c:pt idx="3">
                  <c:v>0.06</c:v>
                </c:pt>
                <c:pt idx="4">
                  <c:v>0.08</c:v>
                </c:pt>
                <c:pt idx="5">
                  <c:v>0.1</c:v>
                </c:pt>
                <c:pt idx="6">
                  <c:v>0.12</c:v>
                </c:pt>
                <c:pt idx="7">
                  <c:v>0.14000000000000001</c:v>
                </c:pt>
                <c:pt idx="8">
                  <c:v>0.16</c:v>
                </c:pt>
                <c:pt idx="9">
                  <c:v>0.18</c:v>
                </c:pt>
                <c:pt idx="10">
                  <c:v>0.2</c:v>
                </c:pt>
              </c:numCache>
            </c:numRef>
          </c:xVal>
          <c:yVal>
            <c:numRef>
              <c:f>'RDX Turnovers_mit'!$M$4:$M$14</c:f>
              <c:numCache>
                <c:formatCode>General</c:formatCode>
                <c:ptCount val="11"/>
                <c:pt idx="0">
                  <c:v>1.1412582562134199</c:v>
                </c:pt>
                <c:pt idx="1">
                  <c:v>1.1414939478447061</c:v>
                </c:pt>
                <c:pt idx="2">
                  <c:v>1.1418733029036601</c:v>
                </c:pt>
                <c:pt idx="3">
                  <c:v>1.1422777651724743</c:v>
                </c:pt>
                <c:pt idx="4">
                  <c:v>1.1426827920646194</c:v>
                </c:pt>
                <c:pt idx="5">
                  <c:v>1.1429922271342416</c:v>
                </c:pt>
                <c:pt idx="6">
                  <c:v>1.1432046638886739</c:v>
                </c:pt>
                <c:pt idx="7">
                  <c:v>1.1434772131395301</c:v>
                </c:pt>
                <c:pt idx="8">
                  <c:v>1.143852922664115</c:v>
                </c:pt>
                <c:pt idx="9">
                  <c:v>1.1442409744067492</c:v>
                </c:pt>
                <c:pt idx="10">
                  <c:v>1.1446200613795348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A9A7-46A9-A0B4-6E616924657B}"/>
            </c:ext>
          </c:extLst>
        </c:ser>
        <c:ser>
          <c:idx val="1"/>
          <c:order val="1"/>
          <c:spPr>
            <a:ln w="25400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xVal>
            <c:numRef>
              <c:f>'RDX Turnovers_mit'!$K$4:$K$12</c:f>
              <c:numCache>
                <c:formatCode>General</c:formatCode>
                <c:ptCount val="9"/>
                <c:pt idx="0">
                  <c:v>0</c:v>
                </c:pt>
                <c:pt idx="1">
                  <c:v>0.02</c:v>
                </c:pt>
                <c:pt idx="2">
                  <c:v>0.04</c:v>
                </c:pt>
                <c:pt idx="3">
                  <c:v>0.06</c:v>
                </c:pt>
                <c:pt idx="4">
                  <c:v>0.08</c:v>
                </c:pt>
                <c:pt idx="5">
                  <c:v>0.1</c:v>
                </c:pt>
                <c:pt idx="6">
                  <c:v>0.12</c:v>
                </c:pt>
                <c:pt idx="7">
                  <c:v>0.14000000000000001</c:v>
                </c:pt>
                <c:pt idx="8">
                  <c:v>0.16</c:v>
                </c:pt>
              </c:numCache>
            </c:numRef>
          </c:xVal>
          <c:yVal>
            <c:numRef>
              <c:f>'RDX Turnovers_mit'!$S$4:$S$16</c:f>
              <c:numCache>
                <c:formatCode>General</c:formatCode>
                <c:ptCount val="13"/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A9A7-46A9-A0B4-6E61692465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31293648"/>
        <c:axId val="631294128"/>
      </c:scatterChart>
      <c:scatterChart>
        <c:scatterStyle val="lineMarker"/>
        <c:varyColors val="0"/>
        <c:ser>
          <c:idx val="2"/>
          <c:order val="2"/>
          <c:spPr>
            <a:ln w="19050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xVal>
            <c:numRef>
              <c:f>'RDX Turnovers_mit'!$D$4:$D$14</c:f>
              <c:numCache>
                <c:formatCode>General</c:formatCode>
                <c:ptCount val="11"/>
                <c:pt idx="0">
                  <c:v>0</c:v>
                </c:pt>
                <c:pt idx="1">
                  <c:v>0.02</c:v>
                </c:pt>
                <c:pt idx="2">
                  <c:v>0.04</c:v>
                </c:pt>
                <c:pt idx="3">
                  <c:v>0.06</c:v>
                </c:pt>
                <c:pt idx="4">
                  <c:v>0.08</c:v>
                </c:pt>
                <c:pt idx="5">
                  <c:v>0.1</c:v>
                </c:pt>
                <c:pt idx="6">
                  <c:v>0.12</c:v>
                </c:pt>
                <c:pt idx="7">
                  <c:v>0.14000000000000001</c:v>
                </c:pt>
                <c:pt idx="8">
                  <c:v>0.16</c:v>
                </c:pt>
                <c:pt idx="9">
                  <c:v>0.18</c:v>
                </c:pt>
                <c:pt idx="10">
                  <c:v>0.2</c:v>
                </c:pt>
              </c:numCache>
            </c:numRef>
          </c:xVal>
          <c:yVal>
            <c:numRef>
              <c:f>'RDX Turnovers_mit'!$F$4:$F$14</c:f>
              <c:numCache>
                <c:formatCode>General</c:formatCode>
                <c:ptCount val="11"/>
                <c:pt idx="0">
                  <c:v>1.1412582562134199</c:v>
                </c:pt>
                <c:pt idx="1">
                  <c:v>1.155415881863199</c:v>
                </c:pt>
                <c:pt idx="2">
                  <c:v>1.1695928057495422</c:v>
                </c:pt>
                <c:pt idx="3">
                  <c:v>1.1837696992159379</c:v>
                </c:pt>
                <c:pt idx="4">
                  <c:v>1.1979302830585525</c:v>
                </c:pt>
                <c:pt idx="5">
                  <c:v>1.212245402582607</c:v>
                </c:pt>
                <c:pt idx="6">
                  <c:v>1.2266387742947429</c:v>
                </c:pt>
                <c:pt idx="7">
                  <c:v>1.2410327318877987</c:v>
                </c:pt>
                <c:pt idx="8">
                  <c:v>1.2554267360443816</c:v>
                </c:pt>
                <c:pt idx="9">
                  <c:v>1.269848046964962</c:v>
                </c:pt>
                <c:pt idx="10">
                  <c:v>1.284307943189374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A9A7-46A9-A0B4-6E61692465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53271424"/>
        <c:axId val="1353273344"/>
      </c:scatterChart>
      <c:valAx>
        <c:axId val="631293648"/>
        <c:scaling>
          <c:orientation val="minMax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b="1" baseline="0"/>
                  <a:t>Ectopic reaction flux (mmol/gDCW*h)</a:t>
                </a:r>
                <a:endParaRPr lang="en-GB" b="1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GB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1294128"/>
        <c:crosses val="autoZero"/>
        <c:crossBetween val="midCat"/>
      </c:valAx>
      <c:valAx>
        <c:axId val="631294128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b="1"/>
                  <a:t>mitochondrial NAD</a:t>
                </a:r>
                <a:r>
                  <a:rPr lang="en-GB" b="1" baseline="0"/>
                  <a:t>/NADH turnover rate (mmol/gDCW*h)</a:t>
                </a:r>
                <a:endParaRPr lang="en-GB" b="1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GB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1293648"/>
        <c:crosses val="autoZero"/>
        <c:crossBetween val="midCat"/>
      </c:valAx>
      <c:valAx>
        <c:axId val="1353273344"/>
        <c:scaling>
          <c:orientation val="minMax"/>
        </c:scaling>
        <c:delete val="1"/>
        <c:axPos val="r"/>
        <c:numFmt formatCode="General" sourceLinked="1"/>
        <c:majorTickMark val="out"/>
        <c:minorTickMark val="none"/>
        <c:tickLblPos val="nextTo"/>
        <c:crossAx val="1353271424"/>
        <c:crosses val="max"/>
        <c:crossBetween val="midCat"/>
      </c:valAx>
      <c:valAx>
        <c:axId val="1353271424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1353273344"/>
        <c:crosses val="max"/>
        <c:crossBetween val="midCat"/>
      </c:valAx>
      <c:spPr>
        <a:noFill/>
        <a:ln w="19050">
          <a:solidFill>
            <a:schemeClr val="tx1"/>
          </a:solidFill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a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0213682209295659E-2"/>
          <c:y val="0.10463510055926688"/>
          <c:w val="0.89487138104988806"/>
          <c:h val="0.7910922404075027"/>
        </c:manualLayout>
      </c:layout>
      <c:scatterChart>
        <c:scatterStyle val="lineMarker"/>
        <c:varyColors val="0"/>
        <c:ser>
          <c:idx val="0"/>
          <c:order val="0"/>
          <c:spPr>
            <a:ln w="25400" cap="rnd">
              <a:solidFill>
                <a:srgbClr val="0070C0"/>
              </a:solidFill>
              <a:round/>
            </a:ln>
            <a:effectLst/>
          </c:spPr>
          <c:marker>
            <c:symbol val="none"/>
          </c:marker>
          <c:xVal>
            <c:numRef>
              <c:f>'RDX Turnovers_cit'!$K$4:$K$14</c:f>
              <c:numCache>
                <c:formatCode>General</c:formatCode>
                <c:ptCount val="11"/>
                <c:pt idx="0">
                  <c:v>0</c:v>
                </c:pt>
                <c:pt idx="1">
                  <c:v>0.02</c:v>
                </c:pt>
                <c:pt idx="2">
                  <c:v>0.04</c:v>
                </c:pt>
                <c:pt idx="3">
                  <c:v>0.06</c:v>
                </c:pt>
                <c:pt idx="4">
                  <c:v>0.08</c:v>
                </c:pt>
                <c:pt idx="5">
                  <c:v>0.1</c:v>
                </c:pt>
                <c:pt idx="6">
                  <c:v>0.12</c:v>
                </c:pt>
                <c:pt idx="7">
                  <c:v>0.14000000000000001</c:v>
                </c:pt>
                <c:pt idx="8">
                  <c:v>0.16</c:v>
                </c:pt>
                <c:pt idx="9">
                  <c:v>0.18</c:v>
                </c:pt>
                <c:pt idx="10">
                  <c:v>0.2</c:v>
                </c:pt>
              </c:numCache>
            </c:numRef>
          </c:xVal>
          <c:yVal>
            <c:numRef>
              <c:f>'RDX Turnovers_cit'!$L$4:$L$14</c:f>
              <c:numCache>
                <c:formatCode>General</c:formatCode>
                <c:ptCount val="11"/>
                <c:pt idx="0">
                  <c:v>0.82323183051717796</c:v>
                </c:pt>
                <c:pt idx="1">
                  <c:v>0.84062931862152868</c:v>
                </c:pt>
                <c:pt idx="2">
                  <c:v>0.85687866606489171</c:v>
                </c:pt>
                <c:pt idx="3">
                  <c:v>0.87294132325167628</c:v>
                </c:pt>
                <c:pt idx="4">
                  <c:v>0.88900389019771653</c:v>
                </c:pt>
                <c:pt idx="5">
                  <c:v>0.90499606416096501</c:v>
                </c:pt>
                <c:pt idx="6">
                  <c:v>0.92087873802519804</c:v>
                </c:pt>
                <c:pt idx="7">
                  <c:v>0.93694415684797239</c:v>
                </c:pt>
                <c:pt idx="8">
                  <c:v>0.95389168528081436</c:v>
                </c:pt>
                <c:pt idx="9">
                  <c:v>0.97077607844816016</c:v>
                </c:pt>
                <c:pt idx="10">
                  <c:v>0.98766101502957193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421B-4FB6-8321-79A89A5AA88A}"/>
            </c:ext>
          </c:extLst>
        </c:ser>
        <c:ser>
          <c:idx val="1"/>
          <c:order val="1"/>
          <c:spPr>
            <a:ln w="25400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xVal>
            <c:numRef>
              <c:f>'RDX Turnovers_cit'!$K$4:$K$14</c:f>
              <c:numCache>
                <c:formatCode>General</c:formatCode>
                <c:ptCount val="11"/>
                <c:pt idx="0">
                  <c:v>0</c:v>
                </c:pt>
                <c:pt idx="1">
                  <c:v>0.02</c:v>
                </c:pt>
                <c:pt idx="2">
                  <c:v>0.04</c:v>
                </c:pt>
                <c:pt idx="3">
                  <c:v>0.06</c:v>
                </c:pt>
                <c:pt idx="4">
                  <c:v>0.08</c:v>
                </c:pt>
                <c:pt idx="5">
                  <c:v>0.1</c:v>
                </c:pt>
                <c:pt idx="6">
                  <c:v>0.12</c:v>
                </c:pt>
                <c:pt idx="7">
                  <c:v>0.14000000000000001</c:v>
                </c:pt>
                <c:pt idx="8">
                  <c:v>0.16</c:v>
                </c:pt>
                <c:pt idx="9">
                  <c:v>0.18</c:v>
                </c:pt>
                <c:pt idx="10">
                  <c:v>0.2</c:v>
                </c:pt>
              </c:numCache>
            </c:numRef>
          </c:xVal>
          <c:yVal>
            <c:numRef>
              <c:f>'RDX Turnovers_cit'!$S$4:$S$14</c:f>
              <c:numCache>
                <c:formatCode>General</c:formatCode>
                <c:ptCount val="11"/>
                <c:pt idx="0">
                  <c:v>0.82323183051717796</c:v>
                </c:pt>
                <c:pt idx="1">
                  <c:v>0.85711964170068322</c:v>
                </c:pt>
                <c:pt idx="2">
                  <c:v>0.87146646493521174</c:v>
                </c:pt>
                <c:pt idx="3">
                  <c:v>0.8857847910419191</c:v>
                </c:pt>
                <c:pt idx="4">
                  <c:v>0.90002846820020976</c:v>
                </c:pt>
                <c:pt idx="5">
                  <c:v>0.91411930724986556</c:v>
                </c:pt>
                <c:pt idx="6">
                  <c:v>0.92835555854239449</c:v>
                </c:pt>
                <c:pt idx="7">
                  <c:v>0.94416581324150284</c:v>
                </c:pt>
                <c:pt idx="8">
                  <c:v>0.96013521277459801</c:v>
                </c:pt>
                <c:pt idx="9">
                  <c:v>0.97611054757032867</c:v>
                </c:pt>
                <c:pt idx="10">
                  <c:v>0.99208222383149336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421B-4FB6-8321-79A89A5AA8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31293648"/>
        <c:axId val="631294128"/>
      </c:scatterChart>
      <c:scatterChart>
        <c:scatterStyle val="lineMarker"/>
        <c:varyColors val="0"/>
        <c:ser>
          <c:idx val="2"/>
          <c:order val="2"/>
          <c:spPr>
            <a:ln w="25400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xVal>
            <c:numRef>
              <c:f>'RDX Turnovers_cit'!$K$4:$K$14</c:f>
              <c:numCache>
                <c:formatCode>General</c:formatCode>
                <c:ptCount val="11"/>
                <c:pt idx="0">
                  <c:v>0</c:v>
                </c:pt>
                <c:pt idx="1">
                  <c:v>0.02</c:v>
                </c:pt>
                <c:pt idx="2">
                  <c:v>0.04</c:v>
                </c:pt>
                <c:pt idx="3">
                  <c:v>0.06</c:v>
                </c:pt>
                <c:pt idx="4">
                  <c:v>0.08</c:v>
                </c:pt>
                <c:pt idx="5">
                  <c:v>0.1</c:v>
                </c:pt>
                <c:pt idx="6">
                  <c:v>0.12</c:v>
                </c:pt>
                <c:pt idx="7">
                  <c:v>0.14000000000000001</c:v>
                </c:pt>
                <c:pt idx="8">
                  <c:v>0.16</c:v>
                </c:pt>
                <c:pt idx="9">
                  <c:v>0.18</c:v>
                </c:pt>
                <c:pt idx="10">
                  <c:v>0.2</c:v>
                </c:pt>
              </c:numCache>
            </c:numRef>
          </c:xVal>
          <c:yVal>
            <c:numRef>
              <c:f>'RDX Turnovers_cit'!$E$4:$E$14</c:f>
              <c:numCache>
                <c:formatCode>General</c:formatCode>
                <c:ptCount val="11"/>
                <c:pt idx="0">
                  <c:v>0.82323183051717796</c:v>
                </c:pt>
                <c:pt idx="1">
                  <c:v>0.82670512598182611</c:v>
                </c:pt>
                <c:pt idx="2">
                  <c:v>0.83019374533240253</c:v>
                </c:pt>
                <c:pt idx="3">
                  <c:v>0.83368316518195518</c:v>
                </c:pt>
                <c:pt idx="4">
                  <c:v>0.83717378231261574</c:v>
                </c:pt>
                <c:pt idx="5">
                  <c:v>0.84012065481976683</c:v>
                </c:pt>
                <c:pt idx="6">
                  <c:v>0.84307884877854822</c:v>
                </c:pt>
                <c:pt idx="7">
                  <c:v>0.84605382187182421</c:v>
                </c:pt>
                <c:pt idx="8">
                  <c:v>0.84903838193851744</c:v>
                </c:pt>
                <c:pt idx="9">
                  <c:v>0.85207458342555209</c:v>
                </c:pt>
                <c:pt idx="10">
                  <c:v>0.85511146919352665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421B-4FB6-8321-79A89A5AA8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53271424"/>
        <c:axId val="1353273344"/>
      </c:scatterChart>
      <c:valAx>
        <c:axId val="631293648"/>
        <c:scaling>
          <c:orientation val="minMax"/>
          <c:max val="0.21000000000000002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b="1" baseline="0"/>
                  <a:t>Ectopic reaction flux (mmol/gDCW*h</a:t>
                </a:r>
                <a:r>
                  <a:rPr lang="en-GB" baseline="0"/>
                  <a:t>)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GB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1294128"/>
        <c:crosses val="autoZero"/>
        <c:crossBetween val="midCat"/>
      </c:valAx>
      <c:valAx>
        <c:axId val="631294128"/>
        <c:scaling>
          <c:orientation val="minMax"/>
          <c:min val="0.8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b="1"/>
                  <a:t>NADPH</a:t>
                </a:r>
                <a:r>
                  <a:rPr lang="en-GB" b="1" baseline="0"/>
                  <a:t> turnover rate (mmol/gDCW*h)</a:t>
                </a:r>
                <a:endParaRPr lang="en-GB" b="1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GB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1293648"/>
        <c:crosses val="autoZero"/>
        <c:crossBetween val="midCat"/>
      </c:valAx>
      <c:valAx>
        <c:axId val="1353273344"/>
        <c:scaling>
          <c:orientation val="minMax"/>
        </c:scaling>
        <c:delete val="1"/>
        <c:axPos val="r"/>
        <c:numFmt formatCode="General" sourceLinked="1"/>
        <c:majorTickMark val="out"/>
        <c:minorTickMark val="none"/>
        <c:tickLblPos val="nextTo"/>
        <c:crossAx val="1353271424"/>
        <c:crosses val="max"/>
        <c:crossBetween val="midCat"/>
      </c:valAx>
      <c:valAx>
        <c:axId val="1353271424"/>
        <c:scaling>
          <c:orientation val="minMax"/>
          <c:max val="2.5000000000000005E-2"/>
        </c:scaling>
        <c:delete val="1"/>
        <c:axPos val="t"/>
        <c:numFmt formatCode="General" sourceLinked="1"/>
        <c:majorTickMark val="out"/>
        <c:minorTickMark val="none"/>
        <c:tickLblPos val="nextTo"/>
        <c:crossAx val="1353273344"/>
        <c:crosses val="max"/>
        <c:crossBetween val="midCat"/>
      </c:valAx>
      <c:spPr>
        <a:noFill/>
        <a:ln w="19050">
          <a:solidFill>
            <a:schemeClr val="tx1"/>
          </a:solidFill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7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Antón García</dc:creator>
  <cp:keywords/>
  <dc:description/>
  <cp:lastModifiedBy>Pau Ferrer Alegre</cp:lastModifiedBy>
  <cp:revision>16</cp:revision>
  <dcterms:created xsi:type="dcterms:W3CDTF">2026-04-16T13:20:00Z</dcterms:created>
  <dcterms:modified xsi:type="dcterms:W3CDTF">2026-04-17T21:17:00Z</dcterms:modified>
</cp:coreProperties>
</file>