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200"/>
        <w:jc w:val="center"/>
      </w:pPr>
      <w:r>
        <w:rPr>
          <w:b/>
          <w:bCs/>
          <w:sz w:val="36"/>
          <w:szCs w:val="36"/>
        </w:rPr>
        <w:t xml:space="preserve">Supplementary Information</w:t>
      </w:r>
    </w:p>
    <w:p>
      <w:pPr>
        <w:spacing w:after="200"/>
        <w:jc w:val="center"/>
      </w:pPr>
      <w:r>
        <w:rPr>
          <w:b/>
          <w:bCs/>
          <w:sz w:val="24"/>
          <w:szCs w:val="24"/>
        </w:rPr>
        <w:t xml:space="preserve">Adaptive spatial partitioning under the GeoSOT-3D global grid for efficient low-altitude environment modelling</w:t>
      </w:r>
    </w:p>
    <w:p>
      <w:pPr>
        <w:spacing w:after="100"/>
        <w:jc w:val="center"/>
      </w:pPr>
      <w:r>
        <w:rPr>
          <w:sz w:val="22"/>
          <w:szCs w:val="22"/>
        </w:rPr>
        <w:t xml:space="preserve">Qiurong Wang, Zhiyong Liu, and Ningshe Zhao*</w:t>
      </w:r>
    </w:p>
    <w:p>
      <w:pPr>
        <w:spacing w:after="400"/>
        <w:jc w:val="center"/>
      </w:pPr>
      <w:r>
        <w:rPr>
          <w:i/>
          <w:iCs/>
          <w:sz w:val="20"/>
          <w:szCs w:val="20"/>
        </w:rPr>
        <w:t xml:space="preserve">*Corresponding author: zhaoningshe@gmail.com</w:t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Contents</w:t>
      </w:r>
    </w:p>
    <w:p>
      <w:pPr>
        <w:spacing w:after="60"/>
        <w:ind w:left="360"/>
      </w:pPr>
      <w:r>
        <w:rPr>
          <w:sz w:val="22"/>
          <w:szCs w:val="22"/>
        </w:rPr>
        <w:t xml:space="preserve">• Supplementary Figure S1 — GeoSOT-3D conceptual schematic</w:t>
      </w:r>
    </w:p>
    <w:p>
      <w:pPr>
        <w:spacing w:after="60"/>
        <w:ind w:left="360"/>
      </w:pPr>
      <w:r>
        <w:rPr>
          <w:sz w:val="22"/>
          <w:szCs w:val="22"/>
        </w:rPr>
        <w:t xml:space="preserve">• Supplementary Figure S2 — Synthetic low-altitude environment</w:t>
      </w:r>
    </w:p>
    <w:p>
      <w:pPr>
        <w:spacing w:after="60"/>
        <w:ind w:left="360"/>
      </w:pPr>
      <w:r>
        <w:rPr>
          <w:sz w:val="22"/>
          <w:szCs w:val="22"/>
        </w:rPr>
        <w:t xml:space="preserve">• Supplementary Figure S3 — Xi'an study area DEM</w:t>
      </w:r>
    </w:p>
    <w:p>
      <w:pPr>
        <w:spacing w:after="60"/>
        <w:ind w:left="360"/>
      </w:pPr>
      <w:r>
        <w:rPr>
          <w:sz w:val="22"/>
          <w:szCs w:val="22"/>
        </w:rPr>
        <w:t xml:space="preserve">• Supplementary Figure S4 — Local detail comparison</w:t>
      </w:r>
    </w:p>
    <w:p>
      <w:pPr>
        <w:spacing w:after="60"/>
        <w:ind w:left="360"/>
      </w:pPr>
      <w:r>
        <w:rPr>
          <w:sz w:val="22"/>
          <w:szCs w:val="22"/>
        </w:rPr>
        <w:t xml:space="preserve">• Supplementary Table S1 — Comparison of 3D modelling approaches</w:t>
      </w:r>
    </w:p>
    <w:p>
      <w:pPr>
        <w:spacing w:after="60"/>
        <w:ind w:left="360"/>
      </w:pPr>
      <w:r>
        <w:rPr>
          <w:sz w:val="22"/>
          <w:szCs w:val="22"/>
        </w:rPr>
        <w:t xml:space="preserve">• Supplementary Table S2 — Real-world data sources</w:t>
      </w:r>
    </w:p>
    <w:p>
      <w:pPr>
        <w:spacing w:after="60"/>
        <w:ind w:left="360"/>
      </w:pPr>
      <w:r>
        <w:rPr>
          <w:sz w:val="22"/>
          <w:szCs w:val="22"/>
        </w:rPr>
        <w:t xml:space="preserve">• Supplementary Table S3 — Path-planning performance on the synthetic environment</w:t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Supplementary Figure S1</w:t>
      </w:r>
    </w:p>
    <w:p>
      <w:pPr>
        <w:spacing w:after="100" w:before="200"/>
        <w:jc w:val="center"/>
      </w:pPr>
      <w:r>
        <w:drawing>
          <wp:inline distT="0" distB="0" distL="0" distR="0">
            <wp:extent cx="5486400" cy="1882467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8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before="60"/>
      </w:pPr>
      <w:r>
        <w:rPr>
          <w:i/>
          <w:iCs/>
          <w:sz w:val="20"/>
          <w:szCs w:val="20"/>
        </w:rPr>
        <w:t xml:space="preserve">Supplementary Figure S1. Schematic of DGGS models. (a) hierarchical surface cells; (b) GeoSOT 2ⁿ quadtree from L₀ to L₄; (c) GeoSOT-3D octree voxel extension. The TSDP framework operates on the planar quadtree shown in (b); volumetric extension to the octree in (c) is left to future work.</w:t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Supplementary Figure S2</w:t>
      </w:r>
    </w:p>
    <w:p>
      <w:pPr>
        <w:spacing w:after="100" w:before="200"/>
        <w:jc w:val="center"/>
      </w:pPr>
      <w:r>
        <w:drawing>
          <wp:inline distT="0" distB="0" distL="0" distR="0">
            <wp:extent cx="5029200" cy="5144962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1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before="60"/>
      </w:pPr>
      <w:r>
        <w:rPr>
          <w:i/>
          <w:iCs/>
          <w:sz w:val="20"/>
          <w:szCs w:val="20"/>
        </w:rPr>
        <w:t xml:space="preserve">Supplementary Figure S2. Synthetic low-altitude environment used for benchmarking. The scene spans 5 × 5 km horizontally and 0–180 m in altitude, including fractal-noise terrain with 175 m relief, 15 randomly placed buildings (20–80 m), one no-fly zone, one restricted flight zone, and one river.</w:t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Supplementary Figure S3</w:t>
      </w:r>
    </w:p>
    <w:p>
      <w:pPr>
        <w:spacing w:after="100" w:before="200"/>
        <w:jc w:val="center"/>
      </w:pPr>
      <w:r>
        <w:drawing>
          <wp:inline distT="0" distB="0" distL="0" distR="0">
            <wp:extent cx="5029200" cy="4009278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0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before="60"/>
      </w:pPr>
      <w:r>
        <w:rPr>
          <w:i/>
          <w:iCs/>
          <w:sz w:val="20"/>
          <w:szCs w:val="20"/>
        </w:rPr>
        <w:t xml:space="preserve">Supplementary Figure S3. 3D terrain visualisation of the Xi'an study area, derived from ASTER GDEM V3. The study extent covers 108.85°–109.00° E and 34.18°–34.30° N. Vertical bars overlaid on the terrain represent buildings (the bar height is the building height plus terrain elevation). Elevations range from approximately 350 m in the central depression to over 600 m in the peripheral elevated regions, providing a typical mixed-relief low-altitude environment.</w:t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Supplementary Figure S4</w:t>
      </w:r>
    </w:p>
    <w:p>
      <w:pPr>
        <w:spacing w:after="100" w:before="200"/>
        <w:jc w:val="center"/>
      </w:pPr>
      <w:r>
        <w:drawing>
          <wp:inline distT="0" distB="0" distL="0" distR="0">
            <wp:extent cx="5486400" cy="1708099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0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before="60"/>
      </w:pPr>
      <w:r>
        <w:rPr>
          <w:i/>
          <w:iCs/>
          <w:sz w:val="20"/>
          <w:szCs w:val="20"/>
        </w:rPr>
        <w:t xml:space="preserve">Supplementary Figure S4. Local detail comparison within a sub-area of the Xi'an scene (108.935°–108.960° E, 34.255°–34.270° N). (a) Uniform grid, local count n = 1,632; (b) TSDP, local count n = 1,513. Yellow cells in (b) are coarse merged voxels (L7 or shallower) generated by TSDP's bottom-up merging phase in flat sub-regions. TSDP achieves comparable local representation with fewer voxels by concentrating refinement only where terrain or semantic complexity warrants it.</w:t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Supplementary Table S1</w:t>
      </w:r>
    </w:p>
    <w:p>
      <w:pPr>
        <w:spacing w:after="100" w:before="100"/>
      </w:pPr>
      <w:r>
        <w:rPr>
          <w:i/>
          <w:iCs/>
          <w:sz w:val="20"/>
          <w:szCs w:val="20"/>
        </w:rPr>
        <w:t xml:space="preserve">Supplementary Table S1. Qualitative comparison of 3D modelling approaches for low-altitude environments. Categorical assessments (Excellent / Good / Moderate / Limited / Poor) reflect the typical performance reported in the cited literature for representative implementations.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800"/>
        <w:gridCol w:w="1300"/>
        <w:gridCol w:w="1700"/>
        <w:gridCol w:w="1700"/>
        <w:gridCol w:w="1100"/>
        <w:gridCol w:w="1760"/>
      </w:tblGrid>
      <w:tr>
        <w:tc>
          <w:tcPr>
            <w:tcW w:type="dxa" w:w="18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Method</w:t>
            </w:r>
          </w:p>
        </w:tc>
        <w:tc>
          <w:tcPr>
            <w:tcW w:type="dxa" w:w="13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Global frame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Geometric adaptivity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Semantic integration</w:t>
            </w:r>
          </w:p>
        </w:tc>
        <w:tc>
          <w:tcPr>
            <w:tcW w:type="dxa" w:w="11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Efficiency</w:t>
            </w:r>
          </w:p>
        </w:tc>
        <w:tc>
          <w:tcPr>
            <w:tcW w:type="dxa" w:w="1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Main limitation</w:t>
            </w:r>
          </w:p>
        </w:tc>
      </w:tr>
      <w:tr>
        <w:tc>
          <w:tcPr>
            <w:tcW w:type="dxa" w:w="18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Regular global grid</w:t>
            </w:r>
          </w:p>
        </w:tc>
        <w:tc>
          <w:tcPr>
            <w:tcW w:type="dxa" w:w="13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Excellent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Poor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Limited</w:t>
            </w:r>
          </w:p>
        </w:tc>
        <w:tc>
          <w:tcPr>
            <w:tcW w:type="dxa" w:w="11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Excellent</w:t>
            </w:r>
          </w:p>
        </w:tc>
        <w:tc>
          <w:tcPr>
            <w:tcW w:type="dxa" w:w="1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Fixed resolution</w:t>
            </w:r>
          </w:p>
        </w:tc>
      </w:tr>
      <w:tr>
        <w:tc>
          <w:tcPr>
            <w:tcW w:type="dxa" w:w="18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AMR</w:t>
            </w:r>
          </w:p>
        </w:tc>
        <w:tc>
          <w:tcPr>
            <w:tcW w:type="dxa" w:w="13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Limited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Excellent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Limited</w:t>
            </w:r>
          </w:p>
        </w:tc>
        <w:tc>
          <w:tcPr>
            <w:tcW w:type="dxa" w:w="11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Continuous fields only</w:t>
            </w:r>
          </w:p>
        </w:tc>
      </w:tr>
      <w:tr>
        <w:tc>
          <w:tcPr>
            <w:tcW w:type="dxa" w:w="18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Reality 3D model</w:t>
            </w:r>
          </w:p>
        </w:tc>
        <w:tc>
          <w:tcPr>
            <w:tcW w:type="dxa" w:w="13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Excellent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Poor</w:t>
            </w:r>
          </w:p>
        </w:tc>
        <w:tc>
          <w:tcPr>
            <w:tcW w:type="dxa" w:w="11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Poor</w:t>
            </w:r>
          </w:p>
        </w:tc>
        <w:tc>
          <w:tcPr>
            <w:tcW w:type="dxa" w:w="1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Large data volume</w:t>
            </w:r>
          </w:p>
        </w:tc>
      </w:tr>
      <w:tr>
        <w:tc>
          <w:tcPr>
            <w:tcW w:type="dxa" w:w="18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Point-cloud voxels</w:t>
            </w:r>
          </w:p>
        </w:tc>
        <w:tc>
          <w:tcPr>
            <w:tcW w:type="dxa" w:w="13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Poor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1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Fixed resolution</w:t>
            </w:r>
          </w:p>
        </w:tc>
      </w:tr>
      <w:tr>
        <w:tc>
          <w:tcPr>
            <w:tcW w:type="dxa" w:w="18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Semantic vector</w:t>
            </w:r>
          </w:p>
        </w:tc>
        <w:tc>
          <w:tcPr>
            <w:tcW w:type="dxa" w:w="13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Excellent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Excellent</w:t>
            </w:r>
          </w:p>
        </w:tc>
        <w:tc>
          <w:tcPr>
            <w:tcW w:type="dxa" w:w="11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Poor</w:t>
            </w:r>
          </w:p>
        </w:tc>
        <w:tc>
          <w:tcPr>
            <w:tcW w:type="dxa" w:w="1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Complex topology</w:t>
            </w:r>
          </w:p>
        </w:tc>
      </w:tr>
      <w:tr>
        <w:tc>
          <w:tcPr>
            <w:tcW w:type="dxa" w:w="18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CityGML LOD</w:t>
            </w:r>
          </w:p>
        </w:tc>
        <w:tc>
          <w:tcPr>
            <w:tcW w:type="dxa" w:w="13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Good</w:t>
            </w:r>
          </w:p>
        </w:tc>
        <w:tc>
          <w:tcPr>
            <w:tcW w:type="dxa" w:w="1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Excellent</w:t>
            </w:r>
          </w:p>
        </w:tc>
        <w:tc>
          <w:tcPr>
            <w:tcW w:type="dxa" w:w="11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Moderate</w:t>
            </w:r>
          </w:p>
        </w:tc>
        <w:tc>
          <w:tcPr>
            <w:tcW w:type="dxa" w:w="1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No global grid fusion</w:t>
            </w:r>
          </w:p>
        </w:tc>
      </w:tr>
    </w:tbl>
    <w:p>
      <w:pPr>
        <w:spacing w:after="200"/>
      </w:pPr>
      <w:r>
        <w:t xml:space="preserve"/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Supplementary Table S2</w:t>
      </w:r>
    </w:p>
    <w:p>
      <w:pPr>
        <w:spacing w:after="100" w:before="100"/>
      </w:pPr>
      <w:r>
        <w:rPr>
          <w:i/>
          <w:iCs/>
          <w:sz w:val="20"/>
          <w:szCs w:val="20"/>
        </w:rPr>
        <w:t xml:space="preserve">Supplementary Table S2. Data sources used in the real-world Xi'an experiment.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2400"/>
        <w:gridCol w:w="2700"/>
        <w:gridCol w:w="2760"/>
      </w:tblGrid>
      <w:tr>
        <w:tc>
          <w:tcPr>
            <w:tcW w:type="dxa" w:w="15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Data</w:t>
            </w:r>
          </w:p>
        </w:tc>
        <w:tc>
          <w:tcPr>
            <w:tcW w:type="dxa" w:w="24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Source</w:t>
            </w:r>
          </w:p>
        </w:tc>
        <w:tc>
          <w:tcPr>
            <w:tcW w:type="dxa" w:w="2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Resolution</w:t>
            </w:r>
          </w:p>
        </w:tc>
        <w:tc>
          <w:tcPr>
            <w:tcW w:type="dxa" w:w="2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Access</w:t>
            </w:r>
          </w:p>
        </w:tc>
      </w:tr>
      <w:tr>
        <w:tc>
          <w:tcPr>
            <w:tcW w:type="dxa" w:w="15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Elevation</w:t>
            </w:r>
          </w:p>
        </w:tc>
        <w:tc>
          <w:tcPr>
            <w:tcW w:type="dxa" w:w="24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ASTER GDEM V3</w:t>
            </w:r>
          </w:p>
        </w:tc>
        <w:tc>
          <w:tcPr>
            <w:tcW w:type="dxa" w:w="2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30 m; RMSE ≈ 8.68 m</w:t>
            </w:r>
          </w:p>
        </w:tc>
        <w:tc>
          <w:tcPr>
            <w:tcW w:type="dxa" w:w="2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NASA Earthdata</w:t>
            </w:r>
          </w:p>
        </w:tc>
      </w:tr>
      <w:tr>
        <w:tc>
          <w:tcPr>
            <w:tcW w:type="dxa" w:w="15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Buildings</w:t>
            </w:r>
          </w:p>
        </w:tc>
        <w:tc>
          <w:tcPr>
            <w:tcW w:type="dxa" w:w="24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OpenStreetMap</w:t>
            </w:r>
          </w:p>
        </w:tc>
        <w:tc>
          <w:tcPr>
            <w:tcW w:type="dxa" w:w="2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Vector (~4,200 footprints)</w:t>
            </w:r>
          </w:p>
        </w:tc>
        <w:tc>
          <w:tcPr>
            <w:tcW w:type="dxa" w:w="2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Overpass API</w:t>
            </w:r>
          </w:p>
        </w:tc>
      </w:tr>
      <w:tr>
        <w:tc>
          <w:tcPr>
            <w:tcW w:type="dxa" w:w="15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Airspace</w:t>
            </w:r>
          </w:p>
        </w:tc>
        <w:tc>
          <w:tcPr>
            <w:tcW w:type="dxa" w:w="24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eAIP / DJI FlySafe</w:t>
            </w:r>
          </w:p>
        </w:tc>
        <w:tc>
          <w:tcPr>
            <w:tcW w:type="dxa" w:w="2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≈ 50–100 m</w:t>
            </w:r>
          </w:p>
        </w:tc>
        <w:tc>
          <w:tcPr>
            <w:tcW w:type="dxa" w:w="2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Public + manual</w:t>
            </w:r>
          </w:p>
        </w:tc>
      </w:tr>
      <w:tr>
        <w:tc>
          <w:tcPr>
            <w:tcW w:type="dxa" w:w="15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Waterways</w:t>
            </w:r>
          </w:p>
        </w:tc>
        <w:tc>
          <w:tcPr>
            <w:tcW w:type="dxa" w:w="24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OpenStreetMap</w:t>
            </w:r>
          </w:p>
        </w:tc>
        <w:tc>
          <w:tcPr>
            <w:tcW w:type="dxa" w:w="27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Vector</w:t>
            </w:r>
          </w:p>
        </w:tc>
        <w:tc>
          <w:tcPr>
            <w:tcW w:type="dxa" w:w="276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Overpass API</w:t>
            </w:r>
          </w:p>
        </w:tc>
      </w:tr>
    </w:tbl>
    <w:p>
      <w:pPr>
        <w:spacing w:after="200"/>
      </w:pPr>
      <w:r>
        <w:t xml:space="preserve"/>
      </w:r>
    </w:p>
    <w:p>
      <w:pPr>
        <w:pStyle w:val="Heading1"/>
        <w:spacing w:after="180" w:before="360"/>
      </w:pPr>
      <w:r>
        <w:rPr>
          <w:b/>
          <w:bCs/>
          <w:sz w:val="28"/>
          <w:szCs w:val="28"/>
        </w:rPr>
        <w:t xml:space="preserve">Supplementary Table S3</w:t>
      </w:r>
    </w:p>
    <w:p>
      <w:pPr>
        <w:spacing w:after="100" w:before="100"/>
      </w:pPr>
      <w:r>
        <w:rPr>
          <w:i/>
          <w:iCs/>
          <w:sz w:val="20"/>
          <w:szCs w:val="20"/>
        </w:rPr>
        <w:t xml:space="preserve">Supplementary Table S3. Path-planning performance on the synthetic environment, averaged over 30 repetitions with randomised start–goal pairs. Values after ± denote s.d.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2120"/>
        <w:gridCol w:w="2120"/>
        <w:gridCol w:w="2120"/>
      </w:tblGrid>
      <w:tr>
        <w:tc>
          <w:tcPr>
            <w:tcW w:type="dxa" w:w="30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Metric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Uniform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Terrain-AMR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fill="E8E8E8" w:val="clear"/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/>
                <w:bCs/>
                <w:sz w:val="18"/>
                <w:szCs w:val="18"/>
              </w:rPr>
              <w:t xml:space="preserve">TSDP</w:t>
            </w:r>
          </w:p>
        </w:tc>
      </w:tr>
      <w:tr>
        <w:tc>
          <w:tcPr>
            <w:tcW w:type="dxa" w:w="30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Time (s)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2.37 ± 0.19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1.65 ± 0.13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1.42 ± 0.11</w:t>
            </w:r>
          </w:p>
        </w:tc>
      </w:tr>
      <w:tr>
        <w:tc>
          <w:tcPr>
            <w:tcW w:type="dxa" w:w="30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Expanded nodes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15,832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8,945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7,590</w:t>
            </w:r>
          </w:p>
        </w:tc>
      </w:tr>
      <w:tr>
        <w:tc>
          <w:tcPr>
            <w:tcW w:type="dxa" w:w="30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Path length (m)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6,842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6,715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6,698</w:t>
            </w:r>
          </w:p>
        </w:tc>
      </w:tr>
      <w:tr>
        <w:tc>
          <w:tcPr>
            <w:tcW w:type="dxa" w:w="30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Min. clearance (m)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4.2 ± 1.8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5.1 ± 2.0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8.5 ± 1.4</w:t>
            </w:r>
          </w:p>
        </w:tc>
      </w:tr>
      <w:tr>
        <w:tc>
          <w:tcPr>
            <w:tcW w:type="dxa" w:w="300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Clearance violations (&lt;5 m)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3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2</w:t>
            </w:r>
          </w:p>
        </w:tc>
        <w:tc>
          <w:tcPr>
            <w:tcW w:type="dxa" w:w="2120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tcMar>
              <w:top w:type="dxa" w:w="60"/>
              <w:left w:type="dxa" w:w="100"/>
              <w:bottom w:type="dxa" w:w="60"/>
              <w:right w:type="dxa" w:w="100"/>
            </w:tcMar>
          </w:tcPr>
          <w:p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</w:tr>
    </w:tbl>
    <w:p>
      <w:pPr>
        <w:spacing w:after="200"/>
      </w:pPr>
      <w:r>
        <w:t xml:space="preserve"/>
      </w:r>
    </w:p>
    <w:p>
      <w:pPr>
        <w:spacing w:after="120" w:line="360"/>
        <w:jc w:val="both"/>
      </w:pPr>
      <w:r>
        <w:t xml:space="preserve">TSDP reduces planning time by 40.1% relative to the uniform baseline (p = 0.0002), increases minimum obstacle clearance from 4.2 m to 8.5 m, and produces zero clearance violations across all 30 repetitions. Path lengths differ by less than 2% across methods, confirming that the safety improvements do not come at the cost of route efficiency.</w:t>
      </w:r>
    </w:p>
    <w:sectPr>
      <w:pgSz w:w="12240" w:h="15840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cs="Times New Roman" w:eastAsia="Times New Roman" w:hAnsi="Times New Roman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482430f06f4e279d6746b2c67f6fd254621d6845.jpeg"/><Relationship Id="rId8" Type="http://schemas.openxmlformats.org/officeDocument/2006/relationships/image" Target="media/8fe2b4e932ae759998484ba64dcd5f4e412ae76c.jpeg"/><Relationship Id="rId9" Type="http://schemas.openxmlformats.org/officeDocument/2006/relationships/image" Target="media/bdcdbbcbbd789195291517b9c32b0970e14fb8ea.jpeg"/><Relationship Id="rId10" Type="http://schemas.openxmlformats.org/officeDocument/2006/relationships/image" Target="media/6d1809d58232376f6fd45745aca65023c89436d3.jpeg"/><Relationship Id="rId11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2026-05-04T16:12:44.371Z</dcterms:created>
  <dcterms:modified xsi:type="dcterms:W3CDTF">2026-05-04T16:12:44.371Z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