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37"/>
        <w:tblW w:w="14446" w:type="dxa"/>
        <w:tblLook w:val="04A0" w:firstRow="1" w:lastRow="0" w:firstColumn="1" w:lastColumn="0" w:noHBand="0" w:noVBand="1"/>
      </w:tblPr>
      <w:tblGrid>
        <w:gridCol w:w="2080"/>
        <w:gridCol w:w="556"/>
        <w:gridCol w:w="2438"/>
        <w:gridCol w:w="2492"/>
        <w:gridCol w:w="6880"/>
      </w:tblGrid>
      <w:tr w:rsidR="007F6124" w:rsidRPr="00E26B1A" w14:paraId="09D45BA5" w14:textId="0F8C3E85" w:rsidTr="00222BD8">
        <w:trPr>
          <w:trHeight w:val="84"/>
          <w:tblHeader/>
        </w:trPr>
        <w:tc>
          <w:tcPr>
            <w:tcW w:w="2080" w:type="dxa"/>
            <w:shd w:val="clear" w:color="auto" w:fill="C1E4F5" w:themeFill="accent1" w:themeFillTint="33"/>
          </w:tcPr>
          <w:p w14:paraId="5AC5F543" w14:textId="4BA32ED0" w:rsidR="007F6124" w:rsidRPr="00E26B1A" w:rsidRDefault="007F6124" w:rsidP="003B11B8">
            <w:pPr>
              <w:rPr>
                <w:rFonts w:ascii="Arial" w:hAnsi="Arial" w:cs="Arial"/>
                <w:b/>
                <w:bCs/>
                <w:sz w:val="18"/>
                <w:szCs w:val="18"/>
              </w:rPr>
            </w:pPr>
            <w:r w:rsidRPr="00E26B1A">
              <w:rPr>
                <w:rFonts w:ascii="Arial" w:hAnsi="Arial" w:cs="Arial"/>
                <w:b/>
                <w:bCs/>
                <w:sz w:val="18"/>
                <w:szCs w:val="18"/>
              </w:rPr>
              <w:t>Component</w:t>
            </w:r>
          </w:p>
        </w:tc>
        <w:tc>
          <w:tcPr>
            <w:tcW w:w="12366" w:type="dxa"/>
            <w:gridSpan w:val="4"/>
            <w:shd w:val="clear" w:color="auto" w:fill="C1E4F5" w:themeFill="accent1" w:themeFillTint="33"/>
          </w:tcPr>
          <w:p w14:paraId="5E6BCB2C" w14:textId="5C6DE2B8" w:rsidR="007F6124" w:rsidRPr="00E26B1A" w:rsidRDefault="007F6124" w:rsidP="003B11B8">
            <w:pPr>
              <w:rPr>
                <w:rFonts w:ascii="Arial" w:hAnsi="Arial" w:cs="Arial"/>
                <w:b/>
                <w:bCs/>
                <w:sz w:val="18"/>
                <w:szCs w:val="18"/>
              </w:rPr>
            </w:pPr>
            <w:r w:rsidRPr="00E26B1A">
              <w:rPr>
                <w:rFonts w:ascii="Arial" w:hAnsi="Arial" w:cs="Arial"/>
                <w:b/>
                <w:bCs/>
                <w:sz w:val="18"/>
                <w:szCs w:val="18"/>
              </w:rPr>
              <w:t>Definition</w:t>
            </w:r>
          </w:p>
        </w:tc>
      </w:tr>
      <w:tr w:rsidR="007F6124" w:rsidRPr="00E26B1A" w14:paraId="28B1593B" w14:textId="5F6BB27F" w:rsidTr="00222BD8">
        <w:trPr>
          <w:trHeight w:val="84"/>
        </w:trPr>
        <w:tc>
          <w:tcPr>
            <w:tcW w:w="2080" w:type="dxa"/>
          </w:tcPr>
          <w:p w14:paraId="32CC8B07" w14:textId="34035C7A" w:rsidR="007F6124" w:rsidRPr="00E26B1A" w:rsidRDefault="007F6124" w:rsidP="003B11B8">
            <w:pPr>
              <w:rPr>
                <w:rFonts w:ascii="Arial" w:hAnsi="Arial" w:cs="Arial"/>
                <w:b/>
                <w:bCs/>
                <w:sz w:val="18"/>
                <w:szCs w:val="18"/>
              </w:rPr>
            </w:pPr>
            <w:r w:rsidRPr="00E26B1A">
              <w:rPr>
                <w:rFonts w:ascii="Arial" w:hAnsi="Arial" w:cs="Arial"/>
                <w:b/>
                <w:bCs/>
                <w:sz w:val="18"/>
                <w:szCs w:val="18"/>
              </w:rPr>
              <w:t>(1) Preoperative fasting</w:t>
            </w:r>
          </w:p>
        </w:tc>
        <w:tc>
          <w:tcPr>
            <w:tcW w:w="12366" w:type="dxa"/>
            <w:gridSpan w:val="4"/>
          </w:tcPr>
          <w:p w14:paraId="02C5A655" w14:textId="369FE59F" w:rsidR="007F6124" w:rsidRPr="00E26B1A" w:rsidRDefault="007F6124" w:rsidP="003B11B8">
            <w:pPr>
              <w:rPr>
                <w:rFonts w:ascii="Arial" w:hAnsi="Arial" w:cs="Arial"/>
                <w:sz w:val="18"/>
                <w:szCs w:val="18"/>
              </w:rPr>
            </w:pPr>
            <w:r w:rsidRPr="00610E1B">
              <w:rPr>
                <w:rFonts w:ascii="Arial" w:hAnsi="Arial" w:cs="Arial"/>
                <w:sz w:val="18"/>
                <w:szCs w:val="18"/>
              </w:rPr>
              <w:t>For patients without restrictions on oral intake, continue solid food up to 8h, formula up to 6h, breastmilk up to 4h, and clear liquids up to 2h prior to induction of anesthesia. Shorter fasting intervals are acceptable.</w:t>
            </w:r>
          </w:p>
        </w:tc>
      </w:tr>
      <w:tr w:rsidR="007F6124" w:rsidRPr="00E26B1A" w14:paraId="248C1F31" w14:textId="44E895D7" w:rsidTr="00222BD8">
        <w:trPr>
          <w:trHeight w:val="123"/>
        </w:trPr>
        <w:tc>
          <w:tcPr>
            <w:tcW w:w="2080" w:type="dxa"/>
          </w:tcPr>
          <w:p w14:paraId="36B8FC02" w14:textId="2AC3CE5D" w:rsidR="007F6124" w:rsidRPr="00E26B1A" w:rsidRDefault="007F6124" w:rsidP="003B11B8">
            <w:pPr>
              <w:rPr>
                <w:rFonts w:ascii="Arial" w:hAnsi="Arial" w:cs="Arial"/>
                <w:sz w:val="18"/>
                <w:szCs w:val="18"/>
              </w:rPr>
            </w:pPr>
            <w:r w:rsidRPr="00E26B1A">
              <w:rPr>
                <w:rFonts w:ascii="Arial" w:hAnsi="Arial" w:cs="Arial"/>
                <w:b/>
                <w:bCs/>
                <w:sz w:val="18"/>
                <w:szCs w:val="18"/>
              </w:rPr>
              <w:t>(2) Optimal surgical technique</w:t>
            </w:r>
          </w:p>
        </w:tc>
        <w:tc>
          <w:tcPr>
            <w:tcW w:w="12366" w:type="dxa"/>
            <w:gridSpan w:val="4"/>
          </w:tcPr>
          <w:p w14:paraId="2EFD007B" w14:textId="7552A22F" w:rsidR="007F6124" w:rsidRPr="00E26B1A" w:rsidRDefault="007F6124" w:rsidP="003B11B8">
            <w:pPr>
              <w:rPr>
                <w:rFonts w:ascii="Arial" w:hAnsi="Arial" w:cs="Arial"/>
                <w:sz w:val="18"/>
                <w:szCs w:val="18"/>
              </w:rPr>
            </w:pPr>
            <w:r w:rsidRPr="008F1B7D">
              <w:rPr>
                <w:rFonts w:ascii="Arial" w:hAnsi="Arial" w:cs="Arial"/>
                <w:sz w:val="18"/>
                <w:szCs w:val="18"/>
              </w:rPr>
              <w:t>Perform primary anastomosis for uncomplicated intestinal atresia (type I-IIIA atresia) repairs.</w:t>
            </w:r>
          </w:p>
        </w:tc>
      </w:tr>
      <w:tr w:rsidR="007F6124" w:rsidRPr="00E26B1A" w14:paraId="20F610E3" w14:textId="48FA5933" w:rsidTr="00222BD8">
        <w:trPr>
          <w:trHeight w:val="247"/>
        </w:trPr>
        <w:tc>
          <w:tcPr>
            <w:tcW w:w="2080" w:type="dxa"/>
          </w:tcPr>
          <w:p w14:paraId="2E95565F" w14:textId="50BA9452" w:rsidR="007F6124" w:rsidRPr="00E26B1A" w:rsidRDefault="007F6124" w:rsidP="003B11B8">
            <w:pPr>
              <w:rPr>
                <w:rFonts w:ascii="Arial" w:hAnsi="Arial" w:cs="Arial"/>
                <w:sz w:val="18"/>
                <w:szCs w:val="18"/>
              </w:rPr>
            </w:pPr>
            <w:r w:rsidRPr="00E26B1A">
              <w:rPr>
                <w:rFonts w:ascii="Arial" w:hAnsi="Arial" w:cs="Arial"/>
                <w:b/>
                <w:bCs/>
                <w:sz w:val="18"/>
                <w:szCs w:val="18"/>
              </w:rPr>
              <w:t>(3) Preventing hypothermia</w:t>
            </w:r>
          </w:p>
        </w:tc>
        <w:tc>
          <w:tcPr>
            <w:tcW w:w="12366" w:type="dxa"/>
            <w:gridSpan w:val="4"/>
          </w:tcPr>
          <w:p w14:paraId="46911CD6" w14:textId="4A0533A1" w:rsidR="007F6124" w:rsidRPr="00E26B1A" w:rsidRDefault="007F6124" w:rsidP="003B11B8">
            <w:pPr>
              <w:rPr>
                <w:rFonts w:ascii="Arial" w:hAnsi="Arial" w:cs="Arial"/>
                <w:sz w:val="18"/>
                <w:szCs w:val="18"/>
              </w:rPr>
            </w:pPr>
            <w:r w:rsidRPr="00E26B1A">
              <w:rPr>
                <w:rFonts w:ascii="Arial" w:hAnsi="Arial" w:cs="Arial"/>
                <w:sz w:val="18"/>
                <w:szCs w:val="18"/>
              </w:rPr>
              <w:t>Continuously monitor and take pre-emptive measures (including Bair hugger, &gt;74°F OR temperature, and IV fluid warmer) to prevent hypothermia (&lt;36°C) upon transport and intraoperatively.</w:t>
            </w:r>
          </w:p>
        </w:tc>
      </w:tr>
      <w:tr w:rsidR="007F6124" w:rsidRPr="00E26B1A" w14:paraId="6C7475EC" w14:textId="514E4B7B" w:rsidTr="00222BD8">
        <w:trPr>
          <w:trHeight w:val="504"/>
        </w:trPr>
        <w:tc>
          <w:tcPr>
            <w:tcW w:w="2080" w:type="dxa"/>
          </w:tcPr>
          <w:p w14:paraId="1AF2A384" w14:textId="2B9B0E04" w:rsidR="007F6124" w:rsidRPr="00E26B1A" w:rsidRDefault="007F6124" w:rsidP="003B11B8">
            <w:pPr>
              <w:rPr>
                <w:rFonts w:ascii="Arial" w:hAnsi="Arial" w:cs="Arial"/>
                <w:b/>
                <w:bCs/>
                <w:sz w:val="18"/>
                <w:szCs w:val="18"/>
              </w:rPr>
            </w:pPr>
            <w:r w:rsidRPr="00E26B1A">
              <w:rPr>
                <w:rFonts w:ascii="Arial" w:hAnsi="Arial" w:cs="Arial"/>
                <w:b/>
                <w:bCs/>
                <w:sz w:val="18"/>
                <w:szCs w:val="18"/>
              </w:rPr>
              <w:t>(4) Transfusion parameters</w:t>
            </w:r>
          </w:p>
        </w:tc>
        <w:tc>
          <w:tcPr>
            <w:tcW w:w="12366" w:type="dxa"/>
            <w:gridSpan w:val="4"/>
          </w:tcPr>
          <w:p w14:paraId="6FAFB412" w14:textId="77777777" w:rsidR="007F6124" w:rsidRPr="00E26B1A" w:rsidRDefault="007F6124" w:rsidP="003B11B8">
            <w:pPr>
              <w:rPr>
                <w:rFonts w:ascii="Arial" w:hAnsi="Arial" w:cs="Arial"/>
                <w:sz w:val="18"/>
                <w:szCs w:val="18"/>
              </w:rPr>
            </w:pPr>
            <w:r w:rsidRPr="00E26B1A">
              <w:rPr>
                <w:rFonts w:ascii="Arial" w:hAnsi="Arial" w:cs="Arial"/>
                <w:sz w:val="18"/>
                <w:szCs w:val="18"/>
              </w:rPr>
              <w:t>Using written transfusion guidelines, restrict transfusions to:</w:t>
            </w:r>
          </w:p>
          <w:p w14:paraId="429C0116" w14:textId="30C3A6E0" w:rsidR="007F6124" w:rsidRPr="00E26B1A" w:rsidRDefault="007F6124" w:rsidP="003B11B8">
            <w:pPr>
              <w:pStyle w:val="ListParagraph"/>
              <w:numPr>
                <w:ilvl w:val="0"/>
                <w:numId w:val="3"/>
              </w:numPr>
              <w:ind w:left="144" w:hanging="144"/>
              <w:rPr>
                <w:rFonts w:ascii="Arial" w:hAnsi="Arial" w:cs="Arial"/>
                <w:sz w:val="18"/>
                <w:szCs w:val="18"/>
              </w:rPr>
            </w:pPr>
            <w:r w:rsidRPr="00E26B1A">
              <w:rPr>
                <w:rFonts w:ascii="Arial" w:hAnsi="Arial" w:cs="Arial"/>
                <w:sz w:val="18"/>
                <w:szCs w:val="18"/>
              </w:rPr>
              <w:t>Hgb&lt;9g/dL for a neonate/infant without significant O2 requirement (</w:t>
            </w:r>
            <w:r>
              <w:rPr>
                <w:rFonts w:ascii="Arial" w:hAnsi="Arial" w:cs="Arial"/>
                <w:sz w:val="18"/>
                <w:szCs w:val="18"/>
              </w:rPr>
              <w:t>&lt;</w:t>
            </w:r>
            <w:r w:rsidRPr="00E26B1A">
              <w:rPr>
                <w:rFonts w:ascii="Arial" w:hAnsi="Arial" w:cs="Arial"/>
                <w:sz w:val="18"/>
                <w:szCs w:val="18"/>
              </w:rPr>
              <w:t>/= 4L HFNC)</w:t>
            </w:r>
          </w:p>
          <w:p w14:paraId="631C0062" w14:textId="77777777" w:rsidR="007F6124" w:rsidRPr="00E26B1A" w:rsidRDefault="007F6124" w:rsidP="003B11B8">
            <w:pPr>
              <w:pStyle w:val="ListParagraph"/>
              <w:numPr>
                <w:ilvl w:val="0"/>
                <w:numId w:val="3"/>
              </w:numPr>
              <w:ind w:left="144" w:hanging="144"/>
              <w:rPr>
                <w:rFonts w:ascii="Arial" w:hAnsi="Arial" w:cs="Arial"/>
                <w:sz w:val="18"/>
                <w:szCs w:val="18"/>
              </w:rPr>
            </w:pPr>
            <w:r w:rsidRPr="00E26B1A">
              <w:rPr>
                <w:rFonts w:ascii="Arial" w:hAnsi="Arial" w:cs="Arial"/>
                <w:sz w:val="18"/>
                <w:szCs w:val="18"/>
              </w:rPr>
              <w:t>Hgb&lt;11g/dL for neonates/infants within 1 week of life who are:</w:t>
            </w:r>
          </w:p>
          <w:p w14:paraId="0F76E366" w14:textId="0C7E0B88" w:rsidR="007F6124" w:rsidRPr="00E26B1A" w:rsidRDefault="007F6124" w:rsidP="003B11B8">
            <w:pPr>
              <w:pStyle w:val="ListParagraph"/>
              <w:numPr>
                <w:ilvl w:val="1"/>
                <w:numId w:val="3"/>
              </w:numPr>
              <w:ind w:left="432" w:hanging="144"/>
              <w:rPr>
                <w:rFonts w:ascii="Arial" w:hAnsi="Arial" w:cs="Arial"/>
                <w:sz w:val="18"/>
                <w:szCs w:val="18"/>
              </w:rPr>
            </w:pPr>
            <w:r w:rsidRPr="00E26B1A">
              <w:rPr>
                <w:rFonts w:ascii="Arial" w:hAnsi="Arial" w:cs="Arial"/>
                <w:sz w:val="18"/>
                <w:szCs w:val="18"/>
              </w:rPr>
              <w:t>Either &lt;37wks</w:t>
            </w:r>
          </w:p>
          <w:p w14:paraId="5EFE66A4" w14:textId="29214C2E" w:rsidR="007F6124" w:rsidRPr="00E26B1A" w:rsidRDefault="007F6124" w:rsidP="003B11B8">
            <w:pPr>
              <w:pStyle w:val="ListParagraph"/>
              <w:numPr>
                <w:ilvl w:val="1"/>
                <w:numId w:val="3"/>
              </w:numPr>
              <w:ind w:left="432" w:hanging="144"/>
              <w:rPr>
                <w:rFonts w:ascii="Arial" w:hAnsi="Arial" w:cs="Arial"/>
                <w:sz w:val="18"/>
                <w:szCs w:val="18"/>
              </w:rPr>
            </w:pPr>
            <w:r w:rsidRPr="00E26B1A">
              <w:rPr>
                <w:rFonts w:ascii="Arial" w:hAnsi="Arial" w:cs="Arial"/>
                <w:sz w:val="18"/>
                <w:szCs w:val="18"/>
              </w:rPr>
              <w:t>Or intubated or have a significant O2 requirement (&gt;/= 4L HFNC)</w:t>
            </w:r>
          </w:p>
          <w:p w14:paraId="130E3F83" w14:textId="29B05022" w:rsidR="007F6124" w:rsidRPr="00E26B1A" w:rsidRDefault="007F6124" w:rsidP="0038461B">
            <w:pPr>
              <w:rPr>
                <w:rFonts w:ascii="Arial" w:hAnsi="Arial" w:cs="Arial"/>
                <w:sz w:val="18"/>
                <w:szCs w:val="18"/>
              </w:rPr>
            </w:pPr>
            <w:r w:rsidRPr="00E26B1A">
              <w:rPr>
                <w:rFonts w:ascii="Arial" w:hAnsi="Arial" w:cs="Arial"/>
                <w:sz w:val="18"/>
                <w:szCs w:val="18"/>
              </w:rPr>
              <w:t>More restrictive thresholds are acceptable</w:t>
            </w:r>
            <w:r>
              <w:rPr>
                <w:rFonts w:ascii="Arial" w:hAnsi="Arial" w:cs="Arial"/>
                <w:sz w:val="18"/>
                <w:szCs w:val="18"/>
              </w:rPr>
              <w:t>.</w:t>
            </w:r>
          </w:p>
        </w:tc>
      </w:tr>
      <w:tr w:rsidR="007F6124" w:rsidRPr="00E26B1A" w14:paraId="4E17B0C4" w14:textId="0DDBFD03" w:rsidTr="00222BD8">
        <w:trPr>
          <w:trHeight w:val="123"/>
        </w:trPr>
        <w:tc>
          <w:tcPr>
            <w:tcW w:w="2080" w:type="dxa"/>
          </w:tcPr>
          <w:p w14:paraId="4ADCD93E" w14:textId="70ACE969" w:rsidR="007F6124" w:rsidRPr="00E26B1A" w:rsidRDefault="007F6124" w:rsidP="003B11B8">
            <w:pPr>
              <w:rPr>
                <w:rFonts w:ascii="Arial" w:hAnsi="Arial" w:cs="Arial"/>
                <w:sz w:val="18"/>
                <w:szCs w:val="18"/>
              </w:rPr>
            </w:pPr>
            <w:r w:rsidRPr="00E26B1A">
              <w:rPr>
                <w:rFonts w:ascii="Arial" w:hAnsi="Arial" w:cs="Arial"/>
                <w:b/>
                <w:bCs/>
                <w:sz w:val="18"/>
                <w:szCs w:val="18"/>
              </w:rPr>
              <w:t>(5) Surgical skin site preparation</w:t>
            </w:r>
          </w:p>
        </w:tc>
        <w:tc>
          <w:tcPr>
            <w:tcW w:w="12366" w:type="dxa"/>
            <w:gridSpan w:val="4"/>
          </w:tcPr>
          <w:p w14:paraId="3DA03B8A" w14:textId="155D8FFE" w:rsidR="007F6124" w:rsidRPr="00E26B1A" w:rsidRDefault="007F6124" w:rsidP="003B11B8">
            <w:pPr>
              <w:rPr>
                <w:rFonts w:ascii="Arial" w:hAnsi="Arial" w:cs="Arial"/>
                <w:sz w:val="18"/>
                <w:szCs w:val="18"/>
              </w:rPr>
            </w:pPr>
            <w:r w:rsidRPr="00E26B1A">
              <w:rPr>
                <w:rFonts w:ascii="Arial" w:hAnsi="Arial" w:cs="Arial"/>
                <w:sz w:val="18"/>
                <w:szCs w:val="18"/>
              </w:rPr>
              <w:t>Use chlorhexidine-based skin preparation to prepare the surgical site in patients &gt;35 weeks’ gestation.</w:t>
            </w:r>
          </w:p>
        </w:tc>
      </w:tr>
      <w:tr w:rsidR="007F6124" w:rsidRPr="00E26B1A" w14:paraId="234C5BAA" w14:textId="3F82A8D8" w:rsidTr="00222BD8">
        <w:trPr>
          <w:trHeight w:val="342"/>
        </w:trPr>
        <w:tc>
          <w:tcPr>
            <w:tcW w:w="2080" w:type="dxa"/>
          </w:tcPr>
          <w:p w14:paraId="530B4EAB" w14:textId="34835A28" w:rsidR="007F6124" w:rsidRPr="00E26B1A" w:rsidRDefault="007F6124" w:rsidP="003B11B8">
            <w:pPr>
              <w:rPr>
                <w:rFonts w:ascii="Arial" w:hAnsi="Arial" w:cs="Arial"/>
                <w:sz w:val="18"/>
                <w:szCs w:val="18"/>
              </w:rPr>
            </w:pPr>
            <w:r w:rsidRPr="00E26B1A">
              <w:rPr>
                <w:rFonts w:ascii="Arial" w:hAnsi="Arial" w:cs="Arial"/>
                <w:b/>
                <w:bCs/>
                <w:sz w:val="18"/>
                <w:szCs w:val="18"/>
              </w:rPr>
              <w:t>(6) Antimicrobial prophylaxis</w:t>
            </w:r>
          </w:p>
        </w:tc>
        <w:tc>
          <w:tcPr>
            <w:tcW w:w="12366" w:type="dxa"/>
            <w:gridSpan w:val="4"/>
          </w:tcPr>
          <w:p w14:paraId="7529151B" w14:textId="242A04DE" w:rsidR="007F6124" w:rsidRPr="00E26B1A" w:rsidRDefault="007F6124" w:rsidP="003B11B8">
            <w:pPr>
              <w:numPr>
                <w:ilvl w:val="0"/>
                <w:numId w:val="2"/>
              </w:numPr>
              <w:ind w:left="144" w:hanging="144"/>
              <w:rPr>
                <w:rFonts w:ascii="Arial" w:hAnsi="Arial" w:cs="Arial"/>
                <w:sz w:val="18"/>
                <w:szCs w:val="18"/>
              </w:rPr>
            </w:pPr>
            <w:r w:rsidRPr="00E26B1A">
              <w:rPr>
                <w:rFonts w:ascii="Arial" w:hAnsi="Arial" w:cs="Arial"/>
                <w:sz w:val="18"/>
                <w:szCs w:val="18"/>
              </w:rPr>
              <w:t>Administer preoperative antibiotic prophylaxis (e.g., cefazolin (Ancef) </w:t>
            </w:r>
            <w:r w:rsidRPr="00E26B1A">
              <w:rPr>
                <w:rFonts w:ascii="Arial" w:hAnsi="Arial" w:cs="Arial"/>
                <w:sz w:val="18"/>
                <w:szCs w:val="18"/>
                <w:u w:val="single"/>
              </w:rPr>
              <w:t>+/-</w:t>
            </w:r>
            <w:r w:rsidRPr="00E26B1A">
              <w:rPr>
                <w:rFonts w:ascii="Arial" w:hAnsi="Arial" w:cs="Arial"/>
                <w:sz w:val="18"/>
                <w:szCs w:val="18"/>
              </w:rPr>
              <w:t> metronidazole (Flagyl)) within 60min prior to skin incision.</w:t>
            </w:r>
          </w:p>
          <w:p w14:paraId="73D5DBF2" w14:textId="1625AB02" w:rsidR="007F6124" w:rsidRPr="00E26B1A" w:rsidRDefault="007F6124" w:rsidP="003B11B8">
            <w:pPr>
              <w:numPr>
                <w:ilvl w:val="0"/>
                <w:numId w:val="2"/>
              </w:numPr>
              <w:ind w:left="144" w:hanging="144"/>
              <w:rPr>
                <w:rFonts w:ascii="Arial" w:hAnsi="Arial" w:cs="Arial"/>
                <w:sz w:val="18"/>
                <w:szCs w:val="18"/>
              </w:rPr>
            </w:pPr>
            <w:r w:rsidRPr="00E26B1A">
              <w:rPr>
                <w:rFonts w:ascii="Arial" w:hAnsi="Arial" w:cs="Arial"/>
                <w:sz w:val="18"/>
                <w:szCs w:val="18"/>
              </w:rPr>
              <w:t>Discontinue antibiotics within 24h of surgery, unless indicated for a reason other than surgical prophylaxis.</w:t>
            </w:r>
          </w:p>
        </w:tc>
      </w:tr>
      <w:tr w:rsidR="007F6124" w:rsidRPr="00E26B1A" w14:paraId="63161118" w14:textId="50943E76" w:rsidTr="00222BD8">
        <w:trPr>
          <w:trHeight w:val="123"/>
        </w:trPr>
        <w:tc>
          <w:tcPr>
            <w:tcW w:w="2080" w:type="dxa"/>
          </w:tcPr>
          <w:p w14:paraId="6B9ADF9D" w14:textId="15F895BB" w:rsidR="007F6124" w:rsidRPr="00E26B1A" w:rsidRDefault="007F6124" w:rsidP="003B11B8">
            <w:pPr>
              <w:rPr>
                <w:rFonts w:ascii="Arial" w:hAnsi="Arial" w:cs="Arial"/>
                <w:b/>
                <w:bCs/>
                <w:sz w:val="18"/>
                <w:szCs w:val="18"/>
              </w:rPr>
            </w:pPr>
            <w:r w:rsidRPr="00E26B1A">
              <w:rPr>
                <w:rFonts w:ascii="Arial" w:hAnsi="Arial" w:cs="Arial"/>
                <w:b/>
                <w:bCs/>
                <w:sz w:val="18"/>
                <w:szCs w:val="18"/>
              </w:rPr>
              <w:t>(7) Perioperative ventilation</w:t>
            </w:r>
            <w:r w:rsidRPr="00E26B1A">
              <w:rPr>
                <w:rFonts w:ascii="Arial" w:hAnsi="Arial" w:cs="Arial"/>
                <w:sz w:val="18"/>
                <w:szCs w:val="18"/>
              </w:rPr>
              <w:t xml:space="preserve"> </w:t>
            </w:r>
          </w:p>
        </w:tc>
        <w:tc>
          <w:tcPr>
            <w:tcW w:w="12366" w:type="dxa"/>
            <w:gridSpan w:val="4"/>
          </w:tcPr>
          <w:p w14:paraId="2F818239" w14:textId="1316083F" w:rsidR="007F6124" w:rsidRPr="00E26B1A" w:rsidRDefault="007F6124" w:rsidP="003B11B8">
            <w:pPr>
              <w:rPr>
                <w:rFonts w:ascii="Arial" w:hAnsi="Arial" w:cs="Arial"/>
                <w:sz w:val="18"/>
                <w:szCs w:val="18"/>
              </w:rPr>
            </w:pPr>
            <w:r w:rsidRPr="00E26B1A">
              <w:rPr>
                <w:rFonts w:ascii="Arial" w:hAnsi="Arial" w:cs="Arial"/>
                <w:sz w:val="18"/>
                <w:szCs w:val="18"/>
              </w:rPr>
              <w:t xml:space="preserve">In patients who are intubated only for the surgery, aim for postoperative </w:t>
            </w:r>
            <w:proofErr w:type="spellStart"/>
            <w:r w:rsidRPr="00E26B1A">
              <w:rPr>
                <w:rFonts w:ascii="Arial" w:hAnsi="Arial" w:cs="Arial"/>
                <w:sz w:val="18"/>
                <w:szCs w:val="18"/>
              </w:rPr>
              <w:t>extubation</w:t>
            </w:r>
            <w:proofErr w:type="spellEnd"/>
            <w:r w:rsidRPr="00E26B1A">
              <w:rPr>
                <w:rFonts w:ascii="Arial" w:hAnsi="Arial" w:cs="Arial"/>
                <w:sz w:val="18"/>
                <w:szCs w:val="18"/>
              </w:rPr>
              <w:t xml:space="preserve"> by POD 1.</w:t>
            </w:r>
          </w:p>
        </w:tc>
      </w:tr>
      <w:tr w:rsidR="007F6124" w:rsidRPr="00E26B1A" w14:paraId="3C4D9F41" w14:textId="5084B21B" w:rsidTr="00222BD8">
        <w:trPr>
          <w:trHeight w:val="164"/>
        </w:trPr>
        <w:tc>
          <w:tcPr>
            <w:tcW w:w="2080" w:type="dxa"/>
          </w:tcPr>
          <w:p w14:paraId="30C015F8" w14:textId="57D83C54" w:rsidR="007F6124" w:rsidRPr="00E26B1A" w:rsidRDefault="007F6124" w:rsidP="003B11B8">
            <w:pPr>
              <w:rPr>
                <w:rFonts w:ascii="Arial" w:hAnsi="Arial" w:cs="Arial"/>
                <w:b/>
                <w:bCs/>
                <w:sz w:val="18"/>
                <w:szCs w:val="18"/>
              </w:rPr>
            </w:pPr>
            <w:r w:rsidRPr="00E26B1A">
              <w:rPr>
                <w:rFonts w:ascii="Arial" w:hAnsi="Arial" w:cs="Arial"/>
                <w:b/>
                <w:bCs/>
                <w:sz w:val="18"/>
                <w:szCs w:val="18"/>
              </w:rPr>
              <w:t>(8) Perioperative glucose control</w:t>
            </w:r>
          </w:p>
        </w:tc>
        <w:tc>
          <w:tcPr>
            <w:tcW w:w="12366" w:type="dxa"/>
            <w:gridSpan w:val="4"/>
          </w:tcPr>
          <w:p w14:paraId="5417944C" w14:textId="63C01621" w:rsidR="007F6124" w:rsidRPr="00E26B1A" w:rsidRDefault="007F6124" w:rsidP="003B11B8">
            <w:pPr>
              <w:rPr>
                <w:rFonts w:ascii="Arial" w:hAnsi="Arial" w:cs="Arial"/>
                <w:sz w:val="18"/>
                <w:szCs w:val="18"/>
              </w:rPr>
            </w:pPr>
            <w:r w:rsidRPr="00E26B1A">
              <w:rPr>
                <w:rFonts w:ascii="Arial" w:hAnsi="Arial" w:cs="Arial"/>
                <w:sz w:val="18"/>
                <w:szCs w:val="18"/>
              </w:rPr>
              <w:t>Give perioperative glucose to avoid hypoglycemia. Tight glucose control with insulin infusions is not routinely recommended.</w:t>
            </w:r>
          </w:p>
        </w:tc>
      </w:tr>
      <w:tr w:rsidR="007F6124" w:rsidRPr="00E26B1A" w14:paraId="0C080666" w14:textId="291C8C9D" w:rsidTr="00222BD8">
        <w:trPr>
          <w:trHeight w:val="976"/>
        </w:trPr>
        <w:tc>
          <w:tcPr>
            <w:tcW w:w="2080" w:type="dxa"/>
          </w:tcPr>
          <w:p w14:paraId="0E1C7EB2" w14:textId="1D3EA763" w:rsidR="007F6124" w:rsidRPr="00E26B1A" w:rsidRDefault="007F6124" w:rsidP="003B11B8">
            <w:pPr>
              <w:rPr>
                <w:rFonts w:ascii="Arial" w:hAnsi="Arial" w:cs="Arial"/>
                <w:b/>
                <w:bCs/>
                <w:sz w:val="18"/>
                <w:szCs w:val="18"/>
              </w:rPr>
            </w:pPr>
            <w:r w:rsidRPr="00E26B1A">
              <w:rPr>
                <w:rFonts w:ascii="Arial" w:hAnsi="Arial" w:cs="Arial"/>
                <w:b/>
                <w:bCs/>
                <w:sz w:val="18"/>
                <w:szCs w:val="18"/>
              </w:rPr>
              <w:t>(9) Enteral feeds</w:t>
            </w:r>
          </w:p>
        </w:tc>
        <w:tc>
          <w:tcPr>
            <w:tcW w:w="12366" w:type="dxa"/>
            <w:gridSpan w:val="4"/>
          </w:tcPr>
          <w:p w14:paraId="19F99D3F" w14:textId="373906B5" w:rsidR="007F6124" w:rsidRPr="00E26B1A" w:rsidRDefault="007F6124" w:rsidP="003B11B8">
            <w:pPr>
              <w:numPr>
                <w:ilvl w:val="0"/>
                <w:numId w:val="4"/>
              </w:numPr>
              <w:ind w:hanging="144"/>
              <w:rPr>
                <w:rFonts w:ascii="Arial" w:hAnsi="Arial" w:cs="Arial"/>
                <w:sz w:val="18"/>
                <w:szCs w:val="18"/>
              </w:rPr>
            </w:pPr>
            <w:r w:rsidRPr="00E26B1A">
              <w:rPr>
                <w:rFonts w:ascii="Arial" w:hAnsi="Arial" w:cs="Arial"/>
                <w:sz w:val="18"/>
                <w:szCs w:val="18"/>
              </w:rPr>
              <w:t xml:space="preserve">When </w:t>
            </w:r>
            <w:r>
              <w:rPr>
                <w:rFonts w:ascii="Arial" w:hAnsi="Arial" w:cs="Arial"/>
                <w:sz w:val="18"/>
                <w:szCs w:val="18"/>
              </w:rPr>
              <w:t>gastric</w:t>
            </w:r>
            <w:r w:rsidRPr="00E26B1A">
              <w:rPr>
                <w:rFonts w:ascii="Arial" w:hAnsi="Arial" w:cs="Arial"/>
                <w:sz w:val="18"/>
                <w:szCs w:val="18"/>
              </w:rPr>
              <w:t xml:space="preserve"> output is &lt;20mL/kg/day, start trophic feeds at minimum of 10mL/kg/day.</w:t>
            </w:r>
          </w:p>
          <w:p w14:paraId="18123DA0" w14:textId="2E1BEEBC" w:rsidR="007F6124" w:rsidRPr="00E26B1A" w:rsidRDefault="007F6124" w:rsidP="003B11B8">
            <w:pPr>
              <w:numPr>
                <w:ilvl w:val="0"/>
                <w:numId w:val="4"/>
              </w:numPr>
              <w:ind w:hanging="144"/>
              <w:rPr>
                <w:rFonts w:ascii="Arial" w:hAnsi="Arial" w:cs="Arial"/>
                <w:sz w:val="18"/>
                <w:szCs w:val="18"/>
              </w:rPr>
            </w:pPr>
            <w:r w:rsidRPr="00E26B1A">
              <w:rPr>
                <w:rFonts w:ascii="Arial" w:hAnsi="Arial" w:cs="Arial"/>
                <w:sz w:val="18"/>
                <w:szCs w:val="18"/>
              </w:rPr>
              <w:t xml:space="preserve">Advance at minimum of 10mL/kg/day, unless not tolerated. Do not wait for </w:t>
            </w:r>
            <w:r>
              <w:rPr>
                <w:rFonts w:ascii="Arial" w:hAnsi="Arial" w:cs="Arial"/>
                <w:sz w:val="18"/>
                <w:szCs w:val="18"/>
              </w:rPr>
              <w:t>stool output</w:t>
            </w:r>
            <w:r w:rsidRPr="00E26B1A">
              <w:rPr>
                <w:rFonts w:ascii="Arial" w:hAnsi="Arial" w:cs="Arial"/>
                <w:sz w:val="18"/>
                <w:szCs w:val="18"/>
              </w:rPr>
              <w:t>.</w:t>
            </w:r>
          </w:p>
          <w:p w14:paraId="0ED2DE66" w14:textId="279A424F" w:rsidR="007F6124" w:rsidRPr="00E26B1A" w:rsidRDefault="007F6124" w:rsidP="003B11B8">
            <w:pPr>
              <w:pStyle w:val="ListParagraph"/>
              <w:numPr>
                <w:ilvl w:val="0"/>
                <w:numId w:val="6"/>
              </w:numPr>
              <w:ind w:left="432" w:hanging="144"/>
              <w:rPr>
                <w:rFonts w:ascii="Arial" w:hAnsi="Arial" w:cs="Arial"/>
                <w:sz w:val="18"/>
                <w:szCs w:val="18"/>
              </w:rPr>
            </w:pPr>
            <w:r w:rsidRPr="00E26B1A">
              <w:rPr>
                <w:rFonts w:ascii="Arial" w:hAnsi="Arial" w:cs="Arial"/>
                <w:i/>
                <w:iCs/>
                <w:sz w:val="18"/>
                <w:szCs w:val="18"/>
              </w:rPr>
              <w:t>Indications for </w:t>
            </w:r>
            <w:r w:rsidRPr="00E26B1A">
              <w:rPr>
                <w:rFonts w:ascii="Arial" w:hAnsi="Arial" w:cs="Arial"/>
                <w:b/>
                <w:bCs/>
                <w:i/>
                <w:iCs/>
                <w:sz w:val="18"/>
                <w:szCs w:val="18"/>
              </w:rPr>
              <w:t>not </w:t>
            </w:r>
            <w:r w:rsidRPr="00E26B1A">
              <w:rPr>
                <w:rFonts w:ascii="Arial" w:hAnsi="Arial" w:cs="Arial"/>
                <w:i/>
                <w:iCs/>
                <w:sz w:val="18"/>
                <w:szCs w:val="18"/>
              </w:rPr>
              <w:t xml:space="preserve">tolerating </w:t>
            </w:r>
            <w:proofErr w:type="gramStart"/>
            <w:r w:rsidRPr="00E26B1A">
              <w:rPr>
                <w:rFonts w:ascii="Arial" w:hAnsi="Arial" w:cs="Arial"/>
                <w:i/>
                <w:iCs/>
                <w:sz w:val="18"/>
                <w:szCs w:val="18"/>
              </w:rPr>
              <w:t>include:</w:t>
            </w:r>
            <w:proofErr w:type="gramEnd"/>
            <w:r w:rsidRPr="00E26B1A">
              <w:rPr>
                <w:rFonts w:ascii="Arial" w:hAnsi="Arial" w:cs="Arial"/>
                <w:i/>
                <w:iCs/>
                <w:sz w:val="18"/>
                <w:szCs w:val="18"/>
              </w:rPr>
              <w:t xml:space="preserve"> significant increase in abdominal distention or significant change in abdominal exam; stoma or stool output of &gt;30-40mL/kg/day, blood in stool; repeated or bilious emesis; concerns based on radiographical findings (e.g., pneumatosis developing, change in bowel dilation, stagged loops of air fluid levels)</w:t>
            </w:r>
          </w:p>
          <w:p w14:paraId="763524B7" w14:textId="0EC3BB8A" w:rsidR="007F6124" w:rsidRPr="00A14AEB" w:rsidRDefault="007F6124" w:rsidP="003B11B8">
            <w:pPr>
              <w:numPr>
                <w:ilvl w:val="0"/>
                <w:numId w:val="4"/>
              </w:numPr>
              <w:ind w:hanging="144"/>
              <w:rPr>
                <w:rFonts w:ascii="Arial" w:hAnsi="Arial" w:cs="Arial"/>
                <w:sz w:val="18"/>
                <w:szCs w:val="18"/>
              </w:rPr>
            </w:pPr>
            <w:r w:rsidRPr="00E26B1A">
              <w:rPr>
                <w:rFonts w:ascii="Arial" w:hAnsi="Arial" w:cs="Arial"/>
                <w:sz w:val="18"/>
                <w:szCs w:val="18"/>
              </w:rPr>
              <w:t>Administering higher volumes with initiation and advancement of feeds is acceptable. </w:t>
            </w:r>
          </w:p>
        </w:tc>
      </w:tr>
      <w:tr w:rsidR="007F6124" w:rsidRPr="00E26B1A" w14:paraId="050F3235" w14:textId="5982AEEB" w:rsidTr="00222BD8">
        <w:trPr>
          <w:trHeight w:val="231"/>
        </w:trPr>
        <w:tc>
          <w:tcPr>
            <w:tcW w:w="2080" w:type="dxa"/>
          </w:tcPr>
          <w:p w14:paraId="1B06B5F7" w14:textId="32743D66" w:rsidR="007F6124" w:rsidRPr="00E26B1A" w:rsidRDefault="007F6124" w:rsidP="003B11B8">
            <w:pPr>
              <w:rPr>
                <w:rFonts w:ascii="Arial" w:hAnsi="Arial" w:cs="Arial"/>
                <w:sz w:val="18"/>
                <w:szCs w:val="18"/>
              </w:rPr>
            </w:pPr>
            <w:r w:rsidRPr="00E26B1A">
              <w:rPr>
                <w:rFonts w:ascii="Arial" w:hAnsi="Arial" w:cs="Arial"/>
                <w:b/>
                <w:bCs/>
                <w:sz w:val="18"/>
                <w:szCs w:val="18"/>
              </w:rPr>
              <w:t>(10) Limited opioid use</w:t>
            </w:r>
          </w:p>
        </w:tc>
        <w:tc>
          <w:tcPr>
            <w:tcW w:w="12366" w:type="dxa"/>
            <w:gridSpan w:val="4"/>
          </w:tcPr>
          <w:p w14:paraId="6B7F97D3" w14:textId="7ECD82A0" w:rsidR="007F6124" w:rsidRPr="00E26B1A" w:rsidRDefault="007F6124" w:rsidP="003B11B8">
            <w:pPr>
              <w:rPr>
                <w:rFonts w:ascii="Arial" w:hAnsi="Arial" w:cs="Arial"/>
                <w:sz w:val="18"/>
                <w:szCs w:val="18"/>
              </w:rPr>
            </w:pPr>
            <w:r w:rsidRPr="00E26B1A">
              <w:rPr>
                <w:rFonts w:ascii="Arial" w:hAnsi="Arial" w:cs="Arial"/>
                <w:sz w:val="18"/>
                <w:szCs w:val="18"/>
              </w:rPr>
              <w:t xml:space="preserve">Avoid continuous or scheduled </w:t>
            </w:r>
            <w:proofErr w:type="gramStart"/>
            <w:r w:rsidRPr="00E26B1A">
              <w:rPr>
                <w:rFonts w:ascii="Arial" w:hAnsi="Arial" w:cs="Arial"/>
                <w:sz w:val="18"/>
                <w:szCs w:val="18"/>
              </w:rPr>
              <w:t>opioids</w:t>
            </w:r>
            <w:proofErr w:type="gramEnd"/>
            <w:r w:rsidRPr="00E26B1A">
              <w:rPr>
                <w:rFonts w:ascii="Arial" w:hAnsi="Arial" w:cs="Arial"/>
                <w:sz w:val="18"/>
                <w:szCs w:val="18"/>
              </w:rPr>
              <w:t xml:space="preserve"> post-operatively. If IV opioids are used, administer PRN, based on a validated pain scale [i.e., Neonatal Infant Pain Scale (NIPS), Neonatal Pain, Agitation, and Sedation Scale (N-PASS), or Bernese Pain Scale for Neonates (BPSN)] and discontinue within 72 hours of surgery.</w:t>
            </w:r>
          </w:p>
        </w:tc>
      </w:tr>
      <w:tr w:rsidR="007F6124" w:rsidRPr="00E26B1A" w14:paraId="3793E53B" w14:textId="6F4D238E" w:rsidTr="00222BD8">
        <w:trPr>
          <w:trHeight w:val="377"/>
        </w:trPr>
        <w:tc>
          <w:tcPr>
            <w:tcW w:w="2080" w:type="dxa"/>
          </w:tcPr>
          <w:p w14:paraId="194DAF5C" w14:textId="3064320B" w:rsidR="007F6124" w:rsidRPr="00E26B1A" w:rsidRDefault="007F6124" w:rsidP="003B11B8">
            <w:pPr>
              <w:rPr>
                <w:rFonts w:ascii="Arial" w:hAnsi="Arial" w:cs="Arial"/>
                <w:sz w:val="18"/>
                <w:szCs w:val="18"/>
              </w:rPr>
            </w:pPr>
            <w:r w:rsidRPr="00E26B1A">
              <w:rPr>
                <w:rFonts w:ascii="Arial" w:hAnsi="Arial" w:cs="Arial"/>
                <w:b/>
                <w:bCs/>
                <w:sz w:val="18"/>
                <w:szCs w:val="18"/>
              </w:rPr>
              <w:t>(11) Non-opioid pharmacologic postoperative analgesia</w:t>
            </w:r>
          </w:p>
        </w:tc>
        <w:tc>
          <w:tcPr>
            <w:tcW w:w="12366" w:type="dxa"/>
            <w:gridSpan w:val="4"/>
          </w:tcPr>
          <w:p w14:paraId="16C80B90" w14:textId="77777777" w:rsidR="007F6124" w:rsidRPr="00E26B1A" w:rsidRDefault="007F6124" w:rsidP="003B11B8">
            <w:pPr>
              <w:pStyle w:val="ListParagraph"/>
              <w:numPr>
                <w:ilvl w:val="0"/>
                <w:numId w:val="7"/>
              </w:numPr>
              <w:ind w:left="144" w:hanging="144"/>
              <w:rPr>
                <w:rFonts w:ascii="Arial" w:hAnsi="Arial" w:cs="Arial"/>
                <w:sz w:val="18"/>
                <w:szCs w:val="18"/>
              </w:rPr>
            </w:pPr>
            <w:r w:rsidRPr="00E26B1A">
              <w:rPr>
                <w:rFonts w:ascii="Arial" w:hAnsi="Arial" w:cs="Arial"/>
                <w:sz w:val="18"/>
                <w:szCs w:val="18"/>
              </w:rPr>
              <w:t xml:space="preserve">Unless contraindicated, administer regularly scheduled acetaminophen 10-15 mg/kg (oral, intravenous, rectal) q6h postoperatively. </w:t>
            </w:r>
          </w:p>
          <w:p w14:paraId="544D13A5" w14:textId="4945D34D" w:rsidR="007F6124" w:rsidRPr="00E26B1A" w:rsidRDefault="007F6124" w:rsidP="003B11B8">
            <w:pPr>
              <w:pStyle w:val="ListParagraph"/>
              <w:numPr>
                <w:ilvl w:val="0"/>
                <w:numId w:val="7"/>
              </w:numPr>
              <w:ind w:left="144" w:hanging="144"/>
              <w:rPr>
                <w:rFonts w:ascii="Arial" w:hAnsi="Arial" w:cs="Arial"/>
                <w:sz w:val="18"/>
                <w:szCs w:val="18"/>
              </w:rPr>
            </w:pPr>
            <w:r w:rsidRPr="00E26B1A">
              <w:rPr>
                <w:rFonts w:ascii="Arial" w:hAnsi="Arial" w:cs="Arial"/>
                <w:sz w:val="18"/>
                <w:szCs w:val="18"/>
              </w:rPr>
              <w:t>Consider prescribing additional non-opioid option(s) (e.g., dexmedetomidine (</w:t>
            </w:r>
            <w:proofErr w:type="spellStart"/>
            <w:r w:rsidRPr="00E26B1A">
              <w:rPr>
                <w:rFonts w:ascii="Arial" w:hAnsi="Arial" w:cs="Arial"/>
                <w:sz w:val="18"/>
                <w:szCs w:val="18"/>
              </w:rPr>
              <w:t>Precedex</w:t>
            </w:r>
            <w:proofErr w:type="spellEnd"/>
            <w:r w:rsidRPr="00E26B1A">
              <w:rPr>
                <w:rFonts w:ascii="Arial" w:hAnsi="Arial" w:cs="Arial"/>
                <w:sz w:val="18"/>
                <w:szCs w:val="18"/>
              </w:rPr>
              <w:t>), clonidine, gabapentin, or ketorolac (Toradol))</w:t>
            </w:r>
          </w:p>
        </w:tc>
      </w:tr>
      <w:tr w:rsidR="007F6124" w:rsidRPr="00E26B1A" w14:paraId="4A53B845" w14:textId="2D7FF7B7" w:rsidTr="00222BD8">
        <w:trPr>
          <w:trHeight w:val="164"/>
        </w:trPr>
        <w:tc>
          <w:tcPr>
            <w:tcW w:w="2080" w:type="dxa"/>
          </w:tcPr>
          <w:p w14:paraId="0E6ED085" w14:textId="0EE0AE7C" w:rsidR="007F6124" w:rsidRPr="00E26B1A" w:rsidRDefault="007F6124" w:rsidP="003B11B8">
            <w:pPr>
              <w:rPr>
                <w:rFonts w:ascii="Arial" w:hAnsi="Arial" w:cs="Arial"/>
                <w:sz w:val="18"/>
                <w:szCs w:val="18"/>
              </w:rPr>
            </w:pPr>
            <w:r w:rsidRPr="00E26B1A">
              <w:rPr>
                <w:rFonts w:ascii="Arial" w:hAnsi="Arial" w:cs="Arial"/>
                <w:b/>
                <w:bCs/>
                <w:sz w:val="18"/>
                <w:szCs w:val="18"/>
              </w:rPr>
              <w:t>(12) Regional block use</w:t>
            </w:r>
          </w:p>
        </w:tc>
        <w:tc>
          <w:tcPr>
            <w:tcW w:w="12366" w:type="dxa"/>
            <w:gridSpan w:val="4"/>
          </w:tcPr>
          <w:p w14:paraId="4C422461" w14:textId="755BF118" w:rsidR="007F6124" w:rsidRPr="00E26B1A" w:rsidRDefault="007F6124" w:rsidP="003B11B8">
            <w:pPr>
              <w:rPr>
                <w:rFonts w:ascii="Arial" w:hAnsi="Arial" w:cs="Arial"/>
                <w:sz w:val="18"/>
                <w:szCs w:val="18"/>
              </w:rPr>
            </w:pPr>
            <w:r w:rsidRPr="00E26B1A">
              <w:rPr>
                <w:rFonts w:ascii="Arial" w:hAnsi="Arial" w:cs="Arial"/>
                <w:sz w:val="18"/>
                <w:szCs w:val="18"/>
              </w:rPr>
              <w:t>Use regional anesthesia (e.g., caudal, epidural, spinal, peripheral nerve block) in any patient undergoing an open operation.</w:t>
            </w:r>
          </w:p>
        </w:tc>
      </w:tr>
      <w:tr w:rsidR="007F6124" w:rsidRPr="00E26B1A" w14:paraId="2DBA1A9F" w14:textId="424444C0" w:rsidTr="00222BD8">
        <w:trPr>
          <w:trHeight w:val="164"/>
        </w:trPr>
        <w:tc>
          <w:tcPr>
            <w:tcW w:w="2080" w:type="dxa"/>
          </w:tcPr>
          <w:p w14:paraId="763E920E" w14:textId="5C928065" w:rsidR="007F6124" w:rsidRPr="00E26B1A" w:rsidRDefault="007F6124" w:rsidP="003B11B8">
            <w:pPr>
              <w:rPr>
                <w:rFonts w:ascii="Arial" w:hAnsi="Arial" w:cs="Arial"/>
                <w:sz w:val="18"/>
                <w:szCs w:val="18"/>
              </w:rPr>
            </w:pPr>
            <w:r w:rsidRPr="00E26B1A">
              <w:rPr>
                <w:rFonts w:ascii="Arial" w:hAnsi="Arial" w:cs="Arial"/>
                <w:b/>
                <w:bCs/>
                <w:sz w:val="18"/>
                <w:szCs w:val="18"/>
              </w:rPr>
              <w:t>(13) Lingual sugar use</w:t>
            </w:r>
          </w:p>
        </w:tc>
        <w:tc>
          <w:tcPr>
            <w:tcW w:w="12366" w:type="dxa"/>
            <w:gridSpan w:val="4"/>
          </w:tcPr>
          <w:p w14:paraId="59762AEE" w14:textId="551CE283" w:rsidR="007F6124" w:rsidRPr="00E26B1A" w:rsidRDefault="007F6124" w:rsidP="003B11B8">
            <w:pPr>
              <w:rPr>
                <w:rFonts w:ascii="Arial" w:hAnsi="Arial" w:cs="Arial"/>
                <w:sz w:val="18"/>
                <w:szCs w:val="18"/>
              </w:rPr>
            </w:pPr>
            <w:r w:rsidRPr="00E26B1A">
              <w:rPr>
                <w:rFonts w:ascii="Arial" w:hAnsi="Arial" w:cs="Arial"/>
                <w:sz w:val="18"/>
                <w:szCs w:val="18"/>
              </w:rPr>
              <w:t xml:space="preserve">Provide lingual sucrose/dextrose or breast milk to reduce pain during minor procedures (e.g., enteral tube placement, blood </w:t>
            </w:r>
            <w:proofErr w:type="gramStart"/>
            <w:r w:rsidRPr="00E26B1A">
              <w:rPr>
                <w:rFonts w:ascii="Arial" w:hAnsi="Arial" w:cs="Arial"/>
                <w:sz w:val="18"/>
                <w:szCs w:val="18"/>
              </w:rPr>
              <w:t>draws</w:t>
            </w:r>
            <w:proofErr w:type="gramEnd"/>
            <w:r w:rsidRPr="00E26B1A">
              <w:rPr>
                <w:rFonts w:ascii="Arial" w:hAnsi="Arial" w:cs="Arial"/>
                <w:sz w:val="18"/>
                <w:szCs w:val="18"/>
              </w:rPr>
              <w:t>, simple dressing changes, patient repositioning, PIV placement).</w:t>
            </w:r>
          </w:p>
        </w:tc>
      </w:tr>
      <w:tr w:rsidR="007F6124" w:rsidRPr="00E26B1A" w14:paraId="0DE74CD2" w14:textId="4D5C8EC9" w:rsidTr="00222BD8">
        <w:trPr>
          <w:trHeight w:val="26"/>
        </w:trPr>
        <w:tc>
          <w:tcPr>
            <w:tcW w:w="2080" w:type="dxa"/>
          </w:tcPr>
          <w:p w14:paraId="3A2386B9" w14:textId="7B54891D" w:rsidR="007F6124" w:rsidRPr="00E26B1A" w:rsidRDefault="007F6124" w:rsidP="003B11B8">
            <w:pPr>
              <w:rPr>
                <w:rFonts w:ascii="Arial" w:hAnsi="Arial" w:cs="Arial"/>
                <w:sz w:val="18"/>
                <w:szCs w:val="18"/>
              </w:rPr>
            </w:pPr>
            <w:r w:rsidRPr="00E26B1A">
              <w:rPr>
                <w:rFonts w:ascii="Arial" w:hAnsi="Arial" w:cs="Arial"/>
                <w:b/>
                <w:bCs/>
                <w:sz w:val="18"/>
                <w:szCs w:val="18"/>
              </w:rPr>
              <w:t>(14) Parental involvement</w:t>
            </w:r>
          </w:p>
        </w:tc>
        <w:tc>
          <w:tcPr>
            <w:tcW w:w="12366" w:type="dxa"/>
            <w:gridSpan w:val="4"/>
          </w:tcPr>
          <w:p w14:paraId="3B772683" w14:textId="77777777" w:rsidR="007F6124" w:rsidRPr="00E26B1A" w:rsidRDefault="007F6124" w:rsidP="003B11B8">
            <w:pPr>
              <w:rPr>
                <w:rFonts w:ascii="Arial" w:hAnsi="Arial" w:cs="Arial"/>
                <w:sz w:val="18"/>
                <w:szCs w:val="18"/>
              </w:rPr>
            </w:pPr>
            <w:r w:rsidRPr="00E26B1A">
              <w:rPr>
                <w:rFonts w:ascii="Arial" w:hAnsi="Arial" w:cs="Arial"/>
                <w:sz w:val="18"/>
                <w:szCs w:val="18"/>
              </w:rPr>
              <w:t xml:space="preserve">Ensure individualized parental involvement by: </w:t>
            </w:r>
          </w:p>
          <w:p w14:paraId="46379BA1" w14:textId="530AE6E2" w:rsidR="007F6124" w:rsidRPr="00E26B1A" w:rsidRDefault="007F6124" w:rsidP="003B11B8">
            <w:pPr>
              <w:pStyle w:val="ListParagraph"/>
              <w:numPr>
                <w:ilvl w:val="0"/>
                <w:numId w:val="8"/>
              </w:numPr>
              <w:ind w:left="144" w:hanging="144"/>
              <w:rPr>
                <w:rFonts w:ascii="Arial" w:hAnsi="Arial" w:cs="Arial"/>
                <w:sz w:val="18"/>
                <w:szCs w:val="18"/>
              </w:rPr>
            </w:pPr>
            <w:r w:rsidRPr="00E26B1A">
              <w:rPr>
                <w:rFonts w:ascii="Arial" w:hAnsi="Arial" w:cs="Arial"/>
                <w:sz w:val="18"/>
                <w:szCs w:val="18"/>
              </w:rPr>
              <w:t xml:space="preserve">Engaging parents/caregivers within 24h of admission to seek preferences, assessing needs, and formalizing the communication process (including points of contact, timing, and format). </w:t>
            </w:r>
          </w:p>
          <w:p w14:paraId="7FF433C8" w14:textId="44651813" w:rsidR="007F6124" w:rsidRPr="00E26B1A" w:rsidRDefault="007F6124" w:rsidP="003B11B8">
            <w:pPr>
              <w:pStyle w:val="ListParagraph"/>
              <w:numPr>
                <w:ilvl w:val="0"/>
                <w:numId w:val="8"/>
              </w:numPr>
              <w:ind w:left="144" w:hanging="144"/>
              <w:rPr>
                <w:rFonts w:ascii="Arial" w:hAnsi="Arial" w:cs="Arial"/>
                <w:sz w:val="18"/>
                <w:szCs w:val="18"/>
              </w:rPr>
            </w:pPr>
            <w:r w:rsidRPr="00E26B1A">
              <w:rPr>
                <w:rFonts w:ascii="Arial" w:hAnsi="Arial" w:cs="Arial"/>
                <w:sz w:val="18"/>
                <w:szCs w:val="18"/>
              </w:rPr>
              <w:t>Educating parents/caregivers on techniques for how to interact with their baby (e.g., G-tube/stoma teaching, monitoring vitals, skin-to-skin contact"</w:t>
            </w:r>
          </w:p>
        </w:tc>
      </w:tr>
      <w:tr w:rsidR="007F6124" w:rsidRPr="00E26B1A" w14:paraId="465A5B9F" w14:textId="541CAE93" w:rsidTr="00222BD8">
        <w:trPr>
          <w:trHeight w:val="26"/>
        </w:trPr>
        <w:tc>
          <w:tcPr>
            <w:tcW w:w="2080" w:type="dxa"/>
          </w:tcPr>
          <w:p w14:paraId="33F2F019" w14:textId="430E8245" w:rsidR="007F6124" w:rsidRPr="00E26B1A" w:rsidRDefault="007F6124" w:rsidP="003B11B8">
            <w:pPr>
              <w:rPr>
                <w:rFonts w:ascii="Arial" w:hAnsi="Arial" w:cs="Arial"/>
                <w:b/>
                <w:bCs/>
                <w:sz w:val="18"/>
                <w:szCs w:val="18"/>
              </w:rPr>
            </w:pPr>
            <w:r w:rsidRPr="00E26B1A">
              <w:rPr>
                <w:rFonts w:ascii="Arial" w:hAnsi="Arial" w:cs="Arial"/>
                <w:b/>
                <w:bCs/>
                <w:sz w:val="18"/>
                <w:szCs w:val="18"/>
              </w:rPr>
              <w:t xml:space="preserve">(15) Team communication and processes </w:t>
            </w:r>
          </w:p>
        </w:tc>
        <w:tc>
          <w:tcPr>
            <w:tcW w:w="12366" w:type="dxa"/>
            <w:gridSpan w:val="4"/>
          </w:tcPr>
          <w:p w14:paraId="34D734C1" w14:textId="77777777" w:rsidR="007F6124" w:rsidRPr="00E26B1A" w:rsidRDefault="007F6124" w:rsidP="003B11B8">
            <w:pPr>
              <w:rPr>
                <w:rFonts w:ascii="Arial" w:hAnsi="Arial" w:cs="Arial"/>
                <w:sz w:val="18"/>
                <w:szCs w:val="18"/>
              </w:rPr>
            </w:pPr>
            <w:r w:rsidRPr="00E26B1A">
              <w:rPr>
                <w:rFonts w:ascii="Arial" w:hAnsi="Arial" w:cs="Arial"/>
                <w:sz w:val="18"/>
                <w:szCs w:val="18"/>
              </w:rPr>
              <w:t xml:space="preserve">Prior to NICU-OR transition of care: </w:t>
            </w:r>
          </w:p>
          <w:p w14:paraId="3F0FAADA" w14:textId="2273C428" w:rsidR="007F6124" w:rsidRPr="00E26B1A" w:rsidRDefault="007F6124" w:rsidP="003B11B8">
            <w:pPr>
              <w:pStyle w:val="ListParagraph"/>
              <w:numPr>
                <w:ilvl w:val="0"/>
                <w:numId w:val="10"/>
              </w:numPr>
              <w:ind w:left="144" w:hanging="144"/>
              <w:rPr>
                <w:rFonts w:ascii="Arial" w:hAnsi="Arial" w:cs="Arial"/>
                <w:sz w:val="18"/>
                <w:szCs w:val="18"/>
              </w:rPr>
            </w:pPr>
            <w:r w:rsidRPr="00E26B1A">
              <w:rPr>
                <w:rFonts w:ascii="Arial" w:hAnsi="Arial" w:cs="Arial"/>
                <w:sz w:val="18"/>
                <w:szCs w:val="18"/>
              </w:rPr>
              <w:t xml:space="preserve">Provide notification to all receiving team members at least 15-30 minutes before transition </w:t>
            </w:r>
          </w:p>
          <w:p w14:paraId="571A45C2" w14:textId="11F8F26E" w:rsidR="007F6124" w:rsidRPr="00E26B1A" w:rsidRDefault="007F6124" w:rsidP="003B11B8">
            <w:pPr>
              <w:pStyle w:val="ListParagraph"/>
              <w:numPr>
                <w:ilvl w:val="0"/>
                <w:numId w:val="10"/>
              </w:numPr>
              <w:ind w:left="144" w:hanging="144"/>
              <w:rPr>
                <w:rFonts w:ascii="Arial" w:hAnsi="Arial" w:cs="Arial"/>
                <w:sz w:val="18"/>
                <w:szCs w:val="18"/>
              </w:rPr>
            </w:pPr>
            <w:r w:rsidRPr="00E26B1A">
              <w:rPr>
                <w:rFonts w:ascii="Arial" w:hAnsi="Arial" w:cs="Arial"/>
                <w:sz w:val="18"/>
                <w:szCs w:val="18"/>
              </w:rPr>
              <w:t xml:space="preserve">Assure that all receiving team members are represented - Use standardized pre- and post-operative checklists </w:t>
            </w:r>
          </w:p>
          <w:p w14:paraId="09F1BE5C" w14:textId="58232D67" w:rsidR="007F6124" w:rsidRPr="00E26B1A" w:rsidRDefault="007F6124" w:rsidP="003B11B8">
            <w:pPr>
              <w:pStyle w:val="ListParagraph"/>
              <w:numPr>
                <w:ilvl w:val="0"/>
                <w:numId w:val="10"/>
              </w:numPr>
              <w:ind w:left="144" w:hanging="144"/>
              <w:rPr>
                <w:rFonts w:ascii="Arial" w:hAnsi="Arial" w:cs="Arial"/>
                <w:sz w:val="18"/>
                <w:szCs w:val="18"/>
              </w:rPr>
            </w:pPr>
            <w:r w:rsidRPr="00E26B1A">
              <w:rPr>
                <w:rFonts w:ascii="Arial" w:hAnsi="Arial" w:cs="Arial"/>
                <w:sz w:val="18"/>
                <w:szCs w:val="18"/>
              </w:rPr>
              <w:t xml:space="preserve">Hold both pre- and post-operative "huddle" </w:t>
            </w:r>
          </w:p>
        </w:tc>
      </w:tr>
      <w:tr w:rsidR="007F6124" w:rsidRPr="00E26B1A" w14:paraId="5430953D" w14:textId="2A403B42" w:rsidTr="00222BD8">
        <w:trPr>
          <w:trHeight w:val="26"/>
        </w:trPr>
        <w:tc>
          <w:tcPr>
            <w:tcW w:w="2080" w:type="dxa"/>
          </w:tcPr>
          <w:p w14:paraId="6E504C23" w14:textId="77777777" w:rsidR="007F6124" w:rsidRPr="00E26B1A" w:rsidRDefault="007F6124" w:rsidP="003B11B8">
            <w:pPr>
              <w:rPr>
                <w:rFonts w:ascii="Arial" w:hAnsi="Arial" w:cs="Arial"/>
                <w:b/>
                <w:bCs/>
                <w:sz w:val="18"/>
                <w:szCs w:val="18"/>
              </w:rPr>
            </w:pPr>
            <w:r w:rsidRPr="00E26B1A">
              <w:rPr>
                <w:rFonts w:ascii="Arial" w:hAnsi="Arial" w:cs="Arial"/>
                <w:b/>
                <w:bCs/>
                <w:sz w:val="18"/>
                <w:szCs w:val="18"/>
              </w:rPr>
              <w:t>(16) Discharge coordination</w:t>
            </w:r>
          </w:p>
          <w:p w14:paraId="6EF4FA3C" w14:textId="77777777" w:rsidR="007F6124" w:rsidRPr="00E26B1A" w:rsidRDefault="007F6124" w:rsidP="003B11B8">
            <w:pPr>
              <w:rPr>
                <w:rFonts w:ascii="Arial" w:hAnsi="Arial" w:cs="Arial"/>
                <w:sz w:val="18"/>
                <w:szCs w:val="18"/>
              </w:rPr>
            </w:pPr>
          </w:p>
        </w:tc>
        <w:tc>
          <w:tcPr>
            <w:tcW w:w="12366" w:type="dxa"/>
            <w:gridSpan w:val="4"/>
          </w:tcPr>
          <w:p w14:paraId="4730B600" w14:textId="529D3236" w:rsidR="007F6124" w:rsidRPr="00E26B1A" w:rsidRDefault="007F6124" w:rsidP="003B11B8">
            <w:pPr>
              <w:rPr>
                <w:rFonts w:ascii="Arial" w:hAnsi="Arial" w:cs="Arial"/>
                <w:sz w:val="18"/>
                <w:szCs w:val="18"/>
              </w:rPr>
            </w:pPr>
            <w:r w:rsidRPr="0091558B">
              <w:rPr>
                <w:rFonts w:ascii="Arial" w:hAnsi="Arial" w:cs="Arial"/>
                <w:sz w:val="18"/>
                <w:szCs w:val="18"/>
              </w:rPr>
              <w:t>Arrange for follow-up within 48-72 hours after discharge, by a home health provider or primary care provider through a phone call, telemedicine, office visit, or home visit.</w:t>
            </w:r>
          </w:p>
        </w:tc>
      </w:tr>
      <w:tr w:rsidR="007F6124" w:rsidRPr="00E26B1A" w14:paraId="6E48EC77" w14:textId="717A3BBE" w:rsidTr="00222BD8">
        <w:trPr>
          <w:gridAfter w:val="1"/>
          <w:wAfter w:w="6880" w:type="dxa"/>
          <w:trHeight w:val="26"/>
        </w:trPr>
        <w:tc>
          <w:tcPr>
            <w:tcW w:w="2636" w:type="dxa"/>
            <w:gridSpan w:val="2"/>
          </w:tcPr>
          <w:p w14:paraId="61481C5D" w14:textId="2BA1578D" w:rsidR="007F6124" w:rsidRPr="00E26B1A" w:rsidRDefault="007F6124" w:rsidP="003B11B8">
            <w:pPr>
              <w:rPr>
                <w:rFonts w:ascii="Arial" w:hAnsi="Arial" w:cs="Arial"/>
                <w:b/>
                <w:bCs/>
                <w:color w:val="FF0000"/>
                <w:sz w:val="18"/>
                <w:szCs w:val="18"/>
              </w:rPr>
            </w:pPr>
          </w:p>
        </w:tc>
        <w:tc>
          <w:tcPr>
            <w:tcW w:w="2438" w:type="dxa"/>
          </w:tcPr>
          <w:p w14:paraId="44ABDA07" w14:textId="77777777" w:rsidR="007F6124" w:rsidRPr="00E26B1A" w:rsidRDefault="007F6124" w:rsidP="003B11B8">
            <w:pPr>
              <w:rPr>
                <w:rFonts w:ascii="Arial" w:hAnsi="Arial" w:cs="Arial"/>
                <w:b/>
                <w:bCs/>
                <w:color w:val="FF0000"/>
                <w:sz w:val="18"/>
                <w:szCs w:val="18"/>
              </w:rPr>
            </w:pPr>
          </w:p>
        </w:tc>
        <w:tc>
          <w:tcPr>
            <w:tcW w:w="2492" w:type="dxa"/>
          </w:tcPr>
          <w:p w14:paraId="7952CE39" w14:textId="77777777" w:rsidR="007F6124" w:rsidRPr="00E26B1A" w:rsidRDefault="007F6124" w:rsidP="003B11B8">
            <w:pPr>
              <w:rPr>
                <w:rFonts w:ascii="Arial" w:hAnsi="Arial" w:cs="Arial"/>
                <w:b/>
                <w:bCs/>
                <w:color w:val="FF0000"/>
                <w:sz w:val="18"/>
                <w:szCs w:val="18"/>
              </w:rPr>
            </w:pPr>
          </w:p>
        </w:tc>
      </w:tr>
      <w:tr w:rsidR="007F6124" w:rsidRPr="00E26B1A" w14:paraId="4F496F84" w14:textId="0FD82114" w:rsidTr="00222BD8">
        <w:trPr>
          <w:trHeight w:val="26"/>
        </w:trPr>
        <w:tc>
          <w:tcPr>
            <w:tcW w:w="2080" w:type="dxa"/>
          </w:tcPr>
          <w:p w14:paraId="4F47FBC3" w14:textId="77777777" w:rsidR="007F6124" w:rsidRPr="00E26B1A" w:rsidRDefault="007F6124" w:rsidP="003B11B8">
            <w:pPr>
              <w:rPr>
                <w:rFonts w:ascii="Arial" w:hAnsi="Arial" w:cs="Arial"/>
                <w:b/>
                <w:bCs/>
                <w:sz w:val="18"/>
                <w:szCs w:val="18"/>
              </w:rPr>
            </w:pPr>
            <w:r w:rsidRPr="00E26B1A">
              <w:rPr>
                <w:rFonts w:ascii="Arial" w:hAnsi="Arial" w:cs="Arial"/>
                <w:b/>
                <w:bCs/>
                <w:sz w:val="18"/>
                <w:szCs w:val="18"/>
              </w:rPr>
              <w:lastRenderedPageBreak/>
              <w:t>(17) Perioperative fluid management</w:t>
            </w:r>
          </w:p>
          <w:p w14:paraId="17923565" w14:textId="77777777" w:rsidR="007F6124" w:rsidRPr="00E26B1A" w:rsidRDefault="007F6124" w:rsidP="003B11B8">
            <w:pPr>
              <w:rPr>
                <w:rFonts w:ascii="Arial" w:hAnsi="Arial" w:cs="Arial"/>
                <w:b/>
                <w:bCs/>
                <w:sz w:val="18"/>
                <w:szCs w:val="18"/>
              </w:rPr>
            </w:pPr>
          </w:p>
          <w:p w14:paraId="4FFB8EC7" w14:textId="5F171717" w:rsidR="007F6124" w:rsidRPr="00E26B1A" w:rsidRDefault="007F6124" w:rsidP="003B11B8">
            <w:pPr>
              <w:rPr>
                <w:rFonts w:ascii="Arial" w:hAnsi="Arial" w:cs="Arial"/>
                <w:b/>
                <w:bCs/>
                <w:sz w:val="18"/>
                <w:szCs w:val="18"/>
              </w:rPr>
            </w:pPr>
            <w:r w:rsidRPr="00E26B1A">
              <w:rPr>
                <w:rFonts w:ascii="Arial" w:hAnsi="Arial" w:cs="Arial"/>
                <w:b/>
                <w:bCs/>
                <w:sz w:val="18"/>
                <w:szCs w:val="18"/>
              </w:rPr>
              <w:t>EXPLORATORY</w:t>
            </w:r>
          </w:p>
        </w:tc>
        <w:tc>
          <w:tcPr>
            <w:tcW w:w="12366" w:type="dxa"/>
            <w:gridSpan w:val="4"/>
          </w:tcPr>
          <w:p w14:paraId="39C3F7A0" w14:textId="77777777" w:rsidR="007F6124" w:rsidRPr="00E26B1A" w:rsidRDefault="007F6124" w:rsidP="003B11B8">
            <w:pPr>
              <w:rPr>
                <w:rFonts w:ascii="Arial" w:hAnsi="Arial" w:cs="Arial"/>
                <w:sz w:val="18"/>
                <w:szCs w:val="18"/>
              </w:rPr>
            </w:pPr>
            <w:r w:rsidRPr="00E26B1A">
              <w:rPr>
                <w:rFonts w:ascii="Arial" w:hAnsi="Arial" w:cs="Arial"/>
                <w:sz w:val="18"/>
                <w:szCs w:val="18"/>
              </w:rPr>
              <w:t xml:space="preserve">Use a perioperative goal-directed fluid management strategy including: </w:t>
            </w:r>
          </w:p>
          <w:p w14:paraId="2DFF87C6" w14:textId="2CC37891" w:rsidR="007F6124" w:rsidRPr="00E26B1A" w:rsidRDefault="007F6124" w:rsidP="003B11B8">
            <w:pPr>
              <w:pStyle w:val="ListParagraph"/>
              <w:numPr>
                <w:ilvl w:val="0"/>
                <w:numId w:val="12"/>
              </w:numPr>
              <w:ind w:left="144" w:hanging="144"/>
              <w:rPr>
                <w:rFonts w:ascii="Arial" w:hAnsi="Arial" w:cs="Arial"/>
                <w:sz w:val="18"/>
                <w:szCs w:val="18"/>
              </w:rPr>
            </w:pPr>
            <w:r w:rsidRPr="00E26B1A">
              <w:rPr>
                <w:rFonts w:ascii="Arial" w:hAnsi="Arial" w:cs="Arial"/>
                <w:sz w:val="18"/>
                <w:szCs w:val="18"/>
              </w:rPr>
              <w:t xml:space="preserve">Give D10 IVF within the first 48 hours of life. After 48 hours, add sodium and potassium to maintain normal electrolytes. </w:t>
            </w:r>
          </w:p>
          <w:p w14:paraId="3F0877D1" w14:textId="44C445C6" w:rsidR="007F6124" w:rsidRPr="00E26B1A" w:rsidRDefault="007F6124" w:rsidP="003B11B8">
            <w:pPr>
              <w:pStyle w:val="ListParagraph"/>
              <w:numPr>
                <w:ilvl w:val="0"/>
                <w:numId w:val="12"/>
              </w:numPr>
              <w:ind w:left="144" w:hanging="144"/>
              <w:rPr>
                <w:rFonts w:ascii="Arial" w:hAnsi="Arial" w:cs="Arial"/>
                <w:sz w:val="18"/>
                <w:szCs w:val="18"/>
              </w:rPr>
            </w:pPr>
            <w:r w:rsidRPr="00E26B1A">
              <w:rPr>
                <w:rFonts w:ascii="Arial" w:hAnsi="Arial" w:cs="Arial"/>
                <w:sz w:val="18"/>
                <w:szCs w:val="18"/>
              </w:rPr>
              <w:t xml:space="preserve">Maintain urine output of at least 0.5 mL/kg/hour. </w:t>
            </w:r>
          </w:p>
          <w:p w14:paraId="00A1473B" w14:textId="30F7A550" w:rsidR="007F6124" w:rsidRPr="00E26B1A" w:rsidRDefault="007F6124" w:rsidP="003B11B8">
            <w:pPr>
              <w:pStyle w:val="ListParagraph"/>
              <w:numPr>
                <w:ilvl w:val="0"/>
                <w:numId w:val="12"/>
              </w:numPr>
              <w:ind w:left="144" w:hanging="144"/>
              <w:rPr>
                <w:rFonts w:ascii="Arial" w:hAnsi="Arial" w:cs="Arial"/>
                <w:sz w:val="18"/>
                <w:szCs w:val="18"/>
              </w:rPr>
            </w:pPr>
            <w:r w:rsidRPr="00E26B1A">
              <w:rPr>
                <w:rFonts w:ascii="Arial" w:hAnsi="Arial" w:cs="Arial"/>
                <w:sz w:val="18"/>
                <w:szCs w:val="18"/>
              </w:rPr>
              <w:t>Monitor electrolytes every 24-48 hours</w:t>
            </w:r>
          </w:p>
        </w:tc>
      </w:tr>
      <w:tr w:rsidR="007F6124" w:rsidRPr="00E26B1A" w14:paraId="20636059" w14:textId="6B8B3AC4" w:rsidTr="00222BD8">
        <w:trPr>
          <w:trHeight w:val="245"/>
        </w:trPr>
        <w:tc>
          <w:tcPr>
            <w:tcW w:w="2080" w:type="dxa"/>
          </w:tcPr>
          <w:p w14:paraId="1F740336" w14:textId="77777777" w:rsidR="007F6124" w:rsidRPr="00E26B1A" w:rsidRDefault="007F6124" w:rsidP="003B11B8">
            <w:pPr>
              <w:rPr>
                <w:rFonts w:ascii="Arial" w:hAnsi="Arial" w:cs="Arial"/>
                <w:b/>
                <w:bCs/>
                <w:sz w:val="18"/>
                <w:szCs w:val="18"/>
              </w:rPr>
            </w:pPr>
            <w:r w:rsidRPr="00E26B1A">
              <w:rPr>
                <w:rFonts w:ascii="Arial" w:hAnsi="Arial" w:cs="Arial"/>
                <w:b/>
                <w:bCs/>
                <w:sz w:val="18"/>
                <w:szCs w:val="18"/>
              </w:rPr>
              <w:t>(18) Urine electrolyte monitoring</w:t>
            </w:r>
          </w:p>
          <w:p w14:paraId="40ABF008" w14:textId="77777777" w:rsidR="007F6124" w:rsidRPr="00E26B1A" w:rsidRDefault="007F6124" w:rsidP="003B11B8">
            <w:pPr>
              <w:rPr>
                <w:rFonts w:ascii="Arial" w:hAnsi="Arial" w:cs="Arial"/>
                <w:b/>
                <w:bCs/>
                <w:sz w:val="18"/>
                <w:szCs w:val="18"/>
              </w:rPr>
            </w:pPr>
          </w:p>
          <w:p w14:paraId="3C93B8E8" w14:textId="49C5B961" w:rsidR="007F6124" w:rsidRPr="00E26B1A" w:rsidRDefault="007F6124" w:rsidP="003B11B8">
            <w:pPr>
              <w:rPr>
                <w:rFonts w:ascii="Arial" w:hAnsi="Arial" w:cs="Arial"/>
                <w:b/>
                <w:bCs/>
                <w:sz w:val="18"/>
                <w:szCs w:val="18"/>
              </w:rPr>
            </w:pPr>
            <w:r w:rsidRPr="00E26B1A">
              <w:rPr>
                <w:rFonts w:ascii="Arial" w:hAnsi="Arial" w:cs="Arial"/>
                <w:b/>
                <w:bCs/>
                <w:sz w:val="18"/>
                <w:szCs w:val="18"/>
              </w:rPr>
              <w:t>EXPLORATORY</w:t>
            </w:r>
          </w:p>
        </w:tc>
        <w:tc>
          <w:tcPr>
            <w:tcW w:w="12366" w:type="dxa"/>
            <w:gridSpan w:val="4"/>
          </w:tcPr>
          <w:p w14:paraId="0A297B4B" w14:textId="4DB4305B" w:rsidR="007F6124" w:rsidRPr="00E26B1A" w:rsidRDefault="007F6124" w:rsidP="003B11B8">
            <w:pPr>
              <w:rPr>
                <w:rFonts w:ascii="Arial" w:hAnsi="Arial" w:cs="Arial"/>
                <w:sz w:val="18"/>
                <w:szCs w:val="18"/>
              </w:rPr>
            </w:pPr>
            <w:r w:rsidRPr="00E26B1A">
              <w:rPr>
                <w:rFonts w:ascii="Arial" w:hAnsi="Arial" w:cs="Arial"/>
                <w:sz w:val="18"/>
                <w:szCs w:val="18"/>
              </w:rPr>
              <w:t>Consider monitoring urinary sodium in all neonates</w:t>
            </w:r>
            <w:r>
              <w:rPr>
                <w:rFonts w:ascii="Arial" w:hAnsi="Arial" w:cs="Arial"/>
                <w:sz w:val="18"/>
                <w:szCs w:val="18"/>
              </w:rPr>
              <w:t>/ infants</w:t>
            </w:r>
            <w:r w:rsidRPr="00E26B1A">
              <w:rPr>
                <w:rFonts w:ascii="Arial" w:hAnsi="Arial" w:cs="Arial"/>
                <w:sz w:val="18"/>
                <w:szCs w:val="18"/>
              </w:rPr>
              <w:t xml:space="preserve"> with a stoma with high output (&gt;20mL/kg/day) and/or inadequate weight gain (&lt;10g/day). Urinary sodium should be &gt;20 mmol/L and exceed</w:t>
            </w:r>
            <w:r>
              <w:rPr>
                <w:rFonts w:ascii="Arial" w:hAnsi="Arial" w:cs="Arial"/>
                <w:sz w:val="18"/>
                <w:szCs w:val="18"/>
              </w:rPr>
              <w:t>s</w:t>
            </w:r>
            <w:r w:rsidRPr="00E26B1A">
              <w:rPr>
                <w:rFonts w:ascii="Arial" w:hAnsi="Arial" w:cs="Arial"/>
                <w:sz w:val="18"/>
                <w:szCs w:val="18"/>
              </w:rPr>
              <w:t xml:space="preserve"> urinary potassium.</w:t>
            </w:r>
          </w:p>
        </w:tc>
      </w:tr>
      <w:tr w:rsidR="007F6124" w:rsidRPr="00E26B1A" w14:paraId="19A45DE9" w14:textId="1BDB7A3E" w:rsidTr="00222BD8">
        <w:trPr>
          <w:trHeight w:val="268"/>
        </w:trPr>
        <w:tc>
          <w:tcPr>
            <w:tcW w:w="2080" w:type="dxa"/>
          </w:tcPr>
          <w:p w14:paraId="51B3676B" w14:textId="77777777" w:rsidR="007F6124" w:rsidRPr="00E26B1A" w:rsidRDefault="007F6124" w:rsidP="003B11B8">
            <w:pPr>
              <w:rPr>
                <w:rFonts w:ascii="Arial" w:hAnsi="Arial" w:cs="Arial"/>
                <w:b/>
                <w:bCs/>
                <w:sz w:val="18"/>
                <w:szCs w:val="18"/>
              </w:rPr>
            </w:pPr>
            <w:r w:rsidRPr="00E26B1A">
              <w:rPr>
                <w:rFonts w:ascii="Arial" w:hAnsi="Arial" w:cs="Arial"/>
                <w:b/>
                <w:bCs/>
                <w:sz w:val="18"/>
                <w:szCs w:val="18"/>
              </w:rPr>
              <w:t>(19) Mucous fistula re-feeding</w:t>
            </w:r>
          </w:p>
          <w:p w14:paraId="6A93616A" w14:textId="77777777" w:rsidR="007F6124" w:rsidRPr="00E26B1A" w:rsidRDefault="007F6124" w:rsidP="003B11B8">
            <w:pPr>
              <w:rPr>
                <w:rFonts w:ascii="Arial" w:hAnsi="Arial" w:cs="Arial"/>
                <w:b/>
                <w:bCs/>
                <w:sz w:val="18"/>
                <w:szCs w:val="18"/>
              </w:rPr>
            </w:pPr>
            <w:r w:rsidRPr="00E26B1A">
              <w:rPr>
                <w:rFonts w:ascii="Arial" w:hAnsi="Arial" w:cs="Arial"/>
                <w:b/>
                <w:bCs/>
                <w:sz w:val="18"/>
                <w:szCs w:val="18"/>
              </w:rPr>
              <w:t>survey</w:t>
            </w:r>
          </w:p>
          <w:p w14:paraId="330D0EC7" w14:textId="77777777" w:rsidR="007F6124" w:rsidRPr="00E26B1A" w:rsidRDefault="007F6124" w:rsidP="003B11B8">
            <w:pPr>
              <w:rPr>
                <w:rFonts w:ascii="Arial" w:hAnsi="Arial" w:cs="Arial"/>
                <w:b/>
                <w:bCs/>
                <w:sz w:val="18"/>
                <w:szCs w:val="18"/>
              </w:rPr>
            </w:pPr>
          </w:p>
          <w:p w14:paraId="2032C513" w14:textId="16FCB805" w:rsidR="007F6124" w:rsidRPr="00E26B1A" w:rsidRDefault="007F6124" w:rsidP="003B11B8">
            <w:pPr>
              <w:rPr>
                <w:rFonts w:ascii="Arial" w:hAnsi="Arial" w:cs="Arial"/>
                <w:b/>
                <w:bCs/>
                <w:sz w:val="18"/>
                <w:szCs w:val="18"/>
              </w:rPr>
            </w:pPr>
            <w:r w:rsidRPr="00E26B1A">
              <w:rPr>
                <w:rFonts w:ascii="Arial" w:hAnsi="Arial" w:cs="Arial"/>
                <w:b/>
                <w:bCs/>
                <w:sz w:val="18"/>
                <w:szCs w:val="18"/>
              </w:rPr>
              <w:t>EXPLORATORY</w:t>
            </w:r>
          </w:p>
        </w:tc>
        <w:tc>
          <w:tcPr>
            <w:tcW w:w="12366" w:type="dxa"/>
            <w:gridSpan w:val="4"/>
          </w:tcPr>
          <w:p w14:paraId="56BF2BEA" w14:textId="1D710281" w:rsidR="007F6124" w:rsidRPr="00E26B1A" w:rsidRDefault="007F6124" w:rsidP="003B11B8">
            <w:pPr>
              <w:rPr>
                <w:rFonts w:ascii="Arial" w:hAnsi="Arial" w:cs="Arial"/>
                <w:sz w:val="18"/>
                <w:szCs w:val="18"/>
              </w:rPr>
            </w:pPr>
            <w:r w:rsidRPr="00E26B1A">
              <w:rPr>
                <w:rFonts w:ascii="Arial" w:hAnsi="Arial" w:cs="Arial"/>
                <w:sz w:val="18"/>
                <w:szCs w:val="18"/>
              </w:rPr>
              <w:t>Use mucous fistula re-feeding in neonates with enterostomy to improve growth and prepare for reversal.</w:t>
            </w:r>
          </w:p>
        </w:tc>
      </w:tr>
    </w:tbl>
    <w:p w14:paraId="67E1FBEA" w14:textId="77777777" w:rsidR="0067187F" w:rsidRDefault="0067187F" w:rsidP="00E26B1A">
      <w:pPr>
        <w:rPr>
          <w:rFonts w:ascii="Arial" w:hAnsi="Arial" w:cs="Arial"/>
          <w:sz w:val="18"/>
          <w:szCs w:val="18"/>
        </w:rPr>
      </w:pPr>
    </w:p>
    <w:p w14:paraId="46B7ACDB" w14:textId="77777777" w:rsidR="0067187F" w:rsidRDefault="0067187F" w:rsidP="00E26B1A">
      <w:pPr>
        <w:rPr>
          <w:rFonts w:ascii="Arial" w:hAnsi="Arial" w:cs="Arial"/>
          <w:sz w:val="18"/>
          <w:szCs w:val="18"/>
        </w:rPr>
      </w:pPr>
    </w:p>
    <w:p w14:paraId="6808675B" w14:textId="579B742F" w:rsidR="00F05558" w:rsidRPr="00E26B1A" w:rsidRDefault="00F05558" w:rsidP="00E26B1A">
      <w:pPr>
        <w:rPr>
          <w:rFonts w:ascii="Arial" w:hAnsi="Arial" w:cs="Arial"/>
          <w:sz w:val="18"/>
          <w:szCs w:val="18"/>
        </w:rPr>
      </w:pPr>
    </w:p>
    <w:p w14:paraId="4A10C4D6" w14:textId="77777777" w:rsidR="0067187F" w:rsidRDefault="0067187F">
      <w:pPr>
        <w:rPr>
          <w:rFonts w:ascii="Arial" w:hAnsi="Arial" w:cs="Arial"/>
          <w:sz w:val="18"/>
          <w:szCs w:val="18"/>
        </w:rPr>
      </w:pPr>
    </w:p>
    <w:p w14:paraId="6C1A12E5" w14:textId="5C015C60" w:rsidR="0067187F" w:rsidRDefault="0067187F">
      <w:pPr>
        <w:rPr>
          <w:rFonts w:ascii="Arial" w:hAnsi="Arial" w:cs="Arial"/>
          <w:sz w:val="18"/>
          <w:szCs w:val="18"/>
        </w:rPr>
      </w:pPr>
    </w:p>
    <w:p w14:paraId="4DB69D64" w14:textId="77777777" w:rsidR="00283D31" w:rsidRDefault="00283D31">
      <w:pPr>
        <w:rPr>
          <w:rFonts w:ascii="Arial" w:hAnsi="Arial" w:cs="Arial"/>
          <w:sz w:val="18"/>
          <w:szCs w:val="18"/>
        </w:rPr>
      </w:pPr>
    </w:p>
    <w:p w14:paraId="119FAAE1" w14:textId="77777777" w:rsidR="00283D31" w:rsidRDefault="00283D31">
      <w:pPr>
        <w:rPr>
          <w:rFonts w:ascii="Arial" w:hAnsi="Arial" w:cs="Arial"/>
          <w:sz w:val="18"/>
          <w:szCs w:val="18"/>
        </w:rPr>
      </w:pPr>
    </w:p>
    <w:p w14:paraId="6CF45A2A" w14:textId="77777777" w:rsidR="00283D31" w:rsidRDefault="00283D31">
      <w:pPr>
        <w:rPr>
          <w:rFonts w:ascii="Arial" w:hAnsi="Arial" w:cs="Arial"/>
          <w:sz w:val="18"/>
          <w:szCs w:val="18"/>
        </w:rPr>
      </w:pPr>
    </w:p>
    <w:p w14:paraId="38EDC2A0" w14:textId="77777777" w:rsidR="00CE69FD" w:rsidRDefault="00CE69FD">
      <w:pPr>
        <w:rPr>
          <w:rFonts w:ascii="Arial" w:hAnsi="Arial" w:cs="Arial"/>
          <w:b/>
          <w:bCs/>
          <w:sz w:val="18"/>
          <w:szCs w:val="18"/>
        </w:rPr>
      </w:pPr>
    </w:p>
    <w:p w14:paraId="65170D91" w14:textId="77777777" w:rsidR="00CE69FD" w:rsidRDefault="00CE69FD">
      <w:pPr>
        <w:rPr>
          <w:rFonts w:ascii="Arial" w:hAnsi="Arial" w:cs="Arial"/>
          <w:b/>
          <w:bCs/>
          <w:sz w:val="18"/>
          <w:szCs w:val="18"/>
        </w:rPr>
      </w:pPr>
    </w:p>
    <w:p w14:paraId="3465388F" w14:textId="77777777" w:rsidR="00CE69FD" w:rsidRDefault="00CE69FD">
      <w:pPr>
        <w:rPr>
          <w:rFonts w:ascii="Arial" w:hAnsi="Arial" w:cs="Arial"/>
          <w:b/>
          <w:bCs/>
          <w:sz w:val="18"/>
          <w:szCs w:val="18"/>
        </w:rPr>
      </w:pPr>
    </w:p>
    <w:p w14:paraId="6419FBCE" w14:textId="77777777" w:rsidR="00CE69FD" w:rsidRDefault="00CE69FD">
      <w:pPr>
        <w:rPr>
          <w:rFonts w:ascii="Arial" w:hAnsi="Arial" w:cs="Arial"/>
          <w:b/>
          <w:bCs/>
          <w:sz w:val="18"/>
          <w:szCs w:val="18"/>
        </w:rPr>
      </w:pPr>
    </w:p>
    <w:p w14:paraId="387A1620" w14:textId="2B1B35A0" w:rsidR="0067187F" w:rsidRPr="00C44434" w:rsidRDefault="0067187F">
      <w:pPr>
        <w:rPr>
          <w:rFonts w:ascii="Arial" w:hAnsi="Arial" w:cs="Arial"/>
          <w:b/>
          <w:bCs/>
          <w:sz w:val="20"/>
          <w:szCs w:val="20"/>
        </w:rPr>
      </w:pPr>
    </w:p>
    <w:sectPr w:rsidR="0067187F" w:rsidRPr="00C44434" w:rsidSect="006475C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cademy Engraved LET">
    <w:altName w:val="Colonna MT"/>
    <w:charset w:val="00"/>
    <w:family w:val="auto"/>
    <w:pitch w:val="variable"/>
    <w:sig w:usb0="8000007F" w:usb1="4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93F"/>
    <w:multiLevelType w:val="hybridMultilevel"/>
    <w:tmpl w:val="445E347E"/>
    <w:lvl w:ilvl="0" w:tplc="04090001">
      <w:start w:val="1"/>
      <w:numFmt w:val="bullet"/>
      <w:lvlText w:val=""/>
      <w:lvlJc w:val="left"/>
      <w:pPr>
        <w:ind w:left="360" w:hanging="360"/>
      </w:pPr>
      <w:rPr>
        <w:rFonts w:ascii="Symbol" w:hAnsi="Symbol" w:hint="default"/>
      </w:rPr>
    </w:lvl>
    <w:lvl w:ilvl="1" w:tplc="4EB26096">
      <w:numFmt w:val="bullet"/>
      <w:lvlText w:val="-"/>
      <w:lvlJc w:val="left"/>
      <w:pPr>
        <w:ind w:left="1080" w:hanging="360"/>
      </w:pPr>
      <w:rPr>
        <w:rFonts w:ascii="Aptos" w:eastAsiaTheme="minorHAnsi" w:hAnsi="Aptos"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9235EB"/>
    <w:multiLevelType w:val="hybridMultilevel"/>
    <w:tmpl w:val="7E2E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1199F"/>
    <w:multiLevelType w:val="hybridMultilevel"/>
    <w:tmpl w:val="3886C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132BD5"/>
    <w:multiLevelType w:val="hybridMultilevel"/>
    <w:tmpl w:val="45006C7C"/>
    <w:lvl w:ilvl="0" w:tplc="E67E1E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74C37"/>
    <w:multiLevelType w:val="multilevel"/>
    <w:tmpl w:val="3C6E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B4E51"/>
    <w:multiLevelType w:val="hybridMultilevel"/>
    <w:tmpl w:val="A9965D18"/>
    <w:lvl w:ilvl="0" w:tplc="AC9A2660">
      <w:start w:val="10"/>
      <w:numFmt w:val="bullet"/>
      <w:lvlText w:val="-"/>
      <w:lvlJc w:val="left"/>
      <w:pPr>
        <w:ind w:left="720" w:hanging="360"/>
      </w:pPr>
      <w:rPr>
        <w:rFonts w:ascii="Arial" w:eastAsiaTheme="minorHAns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A00E8"/>
    <w:multiLevelType w:val="multilevel"/>
    <w:tmpl w:val="D4D0BBDC"/>
    <w:lvl w:ilvl="0">
      <w:start w:val="1"/>
      <w:numFmt w:val="bullet"/>
      <w:lvlText w:val=""/>
      <w:lvlJc w:val="left"/>
      <w:pPr>
        <w:tabs>
          <w:tab w:val="num" w:pos="144"/>
        </w:tabs>
        <w:ind w:left="144" w:hanging="360"/>
      </w:pPr>
      <w:rPr>
        <w:rFonts w:ascii="Symbol" w:hAnsi="Symbol" w:hint="default"/>
        <w:sz w:val="20"/>
      </w:rPr>
    </w:lvl>
    <w:lvl w:ilvl="1">
      <w:start w:val="1"/>
      <w:numFmt w:val="bullet"/>
      <w:lvlText w:val="o"/>
      <w:lvlJc w:val="left"/>
      <w:pPr>
        <w:tabs>
          <w:tab w:val="num" w:pos="864"/>
        </w:tabs>
        <w:ind w:left="864" w:hanging="360"/>
      </w:pPr>
      <w:rPr>
        <w:rFonts w:ascii="Courier New" w:hAnsi="Courier New" w:hint="default"/>
        <w:sz w:val="20"/>
      </w:rPr>
    </w:lvl>
    <w:lvl w:ilvl="2" w:tentative="1">
      <w:start w:val="1"/>
      <w:numFmt w:val="bullet"/>
      <w:lvlText w:val=""/>
      <w:lvlJc w:val="left"/>
      <w:pPr>
        <w:tabs>
          <w:tab w:val="num" w:pos="1584"/>
        </w:tabs>
        <w:ind w:left="1584" w:hanging="360"/>
      </w:pPr>
      <w:rPr>
        <w:rFonts w:ascii="Wingdings" w:hAnsi="Wingdings" w:hint="default"/>
        <w:sz w:val="20"/>
      </w:rPr>
    </w:lvl>
    <w:lvl w:ilvl="3" w:tentative="1">
      <w:start w:val="1"/>
      <w:numFmt w:val="bullet"/>
      <w:lvlText w:val=""/>
      <w:lvlJc w:val="left"/>
      <w:pPr>
        <w:tabs>
          <w:tab w:val="num" w:pos="2304"/>
        </w:tabs>
        <w:ind w:left="2304" w:hanging="360"/>
      </w:pPr>
      <w:rPr>
        <w:rFonts w:ascii="Wingdings" w:hAnsi="Wingdings" w:hint="default"/>
        <w:sz w:val="20"/>
      </w:rPr>
    </w:lvl>
    <w:lvl w:ilvl="4" w:tentative="1">
      <w:start w:val="1"/>
      <w:numFmt w:val="bullet"/>
      <w:lvlText w:val=""/>
      <w:lvlJc w:val="left"/>
      <w:pPr>
        <w:tabs>
          <w:tab w:val="num" w:pos="3024"/>
        </w:tabs>
        <w:ind w:left="3024" w:hanging="360"/>
      </w:pPr>
      <w:rPr>
        <w:rFonts w:ascii="Wingdings" w:hAnsi="Wingdings" w:hint="default"/>
        <w:sz w:val="20"/>
      </w:rPr>
    </w:lvl>
    <w:lvl w:ilvl="5" w:tentative="1">
      <w:start w:val="1"/>
      <w:numFmt w:val="bullet"/>
      <w:lvlText w:val=""/>
      <w:lvlJc w:val="left"/>
      <w:pPr>
        <w:tabs>
          <w:tab w:val="num" w:pos="3744"/>
        </w:tabs>
        <w:ind w:left="3744" w:hanging="360"/>
      </w:pPr>
      <w:rPr>
        <w:rFonts w:ascii="Wingdings" w:hAnsi="Wingdings" w:hint="default"/>
        <w:sz w:val="20"/>
      </w:rPr>
    </w:lvl>
    <w:lvl w:ilvl="6" w:tentative="1">
      <w:start w:val="1"/>
      <w:numFmt w:val="bullet"/>
      <w:lvlText w:val=""/>
      <w:lvlJc w:val="left"/>
      <w:pPr>
        <w:tabs>
          <w:tab w:val="num" w:pos="4464"/>
        </w:tabs>
        <w:ind w:left="4464" w:hanging="360"/>
      </w:pPr>
      <w:rPr>
        <w:rFonts w:ascii="Wingdings" w:hAnsi="Wingdings" w:hint="default"/>
        <w:sz w:val="20"/>
      </w:rPr>
    </w:lvl>
    <w:lvl w:ilvl="7" w:tentative="1">
      <w:start w:val="1"/>
      <w:numFmt w:val="bullet"/>
      <w:lvlText w:val=""/>
      <w:lvlJc w:val="left"/>
      <w:pPr>
        <w:tabs>
          <w:tab w:val="num" w:pos="5184"/>
        </w:tabs>
        <w:ind w:left="5184" w:hanging="360"/>
      </w:pPr>
      <w:rPr>
        <w:rFonts w:ascii="Wingdings" w:hAnsi="Wingdings" w:hint="default"/>
        <w:sz w:val="20"/>
      </w:rPr>
    </w:lvl>
    <w:lvl w:ilvl="8" w:tentative="1">
      <w:start w:val="1"/>
      <w:numFmt w:val="bullet"/>
      <w:lvlText w:val=""/>
      <w:lvlJc w:val="left"/>
      <w:pPr>
        <w:tabs>
          <w:tab w:val="num" w:pos="5904"/>
        </w:tabs>
        <w:ind w:left="5904" w:hanging="360"/>
      </w:pPr>
      <w:rPr>
        <w:rFonts w:ascii="Wingdings" w:hAnsi="Wingdings" w:hint="default"/>
        <w:sz w:val="20"/>
      </w:rPr>
    </w:lvl>
  </w:abstractNum>
  <w:abstractNum w:abstractNumId="7" w15:restartNumberingAfterBreak="0">
    <w:nsid w:val="57367B8E"/>
    <w:multiLevelType w:val="hybridMultilevel"/>
    <w:tmpl w:val="B8F2CD0E"/>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15:restartNumberingAfterBreak="0">
    <w:nsid w:val="61111023"/>
    <w:multiLevelType w:val="hybridMultilevel"/>
    <w:tmpl w:val="CF046024"/>
    <w:lvl w:ilvl="0" w:tplc="9B2C4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D149C5"/>
    <w:multiLevelType w:val="hybridMultilevel"/>
    <w:tmpl w:val="7984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2D75D7"/>
    <w:multiLevelType w:val="hybridMultilevel"/>
    <w:tmpl w:val="08761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D02F94"/>
    <w:multiLevelType w:val="multilevel"/>
    <w:tmpl w:val="1CEE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049DD"/>
    <w:multiLevelType w:val="hybridMultilevel"/>
    <w:tmpl w:val="AAD8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6399C"/>
    <w:multiLevelType w:val="multilevel"/>
    <w:tmpl w:val="949E03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FF22D44"/>
    <w:multiLevelType w:val="hybridMultilevel"/>
    <w:tmpl w:val="F3D862C2"/>
    <w:lvl w:ilvl="0" w:tplc="3E2C96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940530">
    <w:abstractNumId w:val="4"/>
  </w:num>
  <w:num w:numId="2" w16cid:durableId="871766923">
    <w:abstractNumId w:val="13"/>
  </w:num>
  <w:num w:numId="3" w16cid:durableId="1661885265">
    <w:abstractNumId w:val="0"/>
  </w:num>
  <w:num w:numId="4" w16cid:durableId="1033115778">
    <w:abstractNumId w:val="6"/>
  </w:num>
  <w:num w:numId="5" w16cid:durableId="1246577510">
    <w:abstractNumId w:val="11"/>
  </w:num>
  <w:num w:numId="6" w16cid:durableId="1310524084">
    <w:abstractNumId w:val="5"/>
  </w:num>
  <w:num w:numId="7" w16cid:durableId="2003586341">
    <w:abstractNumId w:val="7"/>
  </w:num>
  <w:num w:numId="8" w16cid:durableId="31540374">
    <w:abstractNumId w:val="9"/>
  </w:num>
  <w:num w:numId="9" w16cid:durableId="1296328140">
    <w:abstractNumId w:val="1"/>
  </w:num>
  <w:num w:numId="10" w16cid:durableId="1426342051">
    <w:abstractNumId w:val="10"/>
  </w:num>
  <w:num w:numId="11" w16cid:durableId="600912338">
    <w:abstractNumId w:val="12"/>
  </w:num>
  <w:num w:numId="12" w16cid:durableId="1052390327">
    <w:abstractNumId w:val="2"/>
  </w:num>
  <w:num w:numId="13" w16cid:durableId="1495563489">
    <w:abstractNumId w:val="14"/>
  </w:num>
  <w:num w:numId="14" w16cid:durableId="739331646">
    <w:abstractNumId w:val="3"/>
  </w:num>
  <w:num w:numId="15" w16cid:durableId="140316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cademy Engraved LET&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F05558"/>
    <w:rsid w:val="00000C42"/>
    <w:rsid w:val="00022B2F"/>
    <w:rsid w:val="00060EF5"/>
    <w:rsid w:val="000A702C"/>
    <w:rsid w:val="000B23D1"/>
    <w:rsid w:val="001105B1"/>
    <w:rsid w:val="00123C0D"/>
    <w:rsid w:val="00126E34"/>
    <w:rsid w:val="001A727A"/>
    <w:rsid w:val="001D0988"/>
    <w:rsid w:val="001D28C7"/>
    <w:rsid w:val="001F06BB"/>
    <w:rsid w:val="00222BD8"/>
    <w:rsid w:val="00225595"/>
    <w:rsid w:val="002359E3"/>
    <w:rsid w:val="00240564"/>
    <w:rsid w:val="00283D31"/>
    <w:rsid w:val="002844BF"/>
    <w:rsid w:val="0028488B"/>
    <w:rsid w:val="00293593"/>
    <w:rsid w:val="002B0C2E"/>
    <w:rsid w:val="002C103C"/>
    <w:rsid w:val="002F4D4C"/>
    <w:rsid w:val="00312322"/>
    <w:rsid w:val="00340A23"/>
    <w:rsid w:val="00354800"/>
    <w:rsid w:val="0038461B"/>
    <w:rsid w:val="003A019A"/>
    <w:rsid w:val="003A61B3"/>
    <w:rsid w:val="003B11B8"/>
    <w:rsid w:val="003D0997"/>
    <w:rsid w:val="003E07E9"/>
    <w:rsid w:val="003E7F54"/>
    <w:rsid w:val="003F4055"/>
    <w:rsid w:val="0041076D"/>
    <w:rsid w:val="004228BA"/>
    <w:rsid w:val="00423AB6"/>
    <w:rsid w:val="00460934"/>
    <w:rsid w:val="004759B5"/>
    <w:rsid w:val="00481087"/>
    <w:rsid w:val="004877FA"/>
    <w:rsid w:val="004A2011"/>
    <w:rsid w:val="004A520C"/>
    <w:rsid w:val="004B39F5"/>
    <w:rsid w:val="004F136C"/>
    <w:rsid w:val="00577642"/>
    <w:rsid w:val="00584CDF"/>
    <w:rsid w:val="0059338A"/>
    <w:rsid w:val="005A33C2"/>
    <w:rsid w:val="005B2EE2"/>
    <w:rsid w:val="005D10F1"/>
    <w:rsid w:val="005D17E0"/>
    <w:rsid w:val="005D264F"/>
    <w:rsid w:val="005D5B92"/>
    <w:rsid w:val="005E4A17"/>
    <w:rsid w:val="005E5FF1"/>
    <w:rsid w:val="00610E1B"/>
    <w:rsid w:val="006475C6"/>
    <w:rsid w:val="0067187F"/>
    <w:rsid w:val="00680696"/>
    <w:rsid w:val="0068234F"/>
    <w:rsid w:val="006A557C"/>
    <w:rsid w:val="006C21AD"/>
    <w:rsid w:val="007038C5"/>
    <w:rsid w:val="00703F74"/>
    <w:rsid w:val="00736C54"/>
    <w:rsid w:val="0076041F"/>
    <w:rsid w:val="00796C3B"/>
    <w:rsid w:val="007A1587"/>
    <w:rsid w:val="007C50EE"/>
    <w:rsid w:val="007E4828"/>
    <w:rsid w:val="007F2B5E"/>
    <w:rsid w:val="007F6124"/>
    <w:rsid w:val="0081464D"/>
    <w:rsid w:val="0081675A"/>
    <w:rsid w:val="00843278"/>
    <w:rsid w:val="00845245"/>
    <w:rsid w:val="008851E7"/>
    <w:rsid w:val="00885D6D"/>
    <w:rsid w:val="008917FE"/>
    <w:rsid w:val="008924CF"/>
    <w:rsid w:val="008941F9"/>
    <w:rsid w:val="008B1FDF"/>
    <w:rsid w:val="008B707D"/>
    <w:rsid w:val="008F1B7D"/>
    <w:rsid w:val="00902EAC"/>
    <w:rsid w:val="0091558B"/>
    <w:rsid w:val="00936EE0"/>
    <w:rsid w:val="00937D9D"/>
    <w:rsid w:val="009A1813"/>
    <w:rsid w:val="009B2EDA"/>
    <w:rsid w:val="00A06092"/>
    <w:rsid w:val="00A14AEB"/>
    <w:rsid w:val="00A40C82"/>
    <w:rsid w:val="00A67FF4"/>
    <w:rsid w:val="00A722A2"/>
    <w:rsid w:val="00AA4976"/>
    <w:rsid w:val="00AB27E5"/>
    <w:rsid w:val="00AB5C8C"/>
    <w:rsid w:val="00AB6466"/>
    <w:rsid w:val="00AB666F"/>
    <w:rsid w:val="00AF78E6"/>
    <w:rsid w:val="00B162D1"/>
    <w:rsid w:val="00B24716"/>
    <w:rsid w:val="00B4558F"/>
    <w:rsid w:val="00BA367F"/>
    <w:rsid w:val="00BB27BA"/>
    <w:rsid w:val="00BD2E91"/>
    <w:rsid w:val="00C100B7"/>
    <w:rsid w:val="00C41D5A"/>
    <w:rsid w:val="00C44434"/>
    <w:rsid w:val="00C84A42"/>
    <w:rsid w:val="00CA7DCE"/>
    <w:rsid w:val="00CB1519"/>
    <w:rsid w:val="00CC0179"/>
    <w:rsid w:val="00CC0869"/>
    <w:rsid w:val="00CC2DB7"/>
    <w:rsid w:val="00CE69FD"/>
    <w:rsid w:val="00D03A5B"/>
    <w:rsid w:val="00D32C60"/>
    <w:rsid w:val="00D37FDE"/>
    <w:rsid w:val="00D832D2"/>
    <w:rsid w:val="00D84067"/>
    <w:rsid w:val="00D93429"/>
    <w:rsid w:val="00D95EB3"/>
    <w:rsid w:val="00DA0A42"/>
    <w:rsid w:val="00DA67E1"/>
    <w:rsid w:val="00DA6983"/>
    <w:rsid w:val="00DD24DC"/>
    <w:rsid w:val="00DD33F7"/>
    <w:rsid w:val="00DD79D4"/>
    <w:rsid w:val="00DE0B79"/>
    <w:rsid w:val="00E05D65"/>
    <w:rsid w:val="00E26B1A"/>
    <w:rsid w:val="00E30072"/>
    <w:rsid w:val="00E73EF7"/>
    <w:rsid w:val="00EF708F"/>
    <w:rsid w:val="00F05558"/>
    <w:rsid w:val="00F158E6"/>
    <w:rsid w:val="00F53FE2"/>
    <w:rsid w:val="00F61181"/>
    <w:rsid w:val="00F761EB"/>
    <w:rsid w:val="00FA3392"/>
    <w:rsid w:val="00FB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135F"/>
  <w15:chartTrackingRefBased/>
  <w15:docId w15:val="{E0C154FA-902D-D040-B732-82A6FEC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558"/>
    <w:rPr>
      <w:rFonts w:eastAsiaTheme="majorEastAsia" w:cstheme="majorBidi"/>
      <w:color w:val="272727" w:themeColor="text1" w:themeTint="D8"/>
    </w:rPr>
  </w:style>
  <w:style w:type="paragraph" w:styleId="Title">
    <w:name w:val="Title"/>
    <w:basedOn w:val="Normal"/>
    <w:next w:val="Normal"/>
    <w:link w:val="TitleChar"/>
    <w:uiPriority w:val="10"/>
    <w:qFormat/>
    <w:rsid w:val="00F05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558"/>
    <w:pPr>
      <w:spacing w:before="160"/>
      <w:jc w:val="center"/>
    </w:pPr>
    <w:rPr>
      <w:i/>
      <w:iCs/>
      <w:color w:val="404040" w:themeColor="text1" w:themeTint="BF"/>
    </w:rPr>
  </w:style>
  <w:style w:type="character" w:customStyle="1" w:styleId="QuoteChar">
    <w:name w:val="Quote Char"/>
    <w:basedOn w:val="DefaultParagraphFont"/>
    <w:link w:val="Quote"/>
    <w:uiPriority w:val="29"/>
    <w:rsid w:val="00F05558"/>
    <w:rPr>
      <w:i/>
      <w:iCs/>
      <w:color w:val="404040" w:themeColor="text1" w:themeTint="BF"/>
    </w:rPr>
  </w:style>
  <w:style w:type="paragraph" w:styleId="ListParagraph">
    <w:name w:val="List Paragraph"/>
    <w:basedOn w:val="Normal"/>
    <w:uiPriority w:val="34"/>
    <w:qFormat/>
    <w:rsid w:val="00F05558"/>
    <w:pPr>
      <w:ind w:left="720"/>
      <w:contextualSpacing/>
    </w:pPr>
  </w:style>
  <w:style w:type="character" w:styleId="IntenseEmphasis">
    <w:name w:val="Intense Emphasis"/>
    <w:basedOn w:val="DefaultParagraphFont"/>
    <w:uiPriority w:val="21"/>
    <w:qFormat/>
    <w:rsid w:val="00F05558"/>
    <w:rPr>
      <w:i/>
      <w:iCs/>
      <w:color w:val="0F4761" w:themeColor="accent1" w:themeShade="BF"/>
    </w:rPr>
  </w:style>
  <w:style w:type="paragraph" w:styleId="IntenseQuote">
    <w:name w:val="Intense Quote"/>
    <w:basedOn w:val="Normal"/>
    <w:next w:val="Normal"/>
    <w:link w:val="IntenseQuoteChar"/>
    <w:uiPriority w:val="30"/>
    <w:qFormat/>
    <w:rsid w:val="00F05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558"/>
    <w:rPr>
      <w:i/>
      <w:iCs/>
      <w:color w:val="0F4761" w:themeColor="accent1" w:themeShade="BF"/>
    </w:rPr>
  </w:style>
  <w:style w:type="character" w:styleId="IntenseReference">
    <w:name w:val="Intense Reference"/>
    <w:basedOn w:val="DefaultParagraphFont"/>
    <w:uiPriority w:val="32"/>
    <w:qFormat/>
    <w:rsid w:val="00F05558"/>
    <w:rPr>
      <w:b/>
      <w:bCs/>
      <w:smallCaps/>
      <w:color w:val="0F4761" w:themeColor="accent1" w:themeShade="BF"/>
      <w:spacing w:val="5"/>
    </w:rPr>
  </w:style>
  <w:style w:type="table" w:styleId="TableGrid">
    <w:name w:val="Table Grid"/>
    <w:basedOn w:val="TableNormal"/>
    <w:uiPriority w:val="39"/>
    <w:rsid w:val="00F05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675A"/>
    <w:rPr>
      <w:sz w:val="16"/>
      <w:szCs w:val="16"/>
    </w:rPr>
  </w:style>
  <w:style w:type="paragraph" w:styleId="CommentText">
    <w:name w:val="annotation text"/>
    <w:basedOn w:val="Normal"/>
    <w:link w:val="CommentTextChar"/>
    <w:uiPriority w:val="99"/>
    <w:unhideWhenUsed/>
    <w:rsid w:val="0081675A"/>
    <w:pPr>
      <w:spacing w:line="240" w:lineRule="auto"/>
    </w:pPr>
    <w:rPr>
      <w:sz w:val="20"/>
      <w:szCs w:val="20"/>
    </w:rPr>
  </w:style>
  <w:style w:type="character" w:customStyle="1" w:styleId="CommentTextChar">
    <w:name w:val="Comment Text Char"/>
    <w:basedOn w:val="DefaultParagraphFont"/>
    <w:link w:val="CommentText"/>
    <w:uiPriority w:val="99"/>
    <w:rsid w:val="0081675A"/>
    <w:rPr>
      <w:sz w:val="20"/>
      <w:szCs w:val="20"/>
    </w:rPr>
  </w:style>
  <w:style w:type="paragraph" w:styleId="CommentSubject">
    <w:name w:val="annotation subject"/>
    <w:basedOn w:val="CommentText"/>
    <w:next w:val="CommentText"/>
    <w:link w:val="CommentSubjectChar"/>
    <w:uiPriority w:val="99"/>
    <w:semiHidden/>
    <w:unhideWhenUsed/>
    <w:rsid w:val="0081675A"/>
    <w:rPr>
      <w:b/>
      <w:bCs/>
    </w:rPr>
  </w:style>
  <w:style w:type="character" w:customStyle="1" w:styleId="CommentSubjectChar">
    <w:name w:val="Comment Subject Char"/>
    <w:basedOn w:val="CommentTextChar"/>
    <w:link w:val="CommentSubject"/>
    <w:uiPriority w:val="99"/>
    <w:semiHidden/>
    <w:rsid w:val="0081675A"/>
    <w:rPr>
      <w:b/>
      <w:bCs/>
      <w:sz w:val="20"/>
      <w:szCs w:val="20"/>
    </w:rPr>
  </w:style>
  <w:style w:type="paragraph" w:styleId="Revision">
    <w:name w:val="Revision"/>
    <w:hidden/>
    <w:uiPriority w:val="99"/>
    <w:semiHidden/>
    <w:rsid w:val="00F53FE2"/>
    <w:pPr>
      <w:spacing w:after="0" w:line="240" w:lineRule="auto"/>
    </w:pPr>
  </w:style>
  <w:style w:type="paragraph" w:customStyle="1" w:styleId="EndNoteBibliographyTitle">
    <w:name w:val="EndNote Bibliography Title"/>
    <w:basedOn w:val="Normal"/>
    <w:link w:val="EndNoteBibliographyTitleChar"/>
    <w:rsid w:val="0067187F"/>
    <w:pPr>
      <w:framePr w:hSpace="180" w:wrap="around" w:vAnchor="page" w:hAnchor="margin" w:y="561"/>
      <w:spacing w:after="0"/>
      <w:jc w:val="center"/>
    </w:pPr>
    <w:rPr>
      <w:rFonts w:ascii="Academy Engraved LET" w:hAnsi="Academy Engraved LET"/>
    </w:rPr>
  </w:style>
  <w:style w:type="character" w:customStyle="1" w:styleId="EndNoteBibliographyTitleChar">
    <w:name w:val="EndNote Bibliography Title Char"/>
    <w:basedOn w:val="DefaultParagraphFont"/>
    <w:link w:val="EndNoteBibliographyTitle"/>
    <w:rsid w:val="0067187F"/>
    <w:rPr>
      <w:rFonts w:ascii="Academy Engraved LET" w:hAnsi="Academy Engraved LET"/>
    </w:rPr>
  </w:style>
  <w:style w:type="paragraph" w:customStyle="1" w:styleId="EndNoteBibliography">
    <w:name w:val="EndNote Bibliography"/>
    <w:basedOn w:val="Normal"/>
    <w:link w:val="EndNoteBibliographyChar"/>
    <w:rsid w:val="0067187F"/>
    <w:pPr>
      <w:framePr w:hSpace="180" w:wrap="around" w:vAnchor="page" w:hAnchor="margin" w:y="561"/>
      <w:spacing w:line="240" w:lineRule="auto"/>
    </w:pPr>
    <w:rPr>
      <w:rFonts w:ascii="Academy Engraved LET" w:hAnsi="Academy Engraved LET"/>
    </w:rPr>
  </w:style>
  <w:style w:type="character" w:customStyle="1" w:styleId="EndNoteBibliographyChar">
    <w:name w:val="EndNote Bibliography Char"/>
    <w:basedOn w:val="DefaultParagraphFont"/>
    <w:link w:val="EndNoteBibliography"/>
    <w:rsid w:val="0067187F"/>
    <w:rPr>
      <w:rFonts w:ascii="Academy Engraved LET" w:hAnsi="Academy Engraved L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5193">
      <w:bodyDiv w:val="1"/>
      <w:marLeft w:val="0"/>
      <w:marRight w:val="0"/>
      <w:marTop w:val="0"/>
      <w:marBottom w:val="0"/>
      <w:divBdr>
        <w:top w:val="none" w:sz="0" w:space="0" w:color="auto"/>
        <w:left w:val="none" w:sz="0" w:space="0" w:color="auto"/>
        <w:bottom w:val="none" w:sz="0" w:space="0" w:color="auto"/>
        <w:right w:val="none" w:sz="0" w:space="0" w:color="auto"/>
      </w:divBdr>
    </w:div>
    <w:div w:id="502477768">
      <w:bodyDiv w:val="1"/>
      <w:marLeft w:val="0"/>
      <w:marRight w:val="0"/>
      <w:marTop w:val="0"/>
      <w:marBottom w:val="0"/>
      <w:divBdr>
        <w:top w:val="none" w:sz="0" w:space="0" w:color="auto"/>
        <w:left w:val="none" w:sz="0" w:space="0" w:color="auto"/>
        <w:bottom w:val="none" w:sz="0" w:space="0" w:color="auto"/>
        <w:right w:val="none" w:sz="0" w:space="0" w:color="auto"/>
      </w:divBdr>
    </w:div>
    <w:div w:id="743992563">
      <w:bodyDiv w:val="1"/>
      <w:marLeft w:val="0"/>
      <w:marRight w:val="0"/>
      <w:marTop w:val="0"/>
      <w:marBottom w:val="0"/>
      <w:divBdr>
        <w:top w:val="none" w:sz="0" w:space="0" w:color="auto"/>
        <w:left w:val="none" w:sz="0" w:space="0" w:color="auto"/>
        <w:bottom w:val="none" w:sz="0" w:space="0" w:color="auto"/>
        <w:right w:val="none" w:sz="0" w:space="0" w:color="auto"/>
      </w:divBdr>
    </w:div>
    <w:div w:id="812869657">
      <w:bodyDiv w:val="1"/>
      <w:marLeft w:val="0"/>
      <w:marRight w:val="0"/>
      <w:marTop w:val="0"/>
      <w:marBottom w:val="0"/>
      <w:divBdr>
        <w:top w:val="none" w:sz="0" w:space="0" w:color="auto"/>
        <w:left w:val="none" w:sz="0" w:space="0" w:color="auto"/>
        <w:bottom w:val="none" w:sz="0" w:space="0" w:color="auto"/>
        <w:right w:val="none" w:sz="0" w:space="0" w:color="auto"/>
      </w:divBdr>
    </w:div>
    <w:div w:id="879324446">
      <w:bodyDiv w:val="1"/>
      <w:marLeft w:val="0"/>
      <w:marRight w:val="0"/>
      <w:marTop w:val="0"/>
      <w:marBottom w:val="0"/>
      <w:divBdr>
        <w:top w:val="none" w:sz="0" w:space="0" w:color="auto"/>
        <w:left w:val="none" w:sz="0" w:space="0" w:color="auto"/>
        <w:bottom w:val="none" w:sz="0" w:space="0" w:color="auto"/>
        <w:right w:val="none" w:sz="0" w:space="0" w:color="auto"/>
      </w:divBdr>
    </w:div>
    <w:div w:id="999507412">
      <w:bodyDiv w:val="1"/>
      <w:marLeft w:val="0"/>
      <w:marRight w:val="0"/>
      <w:marTop w:val="0"/>
      <w:marBottom w:val="0"/>
      <w:divBdr>
        <w:top w:val="none" w:sz="0" w:space="0" w:color="auto"/>
        <w:left w:val="none" w:sz="0" w:space="0" w:color="auto"/>
        <w:bottom w:val="none" w:sz="0" w:space="0" w:color="auto"/>
        <w:right w:val="none" w:sz="0" w:space="0" w:color="auto"/>
      </w:divBdr>
    </w:div>
    <w:div w:id="1004405037">
      <w:bodyDiv w:val="1"/>
      <w:marLeft w:val="0"/>
      <w:marRight w:val="0"/>
      <w:marTop w:val="0"/>
      <w:marBottom w:val="0"/>
      <w:divBdr>
        <w:top w:val="none" w:sz="0" w:space="0" w:color="auto"/>
        <w:left w:val="none" w:sz="0" w:space="0" w:color="auto"/>
        <w:bottom w:val="none" w:sz="0" w:space="0" w:color="auto"/>
        <w:right w:val="none" w:sz="0" w:space="0" w:color="auto"/>
      </w:divBdr>
    </w:div>
    <w:div w:id="1113554233">
      <w:bodyDiv w:val="1"/>
      <w:marLeft w:val="0"/>
      <w:marRight w:val="0"/>
      <w:marTop w:val="0"/>
      <w:marBottom w:val="0"/>
      <w:divBdr>
        <w:top w:val="none" w:sz="0" w:space="0" w:color="auto"/>
        <w:left w:val="none" w:sz="0" w:space="0" w:color="auto"/>
        <w:bottom w:val="none" w:sz="0" w:space="0" w:color="auto"/>
        <w:right w:val="none" w:sz="0" w:space="0" w:color="auto"/>
      </w:divBdr>
    </w:div>
    <w:div w:id="1147698076">
      <w:bodyDiv w:val="1"/>
      <w:marLeft w:val="0"/>
      <w:marRight w:val="0"/>
      <w:marTop w:val="0"/>
      <w:marBottom w:val="0"/>
      <w:divBdr>
        <w:top w:val="none" w:sz="0" w:space="0" w:color="auto"/>
        <w:left w:val="none" w:sz="0" w:space="0" w:color="auto"/>
        <w:bottom w:val="none" w:sz="0" w:space="0" w:color="auto"/>
        <w:right w:val="none" w:sz="0" w:space="0" w:color="auto"/>
      </w:divBdr>
    </w:div>
    <w:div w:id="1327974289">
      <w:bodyDiv w:val="1"/>
      <w:marLeft w:val="0"/>
      <w:marRight w:val="0"/>
      <w:marTop w:val="0"/>
      <w:marBottom w:val="0"/>
      <w:divBdr>
        <w:top w:val="none" w:sz="0" w:space="0" w:color="auto"/>
        <w:left w:val="none" w:sz="0" w:space="0" w:color="auto"/>
        <w:bottom w:val="none" w:sz="0" w:space="0" w:color="auto"/>
        <w:right w:val="none" w:sz="0" w:space="0" w:color="auto"/>
      </w:divBdr>
    </w:div>
    <w:div w:id="1367874949">
      <w:bodyDiv w:val="1"/>
      <w:marLeft w:val="0"/>
      <w:marRight w:val="0"/>
      <w:marTop w:val="0"/>
      <w:marBottom w:val="0"/>
      <w:divBdr>
        <w:top w:val="none" w:sz="0" w:space="0" w:color="auto"/>
        <w:left w:val="none" w:sz="0" w:space="0" w:color="auto"/>
        <w:bottom w:val="none" w:sz="0" w:space="0" w:color="auto"/>
        <w:right w:val="none" w:sz="0" w:space="0" w:color="auto"/>
      </w:divBdr>
    </w:div>
    <w:div w:id="1664966144">
      <w:bodyDiv w:val="1"/>
      <w:marLeft w:val="0"/>
      <w:marRight w:val="0"/>
      <w:marTop w:val="0"/>
      <w:marBottom w:val="0"/>
      <w:divBdr>
        <w:top w:val="none" w:sz="0" w:space="0" w:color="auto"/>
        <w:left w:val="none" w:sz="0" w:space="0" w:color="auto"/>
        <w:bottom w:val="none" w:sz="0" w:space="0" w:color="auto"/>
        <w:right w:val="none" w:sz="0" w:space="0" w:color="auto"/>
      </w:divBdr>
    </w:div>
    <w:div w:id="1678119561">
      <w:bodyDiv w:val="1"/>
      <w:marLeft w:val="0"/>
      <w:marRight w:val="0"/>
      <w:marTop w:val="0"/>
      <w:marBottom w:val="0"/>
      <w:divBdr>
        <w:top w:val="none" w:sz="0" w:space="0" w:color="auto"/>
        <w:left w:val="none" w:sz="0" w:space="0" w:color="auto"/>
        <w:bottom w:val="none" w:sz="0" w:space="0" w:color="auto"/>
        <w:right w:val="none" w:sz="0" w:space="0" w:color="auto"/>
      </w:divBdr>
    </w:div>
    <w:div w:id="1700886143">
      <w:bodyDiv w:val="1"/>
      <w:marLeft w:val="0"/>
      <w:marRight w:val="0"/>
      <w:marTop w:val="0"/>
      <w:marBottom w:val="0"/>
      <w:divBdr>
        <w:top w:val="none" w:sz="0" w:space="0" w:color="auto"/>
        <w:left w:val="none" w:sz="0" w:space="0" w:color="auto"/>
        <w:bottom w:val="none" w:sz="0" w:space="0" w:color="auto"/>
        <w:right w:val="none" w:sz="0" w:space="0" w:color="auto"/>
      </w:divBdr>
    </w:div>
    <w:div w:id="1764033141">
      <w:bodyDiv w:val="1"/>
      <w:marLeft w:val="0"/>
      <w:marRight w:val="0"/>
      <w:marTop w:val="0"/>
      <w:marBottom w:val="0"/>
      <w:divBdr>
        <w:top w:val="none" w:sz="0" w:space="0" w:color="auto"/>
        <w:left w:val="none" w:sz="0" w:space="0" w:color="auto"/>
        <w:bottom w:val="none" w:sz="0" w:space="0" w:color="auto"/>
        <w:right w:val="none" w:sz="0" w:space="0" w:color="auto"/>
      </w:divBdr>
    </w:div>
    <w:div w:id="1782719082">
      <w:bodyDiv w:val="1"/>
      <w:marLeft w:val="0"/>
      <w:marRight w:val="0"/>
      <w:marTop w:val="0"/>
      <w:marBottom w:val="0"/>
      <w:divBdr>
        <w:top w:val="none" w:sz="0" w:space="0" w:color="auto"/>
        <w:left w:val="none" w:sz="0" w:space="0" w:color="auto"/>
        <w:bottom w:val="none" w:sz="0" w:space="0" w:color="auto"/>
        <w:right w:val="none" w:sz="0" w:space="0" w:color="auto"/>
      </w:divBdr>
    </w:div>
    <w:div w:id="1883055384">
      <w:bodyDiv w:val="1"/>
      <w:marLeft w:val="0"/>
      <w:marRight w:val="0"/>
      <w:marTop w:val="0"/>
      <w:marBottom w:val="0"/>
      <w:divBdr>
        <w:top w:val="none" w:sz="0" w:space="0" w:color="auto"/>
        <w:left w:val="none" w:sz="0" w:space="0" w:color="auto"/>
        <w:bottom w:val="none" w:sz="0" w:space="0" w:color="auto"/>
        <w:right w:val="none" w:sz="0" w:space="0" w:color="auto"/>
      </w:divBdr>
    </w:div>
    <w:div w:id="204991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3F71A065BCFE468B59797ED099EDEE" ma:contentTypeVersion="18" ma:contentTypeDescription="Create a new document." ma:contentTypeScope="" ma:versionID="e2126505bd15f3658ac210fecf26fe4f">
  <xsd:schema xmlns:xsd="http://www.w3.org/2001/XMLSchema" xmlns:xs="http://www.w3.org/2001/XMLSchema" xmlns:p="http://schemas.microsoft.com/office/2006/metadata/properties" xmlns:ns2="cc34d348-7052-46c2-96dd-f5d2d9a6990a" xmlns:ns3="9f867af8-75d7-4d93-913a-726c90bf805f" targetNamespace="http://schemas.microsoft.com/office/2006/metadata/properties" ma:root="true" ma:fieldsID="8e497e56f49b99983d6cf34377044264" ns2:_="" ns3:_="">
    <xsd:import namespace="cc34d348-7052-46c2-96dd-f5d2d9a6990a"/>
    <xsd:import namespace="9f867af8-75d7-4d93-913a-726c90bf805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4d348-7052-46c2-96dd-f5d2d9a69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5d72-5afa-45f9-90b6-e0708aeee9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67af8-75d7-4d93-913a-726c90bf80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a65afa-7f95-4069-9953-4f161ae4a6a9}" ma:internalName="TaxCatchAll" ma:showField="CatchAllData" ma:web="9f867af8-75d7-4d93-913a-726c90bf80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867af8-75d7-4d93-913a-726c90bf805f" xsi:nil="true"/>
    <lcf76f155ced4ddcb4097134ff3c332f xmlns="cc34d348-7052-46c2-96dd-f5d2d9a699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282242-F24A-4404-9FC3-179758000B38}">
  <ds:schemaRefs>
    <ds:schemaRef ds:uri="http://schemas.microsoft.com/sharepoint/v3/contenttype/forms"/>
  </ds:schemaRefs>
</ds:datastoreItem>
</file>

<file path=customXml/itemProps2.xml><?xml version="1.0" encoding="utf-8"?>
<ds:datastoreItem xmlns:ds="http://schemas.openxmlformats.org/officeDocument/2006/customXml" ds:itemID="{0911B09A-FD8C-4799-BBF2-29D459C2E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4d348-7052-46c2-96dd-f5d2d9a6990a"/>
    <ds:schemaRef ds:uri="9f867af8-75d7-4d93-913a-726c90bf8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37081-0785-4C9A-B741-A290718E13CF}">
  <ds:schemaRefs>
    <ds:schemaRef ds:uri="http://schemas.microsoft.com/office/2006/metadata/properties"/>
    <ds:schemaRef ds:uri="http://schemas.microsoft.com/office/infopath/2007/PartnerControls"/>
    <ds:schemaRef ds:uri="9f867af8-75d7-4d93-913a-726c90bf805f"/>
    <ds:schemaRef ds:uri="cc34d348-7052-46c2-96dd-f5d2d9a6990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4315</Characters>
  <Application>Microsoft Office Word</Application>
  <DocSecurity>0</DocSecurity>
  <Lines>134</Lines>
  <Paragraphs>61</Paragraphs>
  <ScaleCrop>false</ScaleCrop>
  <HeadingPairs>
    <vt:vector size="2" baseType="variant">
      <vt:variant>
        <vt:lpstr>Title</vt:lpstr>
      </vt:variant>
      <vt:variant>
        <vt:i4>1</vt:i4>
      </vt:variant>
    </vt:vector>
  </HeadingPairs>
  <TitlesOfParts>
    <vt:vector size="1" baseType="lpstr">
      <vt:lpstr/>
    </vt:vector>
  </TitlesOfParts>
  <Company>Northwestern University - Feinberg School of Medicine</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Willemijn Schaefer</dc:creator>
  <cp:keywords/>
  <dc:description/>
  <cp:lastModifiedBy>Johanna Marie Borst</cp:lastModifiedBy>
  <cp:revision>4</cp:revision>
  <dcterms:created xsi:type="dcterms:W3CDTF">2026-04-16T22:02:00Z</dcterms:created>
  <dcterms:modified xsi:type="dcterms:W3CDTF">2026-04-16T22:03:00Z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0x010100C53F71A065BCFE468B59797ED099EDEE</vt:lpwstr>
  </property>
  <property fmtid="{D5CDD505-2E9C-101B-9397-08002B2CF9AE}" pid="3" name="MediaServiceImageTags">
    <vt:lpwstr/>
  </property>
</Properties>
</file>