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CB78" w14:textId="77777777" w:rsidR="00333EC9" w:rsidRPr="001415B4" w:rsidRDefault="00333EC9" w:rsidP="00333EC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Information</w:t>
      </w:r>
    </w:p>
    <w:p w14:paraId="401A68AD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Figure S1. Histograms of aggregated importance scores for UDL principle Multiple means of engagement by country.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highlight w:val="white"/>
        </w:rPr>
        <w:t>Austria: Mean=3.13, SD=.46; Czech Republic: Mean=3.07, SD=.44; Latvia: Mean=3.09, SD=.42; Portugal: Mean=3.40, SD=.40.</w:t>
      </w:r>
    </w:p>
    <w:p w14:paraId="502E8386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Figure S2. Histograms of aggregated importance scores for UDL principle Multiple means of representation by country.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Note: Austria: Mean=2.78, SD=.46; Czech Republic: Mean=2.70, SD=.51; Latvia: Mean=2.80, SD=.46; Portugal: Mean=3.3, SD=.56.</w:t>
      </w:r>
    </w:p>
    <w:p w14:paraId="23787AE2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Figure S3. Histograms of aggregated importance scores for UDL principle Multiple means of action &amp; expression by country.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highlight w:val="white"/>
        </w:rPr>
        <w:t>Austria: Mean=2.97, SD=.47; Czech Republic: Mean=2.79, SD=.53; Latvia: Mean=2.74, SD=.49; Portugal: Mean=3.33, SD=.56.</w:t>
      </w:r>
    </w:p>
    <w:p w14:paraId="600EE35A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Figure S4. Centrality plots of UDL principles checkpoint interrelationships based on detailed importance ratings by country.</w:t>
      </w:r>
    </w:p>
    <w:p w14:paraId="3634D6D4" w14:textId="77777777" w:rsidR="00333EC9" w:rsidRPr="001415B4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Figure S5. Network graphs of UDL principles checkpoint relationships based on detailed importance ratings by country.</w:t>
      </w:r>
    </w:p>
    <w:p w14:paraId="24224268" w14:textId="77777777" w:rsidR="00333EC9" w:rsidRPr="001415B4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S2. Socio-demographic and work context characteristics of respondents by country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333EC9" w14:paraId="12AA206C" w14:textId="77777777" w:rsidTr="008F5817">
        <w:trPr>
          <w:trHeight w:val="660"/>
        </w:trPr>
        <w:tc>
          <w:tcPr>
            <w:tcW w:w="9070" w:type="dxa"/>
            <w:tcBorders>
              <w:top w:val="nil"/>
              <w:left w:val="nil"/>
              <w:bottom w:val="single" w:sz="4" w:space="0" w:color="FFFFFF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5A5CE2" w14:textId="77777777" w:rsidR="00333EC9" w:rsidRDefault="00333EC9" w:rsidP="008F5817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Supplementary Table S4. UDL Principles for pre-service teachers among different countries (Descriptive statistics, Kruskall-Wallis H test)</w:t>
            </w:r>
          </w:p>
        </w:tc>
      </w:tr>
    </w:tbl>
    <w:p w14:paraId="23AA8C4E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S5. Comparison of in-service teachers' general importance rating and detailed importance score for UDL principle Multiple means of engagement by country (The Wilcoxon-signed-rank test)</w:t>
      </w:r>
    </w:p>
    <w:p w14:paraId="60D5413C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S6. Comparison of in-service teachers' general importance rating and detailed importance score for UDL principle Multiple means of representation by country (The Wilcoxon-signed-rank test)</w:t>
      </w:r>
    </w:p>
    <w:p w14:paraId="70347DC6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S7. Comparison of in-service teachers' general importance rating and detailed importance score for UDL principle Multiple means of action &amp; expression by country (The Wilcoxon-signed-rank test)</w:t>
      </w:r>
    </w:p>
    <w:p w14:paraId="28CA131C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S8. Comparison of pre-service teachers' general importance rating and detailed importance score for UDL principle Multiple means of engagement by country (The Wilcoxon-signed-rank test)</w:t>
      </w:r>
    </w:p>
    <w:p w14:paraId="6B4BEE83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S9. Comparison of pre-service teachers' general importance rating and detailed importance score for UDL principle Multiple means of representation by country (The Wilcoxon-signed-rank test)</w:t>
      </w:r>
    </w:p>
    <w:p w14:paraId="5B0A1385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S10. Comparison of pre-service teachers' general importance rating and detailed importance score for UDL principle Multiple means of action &amp; expression by country (The Wilcoxon-signed-rank test).</w:t>
      </w:r>
    </w:p>
    <w:p w14:paraId="2C9BBFF1" w14:textId="77777777" w:rsidR="00333EC9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Table S11. Self-Assessment of UDL Principles Based on Encountered Implementation Challenges.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Challenge codes correspond to: 1 = Lack of resources; 2 =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Limited knowledge/training; 3 = Time constraints; 4 = Resistance from colleagues/institution; 5 = Other.</w:t>
      </w:r>
    </w:p>
    <w:p w14:paraId="6E1F463B" w14:textId="77777777" w:rsidR="00333EC9" w:rsidRPr="0037105A" w:rsidRDefault="00333EC9" w:rsidP="00333EC9">
      <w:pPr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Table S12. Self-Assessment of UDL Principles Based on Support Received for Implementation.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Support codes correspond to: 1 = Knowledge from study programs; 2 = Formal courses/diplomas; 3 = Self-directed learning; 4 = Collaboration with colleagues/staff; 5 = No relevant knowledge; 6 = Other.</w:t>
      </w:r>
    </w:p>
    <w:p w14:paraId="53D1C7E7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9"/>
    <w:rsid w:val="00264C10"/>
    <w:rsid w:val="00333EC9"/>
    <w:rsid w:val="00393087"/>
    <w:rsid w:val="00470242"/>
    <w:rsid w:val="00726E03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8D51"/>
  <w15:chartTrackingRefBased/>
  <w15:docId w15:val="{BAE2B418-9105-48CE-B611-6D8385FF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C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v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E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E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E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E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E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E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E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E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E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E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EC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EC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2026-06-05T15:22:00Z</dcterms:created>
  <dcterms:modified xsi:type="dcterms:W3CDTF">2026-06-05T15:23:00Z</dcterms:modified>
</cp:coreProperties>
</file>