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892" w:rsidRPr="00B942C0" w:rsidRDefault="00F03892" w:rsidP="00F03892">
      <w:pPr>
        <w:jc w:val="center"/>
        <w:rPr>
          <w:rFonts w:ascii="Times New Roman" w:hAnsi="Times New Roman" w:cs="Times New Roman"/>
          <w:b/>
          <w:bCs/>
        </w:rPr>
      </w:pPr>
      <w:r w:rsidRPr="00B942C0">
        <w:rPr>
          <w:rFonts w:ascii="Times New Roman" w:hAnsi="Times New Roman" w:cs="Times New Roman"/>
          <w:b/>
          <w:bCs/>
        </w:rPr>
        <w:t>Table 1: Characteristics of the cases</w:t>
      </w:r>
    </w:p>
    <w:tbl>
      <w:tblPr>
        <w:tblStyle w:val="TableGridLight"/>
        <w:tblW w:w="10208" w:type="dxa"/>
        <w:tblLook w:val="04A0" w:firstRow="1" w:lastRow="0" w:firstColumn="1" w:lastColumn="0" w:noHBand="0" w:noVBand="1"/>
      </w:tblPr>
      <w:tblGrid>
        <w:gridCol w:w="2236"/>
        <w:gridCol w:w="4142"/>
        <w:gridCol w:w="3830"/>
      </w:tblGrid>
      <w:tr w:rsidR="00F03892" w:rsidRPr="00B942C0" w:rsidTr="00B942C0">
        <w:trPr>
          <w:trHeight w:val="546"/>
        </w:trPr>
        <w:tc>
          <w:tcPr>
            <w:tcW w:w="2236" w:type="dxa"/>
          </w:tcPr>
          <w:p w:rsidR="00F03892" w:rsidRPr="00B942C0" w:rsidRDefault="00F03892" w:rsidP="002D7558">
            <w:pPr>
              <w:rPr>
                <w:rFonts w:ascii="Times New Roman" w:hAnsi="Times New Roman" w:cs="Times New Roman"/>
                <w:b/>
              </w:rPr>
            </w:pPr>
            <w:r w:rsidRPr="00B942C0">
              <w:rPr>
                <w:rFonts w:ascii="Times New Roman" w:hAnsi="Times New Roman" w:cs="Times New Roman"/>
                <w:b/>
              </w:rPr>
              <w:t xml:space="preserve">Variables </w:t>
            </w:r>
          </w:p>
        </w:tc>
        <w:tc>
          <w:tcPr>
            <w:tcW w:w="4142" w:type="dxa"/>
          </w:tcPr>
          <w:p w:rsidR="00F03892" w:rsidRPr="00B942C0" w:rsidRDefault="00F03892" w:rsidP="002D7558">
            <w:pPr>
              <w:rPr>
                <w:rFonts w:ascii="Times New Roman" w:hAnsi="Times New Roman" w:cs="Times New Roman"/>
                <w:b/>
              </w:rPr>
            </w:pPr>
            <w:r w:rsidRPr="00B942C0">
              <w:rPr>
                <w:rFonts w:ascii="Times New Roman" w:hAnsi="Times New Roman" w:cs="Times New Roman"/>
                <w:b/>
              </w:rPr>
              <w:t xml:space="preserve">Case 1 </w:t>
            </w:r>
          </w:p>
        </w:tc>
        <w:tc>
          <w:tcPr>
            <w:tcW w:w="3830" w:type="dxa"/>
          </w:tcPr>
          <w:p w:rsidR="00F03892" w:rsidRPr="00B942C0" w:rsidRDefault="00F03892" w:rsidP="002D7558">
            <w:pPr>
              <w:rPr>
                <w:rFonts w:ascii="Times New Roman" w:hAnsi="Times New Roman" w:cs="Times New Roman"/>
                <w:b/>
              </w:rPr>
            </w:pPr>
            <w:r w:rsidRPr="00B942C0">
              <w:rPr>
                <w:rFonts w:ascii="Times New Roman" w:hAnsi="Times New Roman" w:cs="Times New Roman"/>
                <w:b/>
              </w:rPr>
              <w:t xml:space="preserve">Case 2 </w:t>
            </w:r>
          </w:p>
        </w:tc>
      </w:tr>
      <w:tr w:rsidR="00F03892" w:rsidRPr="00B942C0" w:rsidTr="00B942C0">
        <w:trPr>
          <w:trHeight w:val="638"/>
        </w:trPr>
        <w:tc>
          <w:tcPr>
            <w:tcW w:w="2236" w:type="dxa"/>
          </w:tcPr>
          <w:p w:rsidR="00F03892" w:rsidRPr="00B942C0" w:rsidRDefault="00F03892" w:rsidP="002D755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 xml:space="preserve">Duration of disease </w:t>
            </w:r>
          </w:p>
        </w:tc>
        <w:tc>
          <w:tcPr>
            <w:tcW w:w="4142" w:type="dxa"/>
          </w:tcPr>
          <w:p w:rsidR="00F03892" w:rsidRPr="00B942C0" w:rsidRDefault="00F03892" w:rsidP="002D755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>Since 2020 (6 years)</w:t>
            </w:r>
          </w:p>
        </w:tc>
        <w:tc>
          <w:tcPr>
            <w:tcW w:w="3830" w:type="dxa"/>
          </w:tcPr>
          <w:p w:rsidR="00F03892" w:rsidRPr="00B942C0" w:rsidRDefault="00F03892" w:rsidP="002D755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 xml:space="preserve">Since 2020 </w:t>
            </w:r>
          </w:p>
        </w:tc>
      </w:tr>
      <w:tr w:rsidR="00F03892" w:rsidRPr="00B942C0" w:rsidTr="00B942C0">
        <w:trPr>
          <w:trHeight w:val="740"/>
        </w:trPr>
        <w:tc>
          <w:tcPr>
            <w:tcW w:w="2236" w:type="dxa"/>
          </w:tcPr>
          <w:p w:rsidR="00F03892" w:rsidRPr="00B942C0" w:rsidRDefault="00F03892" w:rsidP="002D755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 xml:space="preserve">Delay in diagnosis </w:t>
            </w:r>
          </w:p>
        </w:tc>
        <w:tc>
          <w:tcPr>
            <w:tcW w:w="4142" w:type="dxa"/>
          </w:tcPr>
          <w:p w:rsidR="00F03892" w:rsidRPr="00B942C0" w:rsidRDefault="00F03892" w:rsidP="002D755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>2022 (2 years)</w:t>
            </w:r>
          </w:p>
        </w:tc>
        <w:tc>
          <w:tcPr>
            <w:tcW w:w="3830" w:type="dxa"/>
          </w:tcPr>
          <w:p w:rsidR="00F03892" w:rsidRPr="00B942C0" w:rsidRDefault="00F03892" w:rsidP="002D755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>2025 (5 years)</w:t>
            </w:r>
          </w:p>
        </w:tc>
      </w:tr>
      <w:tr w:rsidR="00F03892" w:rsidRPr="00B942C0" w:rsidTr="00B942C0">
        <w:trPr>
          <w:trHeight w:val="1432"/>
        </w:trPr>
        <w:tc>
          <w:tcPr>
            <w:tcW w:w="2236" w:type="dxa"/>
          </w:tcPr>
          <w:p w:rsidR="00F03892" w:rsidRPr="00B942C0" w:rsidRDefault="00F03892" w:rsidP="002D755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 xml:space="preserve">Cumulative clinical features </w:t>
            </w:r>
          </w:p>
        </w:tc>
        <w:tc>
          <w:tcPr>
            <w:tcW w:w="4142" w:type="dxa"/>
          </w:tcPr>
          <w:p w:rsidR="00F03892" w:rsidRPr="00B942C0" w:rsidRDefault="00F03892" w:rsidP="002D755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 xml:space="preserve">Constitutional, inflammatory polyarthritis, serositis, renal (lupus nephritis), pancytopenia </w:t>
            </w:r>
          </w:p>
          <w:p w:rsidR="00F03892" w:rsidRPr="00B942C0" w:rsidRDefault="00F03892" w:rsidP="002D755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 xml:space="preserve">No mucocutaneous (MC) involvement </w:t>
            </w:r>
          </w:p>
        </w:tc>
        <w:tc>
          <w:tcPr>
            <w:tcW w:w="3830" w:type="dxa"/>
          </w:tcPr>
          <w:p w:rsidR="00F03892" w:rsidRPr="00B942C0" w:rsidRDefault="00F03892" w:rsidP="002D755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 xml:space="preserve">Constitutional, renal (lupus nephritis), serositis, AIHA, leucopenia, </w:t>
            </w:r>
            <w:proofErr w:type="gramStart"/>
            <w:r w:rsidRPr="00B942C0">
              <w:rPr>
                <w:rFonts w:ascii="Times New Roman" w:hAnsi="Times New Roman" w:cs="Times New Roman"/>
              </w:rPr>
              <w:t>thrombocytopenia .</w:t>
            </w:r>
            <w:proofErr w:type="gramEnd"/>
          </w:p>
          <w:p w:rsidR="00F03892" w:rsidRPr="00B942C0" w:rsidRDefault="00F03892" w:rsidP="002D755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 xml:space="preserve">No MC and arthritis </w:t>
            </w:r>
          </w:p>
        </w:tc>
      </w:tr>
      <w:tr w:rsidR="00F03892" w:rsidRPr="00B942C0" w:rsidTr="00B942C0">
        <w:trPr>
          <w:trHeight w:val="1061"/>
        </w:trPr>
        <w:tc>
          <w:tcPr>
            <w:tcW w:w="2236" w:type="dxa"/>
          </w:tcPr>
          <w:p w:rsidR="00F03892" w:rsidRPr="00B942C0" w:rsidRDefault="00F03892" w:rsidP="002D755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 xml:space="preserve">Serological features </w:t>
            </w:r>
          </w:p>
        </w:tc>
        <w:tc>
          <w:tcPr>
            <w:tcW w:w="4142" w:type="dxa"/>
          </w:tcPr>
          <w:p w:rsidR="00F03892" w:rsidRPr="00B942C0" w:rsidRDefault="00F03892" w:rsidP="002D755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 xml:space="preserve">RNP, Smith, Ro52 , dsDNA , nucleosome, histone positive , low complement </w:t>
            </w:r>
          </w:p>
        </w:tc>
        <w:tc>
          <w:tcPr>
            <w:tcW w:w="3830" w:type="dxa"/>
          </w:tcPr>
          <w:p w:rsidR="00F03892" w:rsidRPr="00B942C0" w:rsidRDefault="00F03892" w:rsidP="002D755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 xml:space="preserve">RNP, Smith, SSB, nucleosome positive, normal complements </w:t>
            </w:r>
          </w:p>
        </w:tc>
      </w:tr>
      <w:tr w:rsidR="00F03892" w:rsidRPr="00B942C0" w:rsidTr="00B942C0">
        <w:trPr>
          <w:trHeight w:val="791"/>
        </w:trPr>
        <w:tc>
          <w:tcPr>
            <w:tcW w:w="2236" w:type="dxa"/>
          </w:tcPr>
          <w:p w:rsidR="00F03892" w:rsidRPr="00B942C0" w:rsidRDefault="00F03892" w:rsidP="002D755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>Histopathology</w:t>
            </w:r>
          </w:p>
        </w:tc>
        <w:tc>
          <w:tcPr>
            <w:tcW w:w="4142" w:type="dxa"/>
          </w:tcPr>
          <w:p w:rsidR="00F03892" w:rsidRPr="00B942C0" w:rsidRDefault="00F03892" w:rsidP="002D755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 xml:space="preserve">Class 4 LN, crescentic (AI 16/24, CI 0/12) </w:t>
            </w:r>
          </w:p>
        </w:tc>
        <w:tc>
          <w:tcPr>
            <w:tcW w:w="3830" w:type="dxa"/>
          </w:tcPr>
          <w:p w:rsidR="00F03892" w:rsidRPr="00B942C0" w:rsidRDefault="00F03892" w:rsidP="002D755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>Class 4 LN, crescentic, (AI 7/24, CI  5/12 )</w:t>
            </w:r>
          </w:p>
        </w:tc>
      </w:tr>
      <w:tr w:rsidR="00F03892" w:rsidRPr="00B942C0" w:rsidTr="00B942C0">
        <w:trPr>
          <w:trHeight w:val="515"/>
        </w:trPr>
        <w:tc>
          <w:tcPr>
            <w:tcW w:w="2236" w:type="dxa"/>
          </w:tcPr>
          <w:p w:rsidR="00F03892" w:rsidRPr="00B942C0" w:rsidRDefault="00F03892" w:rsidP="002D755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 xml:space="preserve">SLEDAI at admission </w:t>
            </w:r>
          </w:p>
        </w:tc>
        <w:tc>
          <w:tcPr>
            <w:tcW w:w="4142" w:type="dxa"/>
          </w:tcPr>
          <w:p w:rsidR="00F03892" w:rsidRPr="00B942C0" w:rsidRDefault="00F03892" w:rsidP="002D755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 xml:space="preserve">29 </w:t>
            </w:r>
          </w:p>
        </w:tc>
        <w:tc>
          <w:tcPr>
            <w:tcW w:w="3830" w:type="dxa"/>
          </w:tcPr>
          <w:p w:rsidR="00F03892" w:rsidRPr="00B942C0" w:rsidRDefault="00F03892" w:rsidP="002D755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>22</w:t>
            </w:r>
          </w:p>
        </w:tc>
      </w:tr>
      <w:tr w:rsidR="00F03892" w:rsidRPr="00B942C0" w:rsidTr="00B942C0">
        <w:trPr>
          <w:trHeight w:val="737"/>
        </w:trPr>
        <w:tc>
          <w:tcPr>
            <w:tcW w:w="2236" w:type="dxa"/>
          </w:tcPr>
          <w:p w:rsidR="00F03892" w:rsidRPr="00B942C0" w:rsidRDefault="00F03892" w:rsidP="002D755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 xml:space="preserve">Presenting complaints </w:t>
            </w:r>
          </w:p>
        </w:tc>
        <w:tc>
          <w:tcPr>
            <w:tcW w:w="4142" w:type="dxa"/>
          </w:tcPr>
          <w:p w:rsidR="00F03892" w:rsidRPr="00B942C0" w:rsidRDefault="00F03892" w:rsidP="002D755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 xml:space="preserve">Fever, headache, vomiting, GTCS , BP- 210/110 mmHg </w:t>
            </w:r>
          </w:p>
        </w:tc>
        <w:tc>
          <w:tcPr>
            <w:tcW w:w="3830" w:type="dxa"/>
          </w:tcPr>
          <w:p w:rsidR="00F03892" w:rsidRPr="00B942C0" w:rsidRDefault="00F03892" w:rsidP="002D755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>Refractory GTCS,  BP- 170/100 mm Hg</w:t>
            </w:r>
          </w:p>
        </w:tc>
      </w:tr>
      <w:tr w:rsidR="00F03892" w:rsidRPr="00B942C0" w:rsidTr="00B942C0">
        <w:trPr>
          <w:trHeight w:val="719"/>
        </w:trPr>
        <w:tc>
          <w:tcPr>
            <w:tcW w:w="2236" w:type="dxa"/>
          </w:tcPr>
          <w:p w:rsidR="00F03892" w:rsidRPr="00B942C0" w:rsidRDefault="00F03892" w:rsidP="002D755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 xml:space="preserve">Infection during admission </w:t>
            </w:r>
          </w:p>
        </w:tc>
        <w:tc>
          <w:tcPr>
            <w:tcW w:w="4142" w:type="dxa"/>
          </w:tcPr>
          <w:p w:rsidR="00F03892" w:rsidRPr="00B942C0" w:rsidRDefault="00F03892" w:rsidP="002D755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 xml:space="preserve">Bacterial pneumonia </w:t>
            </w:r>
          </w:p>
          <w:p w:rsidR="00F03892" w:rsidRPr="00B942C0" w:rsidRDefault="00F03892" w:rsidP="002D755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 xml:space="preserve">Herpes </w:t>
            </w:r>
          </w:p>
        </w:tc>
        <w:tc>
          <w:tcPr>
            <w:tcW w:w="3830" w:type="dxa"/>
          </w:tcPr>
          <w:p w:rsidR="00F03892" w:rsidRPr="00B942C0" w:rsidRDefault="00F03892" w:rsidP="002D755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 xml:space="preserve">Sepsis in subsequent admission </w:t>
            </w:r>
          </w:p>
        </w:tc>
      </w:tr>
      <w:tr w:rsidR="00F03892" w:rsidRPr="00B942C0" w:rsidTr="00B942C0">
        <w:trPr>
          <w:trHeight w:val="1187"/>
        </w:trPr>
        <w:tc>
          <w:tcPr>
            <w:tcW w:w="2236" w:type="dxa"/>
          </w:tcPr>
          <w:p w:rsidR="00F03892" w:rsidRPr="00B942C0" w:rsidRDefault="00F03892" w:rsidP="002D755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 xml:space="preserve">MRI change </w:t>
            </w:r>
          </w:p>
        </w:tc>
        <w:tc>
          <w:tcPr>
            <w:tcW w:w="4142" w:type="dxa"/>
          </w:tcPr>
          <w:p w:rsidR="00F03892" w:rsidRPr="00B942C0" w:rsidRDefault="00F03892" w:rsidP="002D755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 xml:space="preserve">T2/STIR hyperintensity in bilateral frontal , parieto-occipital region with left parietal hematoma </w:t>
            </w:r>
          </w:p>
        </w:tc>
        <w:tc>
          <w:tcPr>
            <w:tcW w:w="3830" w:type="dxa"/>
          </w:tcPr>
          <w:p w:rsidR="00F03892" w:rsidRPr="00B942C0" w:rsidRDefault="00F03892" w:rsidP="002D755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  <w:bCs/>
                <w:color w:val="000000"/>
              </w:rPr>
              <w:t>T2/STIR hyperintesity in bilateral parieto-occipital region with left parietal lobe hematoma with hematoma</w:t>
            </w:r>
          </w:p>
        </w:tc>
      </w:tr>
      <w:tr w:rsidR="00F03892" w:rsidRPr="00B942C0" w:rsidTr="00B942C0">
        <w:trPr>
          <w:trHeight w:val="1309"/>
        </w:trPr>
        <w:tc>
          <w:tcPr>
            <w:tcW w:w="2236" w:type="dxa"/>
          </w:tcPr>
          <w:p w:rsidR="00F03892" w:rsidRPr="00B942C0" w:rsidRDefault="00F03892" w:rsidP="002D755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 xml:space="preserve">Prognosis </w:t>
            </w:r>
          </w:p>
        </w:tc>
        <w:tc>
          <w:tcPr>
            <w:tcW w:w="4142" w:type="dxa"/>
          </w:tcPr>
          <w:p w:rsidR="00F03892" w:rsidRPr="00B942C0" w:rsidRDefault="00F03892" w:rsidP="002D755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 xml:space="preserve">Recovery – both clinical and imaging, patient achieved partial renal remission after 6 months with early CKD changes  </w:t>
            </w:r>
          </w:p>
        </w:tc>
        <w:tc>
          <w:tcPr>
            <w:tcW w:w="3830" w:type="dxa"/>
          </w:tcPr>
          <w:p w:rsidR="00F03892" w:rsidRPr="00B942C0" w:rsidRDefault="00F03892" w:rsidP="002D7558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B942C0">
              <w:rPr>
                <w:rFonts w:ascii="Times New Roman" w:hAnsi="Times New Roman" w:cs="Times New Roman"/>
                <w:bCs/>
                <w:color w:val="000000"/>
              </w:rPr>
              <w:t xml:space="preserve">Initial partial recovery – clinical and imaging  wise, subsequent sepsis with DAH, patient succumbed during admission </w:t>
            </w:r>
          </w:p>
        </w:tc>
      </w:tr>
    </w:tbl>
    <w:p w:rsidR="00F03892" w:rsidRPr="00B942C0" w:rsidRDefault="00F03892">
      <w:pPr>
        <w:rPr>
          <w:rFonts w:ascii="Times New Roman" w:hAnsi="Times New Roman" w:cs="Times New Roman"/>
          <w:b/>
          <w:bCs/>
        </w:rPr>
      </w:pPr>
    </w:p>
    <w:p w:rsidR="00B942C0" w:rsidRDefault="00B942C0"/>
    <w:p w:rsidR="00B942C0" w:rsidRDefault="00B942C0"/>
    <w:p w:rsidR="00B942C0" w:rsidRDefault="00B942C0"/>
    <w:p w:rsidR="000857C3" w:rsidRPr="000857C3" w:rsidRDefault="000857C3"/>
    <w:tbl>
      <w:tblPr>
        <w:tblStyle w:val="TableGridLight"/>
        <w:tblpPr w:leftFromText="180" w:rightFromText="180" w:vertAnchor="page" w:horzAnchor="margin" w:tblpXSpec="center" w:tblpY="1936"/>
        <w:tblW w:w="11698" w:type="dxa"/>
        <w:tblLook w:val="04A0" w:firstRow="1" w:lastRow="0" w:firstColumn="1" w:lastColumn="0" w:noHBand="0" w:noVBand="1"/>
      </w:tblPr>
      <w:tblGrid>
        <w:gridCol w:w="1362"/>
        <w:gridCol w:w="1436"/>
        <w:gridCol w:w="1512"/>
        <w:gridCol w:w="1820"/>
        <w:gridCol w:w="1459"/>
        <w:gridCol w:w="1424"/>
        <w:gridCol w:w="1426"/>
        <w:gridCol w:w="1259"/>
      </w:tblGrid>
      <w:tr w:rsidR="00F03892" w:rsidRPr="00B942C0" w:rsidTr="00B942C0">
        <w:trPr>
          <w:trHeight w:val="601"/>
        </w:trPr>
        <w:tc>
          <w:tcPr>
            <w:tcW w:w="1362" w:type="dxa"/>
          </w:tcPr>
          <w:p w:rsidR="00F03892" w:rsidRPr="00B942C0" w:rsidRDefault="00F03892" w:rsidP="00B942C0">
            <w:pPr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lastRenderedPageBreak/>
              <w:t>Study</w:t>
            </w:r>
          </w:p>
        </w:tc>
        <w:tc>
          <w:tcPr>
            <w:tcW w:w="1437" w:type="dxa"/>
          </w:tcPr>
          <w:p w:rsidR="00F03892" w:rsidRPr="00B942C0" w:rsidRDefault="00F03892" w:rsidP="00B942C0">
            <w:pPr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 xml:space="preserve">Kim et al </w:t>
            </w:r>
            <w:r w:rsidR="0051188C" w:rsidRPr="00B942C0">
              <w:rPr>
                <w:rFonts w:ascii="Times New Roman" w:hAnsi="Times New Roman" w:cs="Times New Roman"/>
                <w:vertAlign w:val="superscript"/>
              </w:rPr>
              <w:t>8</w:t>
            </w:r>
          </w:p>
        </w:tc>
        <w:tc>
          <w:tcPr>
            <w:tcW w:w="1503" w:type="dxa"/>
          </w:tcPr>
          <w:p w:rsidR="00F03892" w:rsidRPr="00B942C0" w:rsidRDefault="00F03892" w:rsidP="00B942C0">
            <w:pPr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 xml:space="preserve">Ahmed et al </w:t>
            </w:r>
            <w:r w:rsidR="0051188C" w:rsidRPr="00B942C0">
              <w:rPr>
                <w:rFonts w:ascii="Times New Roman" w:hAnsi="Times New Roman" w:cs="Times New Roman"/>
                <w:vertAlign w:val="superscript"/>
              </w:rPr>
              <w:t>14</w:t>
            </w:r>
          </w:p>
        </w:tc>
        <w:tc>
          <w:tcPr>
            <w:tcW w:w="1825" w:type="dxa"/>
          </w:tcPr>
          <w:p w:rsidR="00F03892" w:rsidRPr="00B942C0" w:rsidRDefault="00F03892" w:rsidP="00B942C0">
            <w:pPr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 xml:space="preserve">Chen H et al </w:t>
            </w:r>
            <w:r w:rsidR="0051188C" w:rsidRPr="00B942C0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460" w:type="dxa"/>
          </w:tcPr>
          <w:p w:rsidR="0051188C" w:rsidRPr="00B942C0" w:rsidRDefault="00F03892" w:rsidP="00B942C0">
            <w:pPr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>G Leroux et al</w:t>
            </w:r>
          </w:p>
          <w:p w:rsidR="00F03892" w:rsidRPr="00B942C0" w:rsidRDefault="0051188C" w:rsidP="00B942C0">
            <w:pPr>
              <w:rPr>
                <w:rFonts w:ascii="Times New Roman" w:hAnsi="Times New Roman" w:cs="Times New Roman"/>
                <w:vertAlign w:val="superscript"/>
              </w:rPr>
            </w:pPr>
            <w:r w:rsidRPr="00B942C0">
              <w:rPr>
                <w:rFonts w:ascii="Times New Roman" w:hAnsi="Times New Roman" w:cs="Times New Roman"/>
                <w:vertAlign w:val="superscript"/>
              </w:rPr>
              <w:t>15</w:t>
            </w:r>
            <w:r w:rsidR="00F03892" w:rsidRPr="00B942C0">
              <w:rPr>
                <w:rFonts w:ascii="Times New Roman" w:hAnsi="Times New Roman" w:cs="Times New Roman"/>
                <w:vertAlign w:val="superscript"/>
              </w:rPr>
              <w:t xml:space="preserve"> </w:t>
            </w:r>
          </w:p>
        </w:tc>
        <w:tc>
          <w:tcPr>
            <w:tcW w:w="1425" w:type="dxa"/>
          </w:tcPr>
          <w:p w:rsidR="0051188C" w:rsidRPr="00B942C0" w:rsidRDefault="00F03892" w:rsidP="00B942C0">
            <w:pPr>
              <w:rPr>
                <w:rFonts w:ascii="Times New Roman" w:hAnsi="Times New Roman" w:cs="Times New Roman"/>
                <w:color w:val="262626"/>
                <w:sz w:val="21"/>
                <w:szCs w:val="21"/>
                <w:shd w:val="clear" w:color="auto" w:fill="FFFFFF"/>
              </w:rPr>
            </w:pPr>
            <w:r w:rsidRPr="00B942C0">
              <w:rPr>
                <w:rFonts w:ascii="Times New Roman" w:hAnsi="Times New Roman" w:cs="Times New Roman"/>
                <w:color w:val="262626"/>
                <w:sz w:val="21"/>
                <w:szCs w:val="21"/>
                <w:shd w:val="clear" w:color="auto" w:fill="FFFFFF"/>
              </w:rPr>
              <w:t>Gauiran et al</w:t>
            </w:r>
          </w:p>
          <w:p w:rsidR="00F03892" w:rsidRPr="00B942C0" w:rsidRDefault="0051188C" w:rsidP="00B942C0">
            <w:pPr>
              <w:rPr>
                <w:rFonts w:ascii="Times New Roman" w:hAnsi="Times New Roman" w:cs="Times New Roman"/>
                <w:vertAlign w:val="superscript"/>
              </w:rPr>
            </w:pPr>
            <w:r w:rsidRPr="00B942C0">
              <w:rPr>
                <w:rFonts w:ascii="Times New Roman" w:hAnsi="Times New Roman" w:cs="Times New Roman"/>
                <w:color w:val="262626"/>
                <w:sz w:val="21"/>
                <w:szCs w:val="21"/>
                <w:shd w:val="clear" w:color="auto" w:fill="FFFFFF"/>
                <w:vertAlign w:val="superscript"/>
              </w:rPr>
              <w:t>16</w:t>
            </w:r>
            <w:r w:rsidR="00F03892" w:rsidRPr="00B942C0">
              <w:rPr>
                <w:rFonts w:ascii="Times New Roman" w:hAnsi="Times New Roman" w:cs="Times New Roman"/>
                <w:color w:val="262626"/>
                <w:sz w:val="21"/>
                <w:szCs w:val="21"/>
                <w:shd w:val="clear" w:color="auto" w:fill="FFFFFF"/>
                <w:vertAlign w:val="superscript"/>
              </w:rPr>
              <w:t xml:space="preserve"> </w:t>
            </w:r>
          </w:p>
        </w:tc>
        <w:tc>
          <w:tcPr>
            <w:tcW w:w="1427" w:type="dxa"/>
          </w:tcPr>
          <w:p w:rsidR="00F03892" w:rsidRPr="00B942C0" w:rsidRDefault="00F03892" w:rsidP="00B942C0">
            <w:pPr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>SS Shaharir</w:t>
            </w:r>
          </w:p>
          <w:p w:rsidR="00F03892" w:rsidRPr="00B942C0" w:rsidRDefault="00F03892" w:rsidP="00B942C0">
            <w:pPr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>et al</w:t>
            </w:r>
            <w:r w:rsidRPr="00B942C0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="0051188C" w:rsidRPr="00B942C0">
              <w:rPr>
                <w:rFonts w:ascii="Times New Roman" w:hAnsi="Times New Roman" w:cs="Times New Roman"/>
                <w:vertAlign w:val="superscript"/>
              </w:rPr>
              <w:t>17</w:t>
            </w:r>
          </w:p>
        </w:tc>
        <w:tc>
          <w:tcPr>
            <w:tcW w:w="1259" w:type="dxa"/>
          </w:tcPr>
          <w:p w:rsidR="00F03892" w:rsidRPr="00B942C0" w:rsidRDefault="00F03892" w:rsidP="00B942C0">
            <w:pPr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>Akins et al</w:t>
            </w:r>
          </w:p>
          <w:p w:rsidR="0051188C" w:rsidRPr="00B942C0" w:rsidRDefault="0051188C" w:rsidP="00B942C0">
            <w:pPr>
              <w:rPr>
                <w:rFonts w:ascii="Times New Roman" w:hAnsi="Times New Roman" w:cs="Times New Roman"/>
                <w:vertAlign w:val="superscript"/>
              </w:rPr>
            </w:pPr>
            <w:r w:rsidRPr="00B942C0">
              <w:rPr>
                <w:rFonts w:ascii="Times New Roman" w:hAnsi="Times New Roman" w:cs="Times New Roman"/>
                <w:vertAlign w:val="superscript"/>
              </w:rPr>
              <w:t>18</w:t>
            </w:r>
          </w:p>
        </w:tc>
      </w:tr>
      <w:tr w:rsidR="00F03892" w:rsidRPr="00B942C0" w:rsidTr="00B942C0">
        <w:trPr>
          <w:trHeight w:val="1446"/>
        </w:trPr>
        <w:tc>
          <w:tcPr>
            <w:tcW w:w="1362" w:type="dxa"/>
          </w:tcPr>
          <w:p w:rsidR="00F03892" w:rsidRPr="00B942C0" w:rsidRDefault="00B942C0" w:rsidP="00B942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Study t</w:t>
            </w:r>
            <w:r w:rsidR="00F03892" w:rsidRPr="00B942C0">
              <w:rPr>
                <w:rFonts w:ascii="Times New Roman" w:hAnsi="Times New Roman" w:cs="Times New Roman"/>
              </w:rPr>
              <w:t>ype</w:t>
            </w:r>
          </w:p>
        </w:tc>
        <w:tc>
          <w:tcPr>
            <w:tcW w:w="1437" w:type="dxa"/>
          </w:tcPr>
          <w:p w:rsidR="00F03892" w:rsidRPr="00B942C0" w:rsidRDefault="00F03892" w:rsidP="00B942C0">
            <w:pPr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 xml:space="preserve">Case report </w:t>
            </w:r>
          </w:p>
          <w:p w:rsidR="00F03892" w:rsidRPr="00B942C0" w:rsidRDefault="00F03892" w:rsidP="00B942C0">
            <w:pPr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 xml:space="preserve">Initial presentation </w:t>
            </w:r>
          </w:p>
        </w:tc>
        <w:tc>
          <w:tcPr>
            <w:tcW w:w="1503" w:type="dxa"/>
          </w:tcPr>
          <w:p w:rsidR="00F03892" w:rsidRPr="00B942C0" w:rsidRDefault="00F03892" w:rsidP="00B942C0">
            <w:pPr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 xml:space="preserve">Case report </w:t>
            </w:r>
          </w:p>
          <w:p w:rsidR="00F03892" w:rsidRPr="00B942C0" w:rsidRDefault="00F03892" w:rsidP="00B942C0">
            <w:pPr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 xml:space="preserve">Single case </w:t>
            </w:r>
          </w:p>
          <w:p w:rsidR="00F03892" w:rsidRPr="00B942C0" w:rsidRDefault="00F03892" w:rsidP="00B942C0">
            <w:pPr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 xml:space="preserve">Initial presentation </w:t>
            </w:r>
          </w:p>
        </w:tc>
        <w:tc>
          <w:tcPr>
            <w:tcW w:w="1825" w:type="dxa"/>
          </w:tcPr>
          <w:p w:rsidR="00F03892" w:rsidRPr="00B942C0" w:rsidRDefault="00F03892" w:rsidP="00B942C0">
            <w:pPr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 xml:space="preserve">Case report </w:t>
            </w:r>
          </w:p>
          <w:p w:rsidR="00F03892" w:rsidRPr="00B942C0" w:rsidRDefault="00F03892" w:rsidP="00B942C0">
            <w:pPr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>Single case</w:t>
            </w:r>
          </w:p>
          <w:p w:rsidR="00F03892" w:rsidRPr="00B942C0" w:rsidRDefault="00F03892" w:rsidP="00B942C0">
            <w:pPr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>Later in the disease course</w:t>
            </w:r>
          </w:p>
        </w:tc>
        <w:tc>
          <w:tcPr>
            <w:tcW w:w="1460" w:type="dxa"/>
          </w:tcPr>
          <w:p w:rsidR="00F03892" w:rsidRPr="00B942C0" w:rsidRDefault="00F03892" w:rsidP="00B942C0">
            <w:pPr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 xml:space="preserve">Case series of 4 patients, one of whom had a haemorrhagic complication </w:t>
            </w:r>
          </w:p>
        </w:tc>
        <w:tc>
          <w:tcPr>
            <w:tcW w:w="1425" w:type="dxa"/>
          </w:tcPr>
          <w:p w:rsidR="00F03892" w:rsidRPr="00B942C0" w:rsidRDefault="00F03892" w:rsidP="00B942C0">
            <w:pPr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 xml:space="preserve">Case report </w:t>
            </w:r>
          </w:p>
          <w:p w:rsidR="00F03892" w:rsidRPr="00B942C0" w:rsidRDefault="00F03892" w:rsidP="00B942C0">
            <w:pPr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>33 year female</w:t>
            </w:r>
          </w:p>
        </w:tc>
        <w:tc>
          <w:tcPr>
            <w:tcW w:w="1427" w:type="dxa"/>
          </w:tcPr>
          <w:p w:rsidR="00F03892" w:rsidRPr="00B942C0" w:rsidRDefault="00F03892" w:rsidP="00B942C0">
            <w:pPr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 xml:space="preserve">Case series with pooled analysis – one case with </w:t>
            </w:r>
            <w:r w:rsidR="00B942C0">
              <w:rPr>
                <w:rFonts w:ascii="Times New Roman" w:hAnsi="Times New Roman" w:cs="Times New Roman"/>
              </w:rPr>
              <w:t>haemorrhage</w:t>
            </w:r>
            <w:r w:rsidRPr="00B942C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59" w:type="dxa"/>
          </w:tcPr>
          <w:p w:rsidR="00F03892" w:rsidRPr="00B942C0" w:rsidRDefault="00F03892" w:rsidP="00B942C0">
            <w:pPr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 xml:space="preserve">Two cases in a case series – 24 years , 29 years </w:t>
            </w:r>
          </w:p>
        </w:tc>
      </w:tr>
      <w:tr w:rsidR="00F03892" w:rsidRPr="00B942C0" w:rsidTr="00B942C0">
        <w:trPr>
          <w:trHeight w:val="2286"/>
        </w:trPr>
        <w:tc>
          <w:tcPr>
            <w:tcW w:w="1362" w:type="dxa"/>
          </w:tcPr>
          <w:p w:rsidR="00F03892" w:rsidRPr="00B942C0" w:rsidRDefault="00F03892" w:rsidP="00B942C0">
            <w:pPr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 xml:space="preserve">Presentation </w:t>
            </w:r>
          </w:p>
        </w:tc>
        <w:tc>
          <w:tcPr>
            <w:tcW w:w="1437" w:type="dxa"/>
          </w:tcPr>
          <w:p w:rsidR="00F03892" w:rsidRPr="00B942C0" w:rsidRDefault="00F03892" w:rsidP="00B942C0">
            <w:pPr>
              <w:rPr>
                <w:rFonts w:ascii="Times New Roman" w:hAnsi="Times New Roman" w:cs="Times New Roman"/>
                <w:color w:val="262626"/>
                <w:sz w:val="21"/>
                <w:szCs w:val="21"/>
                <w:shd w:val="clear" w:color="auto" w:fill="FFFFFF"/>
              </w:rPr>
            </w:pPr>
            <w:r w:rsidRPr="00B942C0">
              <w:rPr>
                <w:rFonts w:ascii="Times New Roman" w:hAnsi="Times New Roman" w:cs="Times New Roman"/>
                <w:color w:val="262626"/>
                <w:sz w:val="21"/>
                <w:szCs w:val="21"/>
                <w:shd w:val="clear" w:color="auto" w:fill="FFFFFF"/>
              </w:rPr>
              <w:t>hypertension</w:t>
            </w:r>
          </w:p>
          <w:p w:rsidR="00F03892" w:rsidRPr="00B942C0" w:rsidRDefault="00F03892" w:rsidP="00B942C0">
            <w:pPr>
              <w:rPr>
                <w:rFonts w:ascii="Times New Roman" w:hAnsi="Times New Roman" w:cs="Times New Roman"/>
                <w:color w:val="262626"/>
                <w:sz w:val="21"/>
                <w:szCs w:val="21"/>
                <w:shd w:val="clear" w:color="auto" w:fill="FFFFFF"/>
              </w:rPr>
            </w:pPr>
            <w:r w:rsidRPr="00B942C0">
              <w:rPr>
                <w:rFonts w:ascii="Times New Roman" w:hAnsi="Times New Roman" w:cs="Times New Roman"/>
                <w:color w:val="262626"/>
                <w:sz w:val="21"/>
                <w:szCs w:val="21"/>
                <w:shd w:val="clear" w:color="auto" w:fill="FFFFFF"/>
              </w:rPr>
              <w:t xml:space="preserve">(190/130 mmHg), headache, a </w:t>
            </w:r>
            <w:r w:rsidR="00D22D0C">
              <w:rPr>
                <w:rFonts w:ascii="Times New Roman" w:hAnsi="Times New Roman" w:cs="Times New Roman"/>
                <w:color w:val="262626"/>
                <w:sz w:val="21"/>
                <w:szCs w:val="21"/>
                <w:shd w:val="clear" w:color="auto" w:fill="FFFFFF"/>
              </w:rPr>
              <w:t>generalised</w:t>
            </w:r>
          </w:p>
          <w:p w:rsidR="00F03892" w:rsidRPr="00B942C0" w:rsidRDefault="00F03892" w:rsidP="00B942C0">
            <w:pPr>
              <w:rPr>
                <w:rFonts w:ascii="Times New Roman" w:hAnsi="Times New Roman" w:cs="Times New Roman"/>
                <w:color w:val="262626"/>
                <w:sz w:val="21"/>
                <w:szCs w:val="21"/>
                <w:shd w:val="clear" w:color="auto" w:fill="FFFFFF"/>
              </w:rPr>
            </w:pPr>
            <w:r w:rsidRPr="00B942C0">
              <w:rPr>
                <w:rFonts w:ascii="Times New Roman" w:hAnsi="Times New Roman" w:cs="Times New Roman"/>
                <w:color w:val="262626"/>
                <w:sz w:val="21"/>
                <w:szCs w:val="21"/>
                <w:shd w:val="clear" w:color="auto" w:fill="FFFFFF"/>
              </w:rPr>
              <w:t>seizure, and then confusion, vertigo and slurred</w:t>
            </w:r>
          </w:p>
          <w:p w:rsidR="00F03892" w:rsidRPr="00B942C0" w:rsidRDefault="00F03892" w:rsidP="00B942C0">
            <w:pPr>
              <w:rPr>
                <w:rFonts w:ascii="Times New Roman" w:hAnsi="Times New Roman" w:cs="Times New Roman"/>
                <w:color w:val="262626"/>
                <w:sz w:val="21"/>
                <w:szCs w:val="21"/>
                <w:shd w:val="clear" w:color="auto" w:fill="FFFFFF"/>
              </w:rPr>
            </w:pPr>
            <w:r w:rsidRPr="00B942C0">
              <w:rPr>
                <w:rFonts w:ascii="Times New Roman" w:hAnsi="Times New Roman" w:cs="Times New Roman"/>
                <w:color w:val="262626"/>
                <w:sz w:val="21"/>
                <w:szCs w:val="21"/>
                <w:shd w:val="clear" w:color="auto" w:fill="FFFFFF"/>
              </w:rPr>
              <w:t>speech</w:t>
            </w:r>
          </w:p>
        </w:tc>
        <w:tc>
          <w:tcPr>
            <w:tcW w:w="1503" w:type="dxa"/>
          </w:tcPr>
          <w:p w:rsidR="00F03892" w:rsidRPr="00B942C0" w:rsidRDefault="00F03892" w:rsidP="00B942C0">
            <w:pPr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  <w:color w:val="262626"/>
                <w:sz w:val="21"/>
                <w:szCs w:val="21"/>
                <w:shd w:val="clear" w:color="auto" w:fill="FFFFFF"/>
              </w:rPr>
              <w:t>abrupt-onset psychosis and behavioral disturbance</w:t>
            </w:r>
          </w:p>
        </w:tc>
        <w:tc>
          <w:tcPr>
            <w:tcW w:w="1825" w:type="dxa"/>
          </w:tcPr>
          <w:p w:rsidR="00F03892" w:rsidRPr="00B942C0" w:rsidRDefault="00F03892" w:rsidP="00B942C0">
            <w:pPr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 xml:space="preserve">Hypertensive emergency, GTCS , headache followed by vertigo, slurred speech , confusion </w:t>
            </w:r>
          </w:p>
        </w:tc>
        <w:tc>
          <w:tcPr>
            <w:tcW w:w="1460" w:type="dxa"/>
          </w:tcPr>
          <w:p w:rsidR="00F03892" w:rsidRPr="00B942C0" w:rsidRDefault="00F03892" w:rsidP="00B942C0">
            <w:pPr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 xml:space="preserve">headaches, vomiting, seizures and bilateral blindness with hypertensive emergency </w:t>
            </w:r>
          </w:p>
        </w:tc>
        <w:tc>
          <w:tcPr>
            <w:tcW w:w="1425" w:type="dxa"/>
          </w:tcPr>
          <w:p w:rsidR="00F03892" w:rsidRPr="00B942C0" w:rsidRDefault="00F03892" w:rsidP="00B942C0">
            <w:pPr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  <w:color w:val="262626"/>
                <w:sz w:val="21"/>
                <w:szCs w:val="21"/>
                <w:shd w:val="clear" w:color="auto" w:fill="FFFFFF"/>
              </w:rPr>
              <w:t>Seizures, acute-onset headache, confusion, and bilateral vision loss associated with severe hypertension</w:t>
            </w:r>
          </w:p>
        </w:tc>
        <w:tc>
          <w:tcPr>
            <w:tcW w:w="1427" w:type="dxa"/>
          </w:tcPr>
          <w:p w:rsidR="00F03892" w:rsidRPr="00B942C0" w:rsidRDefault="00F03892" w:rsidP="00B942C0">
            <w:pPr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 xml:space="preserve">Headache </w:t>
            </w:r>
          </w:p>
          <w:p w:rsidR="00F03892" w:rsidRPr="00B942C0" w:rsidRDefault="00F03892" w:rsidP="00B942C0">
            <w:pPr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>Status epi</w:t>
            </w:r>
            <w:r w:rsidR="00B942C0">
              <w:rPr>
                <w:rFonts w:ascii="Times New Roman" w:hAnsi="Times New Roman" w:cs="Times New Roman"/>
              </w:rPr>
              <w:t>l</w:t>
            </w:r>
            <w:r w:rsidRPr="00B942C0">
              <w:rPr>
                <w:rFonts w:ascii="Times New Roman" w:hAnsi="Times New Roman" w:cs="Times New Roman"/>
              </w:rPr>
              <w:t>epticus</w:t>
            </w:r>
          </w:p>
        </w:tc>
        <w:tc>
          <w:tcPr>
            <w:tcW w:w="1259" w:type="dxa"/>
          </w:tcPr>
          <w:p w:rsidR="00F03892" w:rsidRPr="00B942C0" w:rsidRDefault="00F03892" w:rsidP="00B942C0">
            <w:pPr>
              <w:rPr>
                <w:rFonts w:ascii="Times New Roman" w:hAnsi="Times New Roman" w:cs="Times New Roman"/>
              </w:rPr>
            </w:pPr>
          </w:p>
        </w:tc>
      </w:tr>
      <w:tr w:rsidR="00F03892" w:rsidRPr="00B942C0" w:rsidTr="00B942C0">
        <w:trPr>
          <w:trHeight w:val="3302"/>
        </w:trPr>
        <w:tc>
          <w:tcPr>
            <w:tcW w:w="1362" w:type="dxa"/>
          </w:tcPr>
          <w:p w:rsidR="00F03892" w:rsidRPr="00B942C0" w:rsidRDefault="00F03892" w:rsidP="00B942C0">
            <w:pPr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>Involvement</w:t>
            </w:r>
          </w:p>
        </w:tc>
        <w:tc>
          <w:tcPr>
            <w:tcW w:w="1437" w:type="dxa"/>
          </w:tcPr>
          <w:p w:rsidR="00F03892" w:rsidRPr="00B942C0" w:rsidRDefault="00F03892" w:rsidP="00B942C0">
            <w:pPr>
              <w:spacing w:line="276" w:lineRule="auto"/>
              <w:rPr>
                <w:rFonts w:ascii="Times New Roman" w:hAnsi="Times New Roman" w:cs="Times New Roman"/>
                <w:color w:val="262626"/>
                <w:sz w:val="21"/>
                <w:szCs w:val="21"/>
                <w:shd w:val="clear" w:color="auto" w:fill="FFFFFF"/>
              </w:rPr>
            </w:pPr>
            <w:r w:rsidRPr="00B942C0">
              <w:rPr>
                <w:rFonts w:ascii="Times New Roman" w:hAnsi="Times New Roman" w:cs="Times New Roman"/>
                <w:color w:val="262626"/>
                <w:sz w:val="21"/>
                <w:szCs w:val="21"/>
                <w:shd w:val="clear" w:color="auto" w:fill="FFFFFF"/>
              </w:rPr>
              <w:t xml:space="preserve">Pariteo-temporo-occiptal </w:t>
            </w:r>
            <w:r w:rsidR="00C14B28">
              <w:rPr>
                <w:rFonts w:ascii="Times New Roman" w:hAnsi="Times New Roman" w:cs="Times New Roman"/>
                <w:color w:val="262626"/>
                <w:sz w:val="21"/>
                <w:szCs w:val="21"/>
                <w:shd w:val="clear" w:color="auto" w:fill="FFFFFF"/>
              </w:rPr>
              <w:t>o</w:t>
            </w:r>
            <w:bookmarkStart w:id="0" w:name="_GoBack"/>
            <w:bookmarkEnd w:id="0"/>
            <w:r w:rsidRPr="00B942C0">
              <w:rPr>
                <w:rFonts w:ascii="Times New Roman" w:hAnsi="Times New Roman" w:cs="Times New Roman"/>
                <w:color w:val="262626"/>
                <w:sz w:val="21"/>
                <w:szCs w:val="21"/>
                <w:shd w:val="clear" w:color="auto" w:fill="FFFFFF"/>
              </w:rPr>
              <w:t>edema ,left occipital hge</w:t>
            </w:r>
          </w:p>
        </w:tc>
        <w:tc>
          <w:tcPr>
            <w:tcW w:w="1503" w:type="dxa"/>
          </w:tcPr>
          <w:p w:rsidR="00F03892" w:rsidRPr="00B942C0" w:rsidRDefault="00B942C0" w:rsidP="00B942C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262626"/>
                <w:sz w:val="21"/>
                <w:szCs w:val="21"/>
                <w:shd w:val="clear" w:color="auto" w:fill="FFFFFF"/>
              </w:rPr>
              <w:t>P</w:t>
            </w:r>
            <w:r w:rsidR="00F03892" w:rsidRPr="00B942C0">
              <w:rPr>
                <w:rFonts w:ascii="Times New Roman" w:hAnsi="Times New Roman" w:cs="Times New Roman"/>
                <w:color w:val="262626"/>
                <w:sz w:val="21"/>
                <w:szCs w:val="21"/>
                <w:shd w:val="clear" w:color="auto" w:fill="FFFFFF"/>
              </w:rPr>
              <w:t xml:space="preserve">osterior-predominant vasogenic edema with associated intracerebral </w:t>
            </w:r>
            <w:r>
              <w:rPr>
                <w:rFonts w:ascii="Times New Roman" w:hAnsi="Times New Roman" w:cs="Times New Roman"/>
                <w:color w:val="262626"/>
                <w:sz w:val="21"/>
                <w:szCs w:val="21"/>
                <w:shd w:val="clear" w:color="auto" w:fill="FFFFFF"/>
              </w:rPr>
              <w:t>hge</w:t>
            </w:r>
          </w:p>
        </w:tc>
        <w:tc>
          <w:tcPr>
            <w:tcW w:w="1825" w:type="dxa"/>
          </w:tcPr>
          <w:p w:rsidR="00F03892" w:rsidRPr="00B942C0" w:rsidRDefault="00F03892" w:rsidP="00B942C0">
            <w:pPr>
              <w:spacing w:line="276" w:lineRule="auto"/>
              <w:rPr>
                <w:rFonts w:ascii="Times New Roman" w:hAnsi="Times New Roman" w:cs="Times New Roman"/>
                <w:color w:val="262626"/>
                <w:sz w:val="21"/>
                <w:szCs w:val="21"/>
                <w:shd w:val="clear" w:color="auto" w:fill="FFFFFF"/>
              </w:rPr>
            </w:pPr>
            <w:r w:rsidRPr="00B942C0">
              <w:rPr>
                <w:rFonts w:ascii="Times New Roman" w:hAnsi="Times New Roman" w:cs="Times New Roman"/>
                <w:color w:val="262626"/>
                <w:sz w:val="21"/>
                <w:szCs w:val="21"/>
                <w:shd w:val="clear" w:color="auto" w:fill="FFFFFF"/>
              </w:rPr>
              <w:t xml:space="preserve">Vasogenic </w:t>
            </w:r>
            <w:r w:rsidR="00C14B28">
              <w:rPr>
                <w:rFonts w:ascii="Times New Roman" w:hAnsi="Times New Roman" w:cs="Times New Roman"/>
                <w:color w:val="262626"/>
                <w:sz w:val="21"/>
                <w:szCs w:val="21"/>
                <w:shd w:val="clear" w:color="auto" w:fill="FFFFFF"/>
              </w:rPr>
              <w:t>o</w:t>
            </w:r>
            <w:r w:rsidR="00C14B28" w:rsidRPr="00B942C0">
              <w:rPr>
                <w:rFonts w:ascii="Times New Roman" w:hAnsi="Times New Roman" w:cs="Times New Roman"/>
                <w:color w:val="262626"/>
                <w:sz w:val="21"/>
                <w:szCs w:val="21"/>
                <w:shd w:val="clear" w:color="auto" w:fill="FFFFFF"/>
              </w:rPr>
              <w:t>edema with</w:t>
            </w:r>
            <w:r w:rsidRPr="00B942C0">
              <w:rPr>
                <w:rFonts w:ascii="Times New Roman" w:hAnsi="Times New Roman" w:cs="Times New Roman"/>
                <w:color w:val="262626"/>
                <w:sz w:val="21"/>
                <w:szCs w:val="21"/>
                <w:shd w:val="clear" w:color="auto" w:fill="FFFFFF"/>
              </w:rPr>
              <w:t xml:space="preserve"> intra</w:t>
            </w:r>
            <w:r w:rsidR="00D22D0C">
              <w:rPr>
                <w:rFonts w:ascii="Times New Roman" w:hAnsi="Times New Roman" w:cs="Times New Roman"/>
                <w:color w:val="262626"/>
                <w:sz w:val="21"/>
                <w:szCs w:val="21"/>
                <w:shd w:val="clear" w:color="auto" w:fill="FFFFFF"/>
              </w:rPr>
              <w:t>-</w:t>
            </w:r>
            <w:r w:rsidRPr="00B942C0">
              <w:rPr>
                <w:rFonts w:ascii="Times New Roman" w:hAnsi="Times New Roman" w:cs="Times New Roman"/>
                <w:color w:val="262626"/>
                <w:sz w:val="21"/>
                <w:szCs w:val="21"/>
                <w:shd w:val="clear" w:color="auto" w:fill="FFFFFF"/>
              </w:rPr>
              <w:t xml:space="preserve">parenchymal </w:t>
            </w:r>
            <w:r w:rsidR="00B942C0">
              <w:rPr>
                <w:rFonts w:ascii="Times New Roman" w:hAnsi="Times New Roman" w:cs="Times New Roman"/>
                <w:color w:val="262626"/>
                <w:sz w:val="21"/>
                <w:szCs w:val="21"/>
                <w:shd w:val="clear" w:color="auto" w:fill="FFFFFF"/>
              </w:rPr>
              <w:t>hge</w:t>
            </w:r>
            <w:r w:rsidRPr="00B942C0">
              <w:rPr>
                <w:rFonts w:ascii="Times New Roman" w:hAnsi="Times New Roman" w:cs="Times New Roman"/>
                <w:color w:val="262626"/>
                <w:sz w:val="21"/>
                <w:szCs w:val="21"/>
                <w:shd w:val="clear" w:color="auto" w:fill="FFFFFF"/>
              </w:rPr>
              <w:t xml:space="preserve"> and subarachnoid </w:t>
            </w:r>
            <w:r w:rsidR="00B942C0">
              <w:rPr>
                <w:rFonts w:ascii="Times New Roman" w:hAnsi="Times New Roman" w:cs="Times New Roman"/>
                <w:color w:val="262626"/>
                <w:sz w:val="21"/>
                <w:szCs w:val="21"/>
                <w:shd w:val="clear" w:color="auto" w:fill="FFFFFF"/>
              </w:rPr>
              <w:t>hge</w:t>
            </w:r>
            <w:r w:rsidRPr="00B942C0">
              <w:rPr>
                <w:rFonts w:ascii="Times New Roman" w:hAnsi="Times New Roman" w:cs="Times New Roman"/>
                <w:color w:val="262626"/>
                <w:sz w:val="21"/>
                <w:szCs w:val="21"/>
                <w:shd w:val="clear" w:color="auto" w:fill="FFFFFF"/>
              </w:rPr>
              <w:t>.</w:t>
            </w:r>
          </w:p>
          <w:p w:rsidR="00F03892" w:rsidRPr="00B942C0" w:rsidRDefault="00F03892" w:rsidP="00B942C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  <w:color w:val="262626"/>
                <w:sz w:val="21"/>
                <w:szCs w:val="21"/>
                <w:shd w:val="clear" w:color="auto" w:fill="FFFFFF"/>
              </w:rPr>
              <w:t xml:space="preserve">MRA – focal vasoconstriction </w:t>
            </w:r>
          </w:p>
        </w:tc>
        <w:tc>
          <w:tcPr>
            <w:tcW w:w="1460" w:type="dxa"/>
          </w:tcPr>
          <w:p w:rsidR="00F03892" w:rsidRPr="00B942C0" w:rsidRDefault="00B942C0" w:rsidP="00B942C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="00F03892" w:rsidRPr="00B942C0">
              <w:rPr>
                <w:rFonts w:ascii="Times New Roman" w:hAnsi="Times New Roman" w:cs="Times New Roman"/>
              </w:rPr>
              <w:t>ilateral occipital-parietal hyper-intense lesions with h</w:t>
            </w:r>
            <w:r>
              <w:rPr>
                <w:rFonts w:ascii="Times New Roman" w:hAnsi="Times New Roman" w:cs="Times New Roman"/>
              </w:rPr>
              <w:t>a</w:t>
            </w:r>
            <w:r w:rsidR="00F03892" w:rsidRPr="00B942C0">
              <w:rPr>
                <w:rFonts w:ascii="Times New Roman" w:hAnsi="Times New Roman" w:cs="Times New Roman"/>
              </w:rPr>
              <w:t xml:space="preserve">emorrhagic  change </w:t>
            </w:r>
          </w:p>
        </w:tc>
        <w:tc>
          <w:tcPr>
            <w:tcW w:w="1425" w:type="dxa"/>
          </w:tcPr>
          <w:p w:rsidR="00F03892" w:rsidRPr="00B942C0" w:rsidRDefault="00F03892" w:rsidP="00B942C0">
            <w:pPr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>Vasogenic edema with</w:t>
            </w:r>
          </w:p>
          <w:p w:rsidR="00F03892" w:rsidRPr="00B942C0" w:rsidRDefault="00F03892" w:rsidP="00D22D0C">
            <w:pPr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 xml:space="preserve">Right occipital and parietal </w:t>
            </w:r>
            <w:r w:rsidR="00B942C0">
              <w:rPr>
                <w:rFonts w:ascii="Times New Roman" w:hAnsi="Times New Roman" w:cs="Times New Roman"/>
              </w:rPr>
              <w:t>hge</w:t>
            </w:r>
            <w:r w:rsidRPr="00B942C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27" w:type="dxa"/>
          </w:tcPr>
          <w:p w:rsidR="00F03892" w:rsidRPr="00B942C0" w:rsidRDefault="00F03892" w:rsidP="00D22D0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 xml:space="preserve">Extensive edema with focal subarachnoid </w:t>
            </w:r>
            <w:r w:rsidR="00B942C0">
              <w:rPr>
                <w:rFonts w:ascii="Times New Roman" w:hAnsi="Times New Roman" w:cs="Times New Roman"/>
              </w:rPr>
              <w:t>hge</w:t>
            </w:r>
            <w:r w:rsidRPr="00B942C0">
              <w:rPr>
                <w:rFonts w:ascii="Times New Roman" w:hAnsi="Times New Roman" w:cs="Times New Roman"/>
              </w:rPr>
              <w:t xml:space="preserve"> at the left parietal region</w:t>
            </w:r>
          </w:p>
        </w:tc>
        <w:tc>
          <w:tcPr>
            <w:tcW w:w="1259" w:type="dxa"/>
          </w:tcPr>
          <w:p w:rsidR="00F03892" w:rsidRPr="00B942C0" w:rsidRDefault="00F03892" w:rsidP="00B942C0">
            <w:pPr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>Case 1 - Multiple areas edema , occipital hge</w:t>
            </w:r>
          </w:p>
          <w:p w:rsidR="00F03892" w:rsidRPr="00B942C0" w:rsidRDefault="00F03892" w:rsidP="00B942C0">
            <w:pPr>
              <w:rPr>
                <w:rFonts w:ascii="Times New Roman" w:hAnsi="Times New Roman" w:cs="Times New Roman"/>
              </w:rPr>
            </w:pPr>
          </w:p>
          <w:p w:rsidR="00F03892" w:rsidRPr="00B942C0" w:rsidRDefault="00F03892" w:rsidP="00B942C0">
            <w:pPr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>Case 2 – multifocal edema with left occipital hge</w:t>
            </w:r>
          </w:p>
          <w:p w:rsidR="00F03892" w:rsidRPr="00B942C0" w:rsidRDefault="00F03892" w:rsidP="00B942C0">
            <w:pPr>
              <w:rPr>
                <w:rFonts w:ascii="Times New Roman" w:hAnsi="Times New Roman" w:cs="Times New Roman"/>
              </w:rPr>
            </w:pPr>
          </w:p>
        </w:tc>
      </w:tr>
      <w:tr w:rsidR="00F03892" w:rsidRPr="00B942C0" w:rsidTr="00B942C0">
        <w:trPr>
          <w:trHeight w:val="1589"/>
        </w:trPr>
        <w:tc>
          <w:tcPr>
            <w:tcW w:w="1362" w:type="dxa"/>
          </w:tcPr>
          <w:p w:rsidR="00F03892" w:rsidRPr="00B942C0" w:rsidRDefault="00F03892" w:rsidP="00B942C0">
            <w:pPr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>Systemic involvement</w:t>
            </w:r>
          </w:p>
        </w:tc>
        <w:tc>
          <w:tcPr>
            <w:tcW w:w="1437" w:type="dxa"/>
          </w:tcPr>
          <w:p w:rsidR="00F03892" w:rsidRPr="00B942C0" w:rsidRDefault="00F03892" w:rsidP="00B942C0">
            <w:pPr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>Class 4 lupus nephritis , low complements , positive DNA</w:t>
            </w:r>
          </w:p>
        </w:tc>
        <w:tc>
          <w:tcPr>
            <w:tcW w:w="1503" w:type="dxa"/>
          </w:tcPr>
          <w:p w:rsidR="00F03892" w:rsidRPr="00B942C0" w:rsidRDefault="00F03892" w:rsidP="00B942C0">
            <w:pPr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 xml:space="preserve">Hematological , </w:t>
            </w:r>
          </w:p>
          <w:p w:rsidR="00F03892" w:rsidRPr="00B942C0" w:rsidRDefault="00F03892" w:rsidP="00B942C0">
            <w:pPr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 xml:space="preserve">Nephritis </w:t>
            </w:r>
          </w:p>
        </w:tc>
        <w:tc>
          <w:tcPr>
            <w:tcW w:w="1825" w:type="dxa"/>
          </w:tcPr>
          <w:p w:rsidR="00F03892" w:rsidRPr="00B942C0" w:rsidRDefault="00F03892" w:rsidP="00B942C0">
            <w:pPr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 xml:space="preserve">Cutaneous , arthritis , serositis , class IV lupus nephritis ,  low complements </w:t>
            </w:r>
          </w:p>
        </w:tc>
        <w:tc>
          <w:tcPr>
            <w:tcW w:w="1460" w:type="dxa"/>
          </w:tcPr>
          <w:p w:rsidR="00F03892" w:rsidRPr="00B942C0" w:rsidRDefault="00F03892" w:rsidP="00B942C0">
            <w:pPr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>Arthritis , peritonitis , pancreatitis ,</w:t>
            </w:r>
          </w:p>
          <w:p w:rsidR="00F03892" w:rsidRPr="00B942C0" w:rsidRDefault="00F03892" w:rsidP="00B942C0">
            <w:pPr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 xml:space="preserve">Nephritis  </w:t>
            </w:r>
          </w:p>
        </w:tc>
        <w:tc>
          <w:tcPr>
            <w:tcW w:w="1425" w:type="dxa"/>
          </w:tcPr>
          <w:p w:rsidR="00F03892" w:rsidRPr="00B942C0" w:rsidRDefault="00F03892" w:rsidP="00B942C0">
            <w:pPr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>Lupus nephritis</w:t>
            </w:r>
          </w:p>
          <w:p w:rsidR="00F03892" w:rsidRPr="00B942C0" w:rsidRDefault="00F03892" w:rsidP="00B942C0">
            <w:pPr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 xml:space="preserve">Arthritis </w:t>
            </w:r>
          </w:p>
          <w:p w:rsidR="00F03892" w:rsidRPr="00B942C0" w:rsidRDefault="00F03892" w:rsidP="00B942C0">
            <w:pPr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 xml:space="preserve">Rash </w:t>
            </w:r>
          </w:p>
          <w:p w:rsidR="00F03892" w:rsidRPr="00B942C0" w:rsidRDefault="00F03892" w:rsidP="00B942C0">
            <w:pPr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>lymphopenia</w:t>
            </w:r>
          </w:p>
        </w:tc>
        <w:tc>
          <w:tcPr>
            <w:tcW w:w="1427" w:type="dxa"/>
          </w:tcPr>
          <w:p w:rsidR="00F03892" w:rsidRPr="00B942C0" w:rsidRDefault="00F03892" w:rsidP="00B942C0">
            <w:pPr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 xml:space="preserve">Lupus nephritis </w:t>
            </w:r>
          </w:p>
          <w:p w:rsidR="00F03892" w:rsidRPr="00B942C0" w:rsidRDefault="00F03892" w:rsidP="00B942C0">
            <w:pPr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 xml:space="preserve">Class 4 with crescents </w:t>
            </w:r>
          </w:p>
        </w:tc>
        <w:tc>
          <w:tcPr>
            <w:tcW w:w="1259" w:type="dxa"/>
          </w:tcPr>
          <w:p w:rsidR="00F03892" w:rsidRPr="00B942C0" w:rsidRDefault="00F03892" w:rsidP="00B942C0">
            <w:pPr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>Case 1 – nephritis , serositis , myocarditis</w:t>
            </w:r>
          </w:p>
          <w:p w:rsidR="00F03892" w:rsidRPr="00B942C0" w:rsidRDefault="00F03892" w:rsidP="00B942C0">
            <w:pPr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 xml:space="preserve">Case 2 -  nephritis , serositis </w:t>
            </w:r>
          </w:p>
        </w:tc>
      </w:tr>
      <w:tr w:rsidR="00F03892" w:rsidRPr="00B942C0" w:rsidTr="00B942C0">
        <w:trPr>
          <w:trHeight w:val="1283"/>
        </w:trPr>
        <w:tc>
          <w:tcPr>
            <w:tcW w:w="1362" w:type="dxa"/>
          </w:tcPr>
          <w:p w:rsidR="00F03892" w:rsidRPr="00B942C0" w:rsidRDefault="00F03892" w:rsidP="00B942C0">
            <w:pPr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>Prognosis</w:t>
            </w:r>
          </w:p>
        </w:tc>
        <w:tc>
          <w:tcPr>
            <w:tcW w:w="1437" w:type="dxa"/>
          </w:tcPr>
          <w:p w:rsidR="00F03892" w:rsidRPr="00B942C0" w:rsidRDefault="00F03892" w:rsidP="00B942C0">
            <w:pPr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>F</w:t>
            </w:r>
            <w:r w:rsidR="00B942C0">
              <w:rPr>
                <w:rFonts w:ascii="Times New Roman" w:hAnsi="Times New Roman" w:cs="Times New Roman"/>
              </w:rPr>
              <w:t>a</w:t>
            </w:r>
            <w:r w:rsidRPr="00B942C0">
              <w:rPr>
                <w:rFonts w:ascii="Times New Roman" w:hAnsi="Times New Roman" w:cs="Times New Roman"/>
              </w:rPr>
              <w:t>vourable outcome</w:t>
            </w:r>
          </w:p>
        </w:tc>
        <w:tc>
          <w:tcPr>
            <w:tcW w:w="1503" w:type="dxa"/>
          </w:tcPr>
          <w:p w:rsidR="00F03892" w:rsidRPr="00B942C0" w:rsidRDefault="00F03892" w:rsidP="00B942C0">
            <w:pPr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 xml:space="preserve">Favourable outcome </w:t>
            </w:r>
          </w:p>
        </w:tc>
        <w:tc>
          <w:tcPr>
            <w:tcW w:w="1825" w:type="dxa"/>
          </w:tcPr>
          <w:p w:rsidR="00F03892" w:rsidRPr="00B942C0" w:rsidRDefault="00F03892" w:rsidP="00B942C0">
            <w:pPr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 xml:space="preserve">Patient died due to hemorrhagic complications </w:t>
            </w:r>
          </w:p>
        </w:tc>
        <w:tc>
          <w:tcPr>
            <w:tcW w:w="1460" w:type="dxa"/>
          </w:tcPr>
          <w:p w:rsidR="00F03892" w:rsidRPr="00B942C0" w:rsidRDefault="00F03892" w:rsidP="00B942C0">
            <w:pPr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 xml:space="preserve">Partial recovery of vision and MRI  features </w:t>
            </w:r>
          </w:p>
        </w:tc>
        <w:tc>
          <w:tcPr>
            <w:tcW w:w="1425" w:type="dxa"/>
          </w:tcPr>
          <w:p w:rsidR="00F03892" w:rsidRPr="00B942C0" w:rsidRDefault="00F03892" w:rsidP="00B942C0">
            <w:pPr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 xml:space="preserve">Complete recovery </w:t>
            </w:r>
          </w:p>
        </w:tc>
        <w:tc>
          <w:tcPr>
            <w:tcW w:w="1427" w:type="dxa"/>
          </w:tcPr>
          <w:p w:rsidR="00F03892" w:rsidRPr="00B942C0" w:rsidRDefault="00F03892" w:rsidP="00B942C0">
            <w:pPr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 xml:space="preserve">Clinical recovery at 7 days </w:t>
            </w:r>
          </w:p>
        </w:tc>
        <w:tc>
          <w:tcPr>
            <w:tcW w:w="1259" w:type="dxa"/>
          </w:tcPr>
          <w:p w:rsidR="00F03892" w:rsidRPr="00B942C0" w:rsidRDefault="00F03892" w:rsidP="00B942C0">
            <w:pPr>
              <w:rPr>
                <w:rFonts w:ascii="Times New Roman" w:hAnsi="Times New Roman" w:cs="Times New Roman"/>
              </w:rPr>
            </w:pPr>
            <w:r w:rsidRPr="00B942C0">
              <w:rPr>
                <w:rFonts w:ascii="Times New Roman" w:hAnsi="Times New Roman" w:cs="Times New Roman"/>
              </w:rPr>
              <w:t xml:space="preserve">Both had complete recovery at 1 year </w:t>
            </w:r>
          </w:p>
        </w:tc>
      </w:tr>
    </w:tbl>
    <w:p w:rsidR="00F03892" w:rsidRPr="00B942C0" w:rsidRDefault="00B942C0" w:rsidP="00F03892">
      <w:pPr>
        <w:rPr>
          <w:rFonts w:ascii="Times New Roman" w:hAnsi="Times New Roman" w:cs="Times New Roman"/>
          <w:b/>
          <w:bCs/>
        </w:rPr>
      </w:pPr>
      <w:r w:rsidRPr="00B942C0">
        <w:rPr>
          <w:rFonts w:ascii="Times New Roman" w:hAnsi="Times New Roman" w:cs="Times New Roman"/>
          <w:b/>
          <w:bCs/>
        </w:rPr>
        <w:t xml:space="preserve">Table 2 shows comparison of different case series of haemorrhagic transformation in PRES </w:t>
      </w:r>
    </w:p>
    <w:p w:rsidR="00B942C0" w:rsidRDefault="00B942C0" w:rsidP="00F03892">
      <w:pPr>
        <w:rPr>
          <w:rFonts w:ascii="Times New Roman" w:hAnsi="Times New Roman" w:cs="Times New Roman"/>
        </w:rPr>
      </w:pPr>
    </w:p>
    <w:p w:rsidR="00B942C0" w:rsidRPr="00B942C0" w:rsidRDefault="00D22D0C" w:rsidP="00F038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B942C0">
        <w:rPr>
          <w:rFonts w:ascii="Times New Roman" w:hAnsi="Times New Roman" w:cs="Times New Roman"/>
        </w:rPr>
        <w:t>Abbre</w:t>
      </w:r>
      <w:r>
        <w:rPr>
          <w:rFonts w:ascii="Times New Roman" w:hAnsi="Times New Roman" w:cs="Times New Roman"/>
        </w:rPr>
        <w:t>viation – Haemorrhage –</w:t>
      </w:r>
      <w:proofErr w:type="gramStart"/>
      <w:r>
        <w:rPr>
          <w:rFonts w:ascii="Times New Roman" w:hAnsi="Times New Roman" w:cs="Times New Roman"/>
        </w:rPr>
        <w:t>Hge )</w:t>
      </w:r>
      <w:proofErr w:type="gramEnd"/>
    </w:p>
    <w:p w:rsidR="00F03892" w:rsidRDefault="00F03892"/>
    <w:sectPr w:rsidR="00F0389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19EE" w:rsidRDefault="000819EE" w:rsidP="0051188C">
      <w:pPr>
        <w:spacing w:after="0" w:line="240" w:lineRule="auto"/>
      </w:pPr>
      <w:r>
        <w:separator/>
      </w:r>
    </w:p>
  </w:endnote>
  <w:endnote w:type="continuationSeparator" w:id="0">
    <w:p w:rsidR="000819EE" w:rsidRDefault="000819EE" w:rsidP="00511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19EE" w:rsidRDefault="000819EE" w:rsidP="0051188C">
      <w:pPr>
        <w:spacing w:after="0" w:line="240" w:lineRule="auto"/>
      </w:pPr>
      <w:r>
        <w:separator/>
      </w:r>
    </w:p>
  </w:footnote>
  <w:footnote w:type="continuationSeparator" w:id="0">
    <w:p w:rsidR="000819EE" w:rsidRDefault="000819EE" w:rsidP="005118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2C0" w:rsidRPr="00B942C0" w:rsidRDefault="00B942C0">
    <w:pPr>
      <w:pStyle w:val="Head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</w:t>
    </w:r>
    <w:r w:rsidRPr="00B942C0">
      <w:rPr>
        <w:rFonts w:ascii="Times New Roman" w:hAnsi="Times New Roman" w:cs="Times New Roman"/>
        <w:sz w:val="28"/>
        <w:szCs w:val="28"/>
      </w:rPr>
      <w:t xml:space="preserve">TABLES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892"/>
    <w:rsid w:val="000819EE"/>
    <w:rsid w:val="000857C3"/>
    <w:rsid w:val="0051188C"/>
    <w:rsid w:val="00B942C0"/>
    <w:rsid w:val="00BF0C90"/>
    <w:rsid w:val="00C14B28"/>
    <w:rsid w:val="00D22D0C"/>
    <w:rsid w:val="00F03892"/>
    <w:rsid w:val="00F74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E880EC"/>
  <w15:chartTrackingRefBased/>
  <w15:docId w15:val="{260ABAC2-6026-4412-8D0E-1A691F3E1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3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118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188C"/>
  </w:style>
  <w:style w:type="paragraph" w:styleId="Footer">
    <w:name w:val="footer"/>
    <w:basedOn w:val="Normal"/>
    <w:link w:val="FooterChar"/>
    <w:uiPriority w:val="99"/>
    <w:unhideWhenUsed/>
    <w:rsid w:val="005118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188C"/>
  </w:style>
  <w:style w:type="table" w:styleId="TableGridLight">
    <w:name w:val="Grid Table Light"/>
    <w:basedOn w:val="TableNormal"/>
    <w:uiPriority w:val="40"/>
    <w:rsid w:val="00B942C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2026-03-10T15:50:00Z</dcterms:created>
  <dcterms:modified xsi:type="dcterms:W3CDTF">2026-03-13T08:06:00Z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984ea6ea-fe23-4580-8840-8e522fb929c3</vt:lpwstr>
  </property>
</Properties>
</file>