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A094" w14:textId="77777777" w:rsidR="00F43397" w:rsidRPr="00F43397" w:rsidRDefault="00F43397" w:rsidP="00F43397">
      <w:pPr>
        <w:rPr>
          <w:b/>
          <w:bCs/>
          <w:lang w:val="en-GB"/>
        </w:rPr>
      </w:pPr>
      <w:r w:rsidRPr="00F43397">
        <w:rPr>
          <w:b/>
          <w:bCs/>
          <w:lang w:val="en-GB"/>
        </w:rPr>
        <w:t>Supplementary Figure and Table legends</w:t>
      </w:r>
    </w:p>
    <w:p w14:paraId="241D20B7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Figure S1.</w:t>
      </w:r>
      <w:r w:rsidRPr="00F43397">
        <w:rPr>
          <w:lang w:val="en-GB"/>
        </w:rPr>
        <w:t xml:space="preserve"> Histograms showing the distributions of heterozygosity (%) and missing data (NoCall rate, %) across markers and genotypes before and after quality filtering. Panels (A-D) show marker-level distributions: heterozygosity before filtering (A) and after filtering (B), and NoCall rate before filtering (C) and after filtering (D). Panels (E-H) show genotype-level distributions: heterozygosity before filtering (E) and after filtering (F), and NoCall rate before filtering (G) and after filtering (H). Dotted blue lines indicate the applied filtering threshold of 7%. Filtering removed markers and genotypes exceeding this threshold, thereby improving data quality for downstream analyses.</w:t>
      </w:r>
    </w:p>
    <w:p w14:paraId="0C7CC2E2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Figure S2.</w:t>
      </w:r>
      <w:r w:rsidRPr="00F43397">
        <w:rPr>
          <w:lang w:val="en-GB"/>
        </w:rPr>
        <w:t xml:space="preserve"> Principal coordinate analysis (PCoA) of genotype data used to identify potential outlier lines within the nested association mapping (NAM) population. PCoA plots are shown separately for each NAM family: (A) NAM.144, (B) NAM.212, and (C) NAM.233. The corresponding parental lines are labelled.</w:t>
      </w:r>
    </w:p>
    <w:p w14:paraId="294D06A2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Figure S3.</w:t>
      </w:r>
      <w:r w:rsidRPr="00F43397">
        <w:rPr>
          <w:lang w:val="en-GB"/>
        </w:rPr>
        <w:t xml:space="preserve"> Linkage disequilibrium (LD) between SNP markers on each chromosome prior to marker repositioning. LD was calculated as pairwise correlation (</w:t>
      </w:r>
      <w:r w:rsidRPr="00F43397">
        <w:rPr>
          <w:i/>
          <w:iCs/>
          <w:lang w:val="en-GB"/>
        </w:rPr>
        <w:t>R²</w:t>
      </w:r>
      <w:r w:rsidRPr="00F43397">
        <w:rPr>
          <w:lang w:val="en-GB"/>
        </w:rPr>
        <w:t>) among 5,327 previously anchored markers within each chromosome.</w:t>
      </w:r>
    </w:p>
    <w:p w14:paraId="0B0446FA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Figure S4.</w:t>
      </w:r>
      <w:r w:rsidRPr="00F43397">
        <w:rPr>
          <w:lang w:val="en-GB"/>
        </w:rPr>
        <w:t xml:space="preserve"> Linkage disequilibrium (LD) between SNP markers on each chromosome following marker repositioning. LD was calculated as pairwise correlation (</w:t>
      </w:r>
      <w:r w:rsidRPr="00F43397">
        <w:rPr>
          <w:i/>
          <w:iCs/>
          <w:lang w:val="en-GB"/>
        </w:rPr>
        <w:t>R²</w:t>
      </w:r>
      <w:r w:rsidRPr="00F43397">
        <w:rPr>
          <w:lang w:val="en-GB"/>
        </w:rPr>
        <w:t>) among 7,032 anchored markers within each chromosome after repositioning.</w:t>
      </w:r>
    </w:p>
    <w:p w14:paraId="3E239B4B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Figure S5.</w:t>
      </w:r>
      <w:r w:rsidRPr="00F43397">
        <w:rPr>
          <w:lang w:val="en-GB"/>
        </w:rPr>
        <w:t xml:space="preserve"> Model comparison for GWAS of necrosis development (AUDPC_N_HT74) using alternative fixed-effect covariates. For all GWAS runs, kinship correction was applied using a marker set thinned by LD-based skimming at |</w:t>
      </w:r>
      <w:r w:rsidRPr="00F43397">
        <w:rPr>
          <w:i/>
          <w:iCs/>
          <w:lang w:val="en-GB"/>
        </w:rPr>
        <w:t>r</w:t>
      </w:r>
      <w:r w:rsidRPr="00F43397">
        <w:rPr>
          <w:lang w:val="en-GB"/>
        </w:rPr>
        <w:t>| = 1.0. Models were tested with different combinations of fixed covariates: (A) no fixed covariates, (B) family, (C) AABB donor, (D) 10 principal components (10x PC), and (E) family, AABB donor, and 10x PC. For each covariate combination, results are shown as: (i) Manhattan plots, (ii) quantile-quantile (QQ) plots with the corresponding genomic inflation factor (</w:t>
      </w:r>
      <w:r w:rsidRPr="00F43397">
        <w:rPr>
          <w:i/>
          <w:iCs/>
          <w:lang w:val="en-GB"/>
        </w:rPr>
        <w:t>λ</w:t>
      </w:r>
      <w:r w:rsidRPr="00F43397">
        <w:rPr>
          <w:lang w:val="en-GB"/>
        </w:rPr>
        <w:t xml:space="preserve">), and (iii) histograms of GWAS </w:t>
      </w:r>
      <w:r w:rsidRPr="00F43397">
        <w:rPr>
          <w:i/>
          <w:iCs/>
          <w:lang w:val="en-GB"/>
        </w:rPr>
        <w:t>p</w:t>
      </w:r>
      <w:r w:rsidRPr="00F43397">
        <w:rPr>
          <w:lang w:val="en-GB"/>
        </w:rPr>
        <w:t>-value distributions.</w:t>
      </w:r>
    </w:p>
    <w:p w14:paraId="7709681B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Figure S6.</w:t>
      </w:r>
      <w:r w:rsidRPr="00F43397">
        <w:rPr>
          <w:lang w:val="en-GB"/>
        </w:rPr>
        <w:t xml:space="preserve"> Number of SNPs differentiating each pair of SHW founders (SHW.035, SHW.054, and SHW.075) across the A, B, and D subgenomes. SNPs were classified as differentiating when the two founders carried different allele calls. Bars show the total number of differentiating SNPs per subgenome for each pairwise comparison.</w:t>
      </w:r>
    </w:p>
    <w:p w14:paraId="3EEBC82C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Figure S7.</w:t>
      </w:r>
      <w:r w:rsidRPr="00F43397">
        <w:rPr>
          <w:lang w:val="en-GB"/>
        </w:rPr>
        <w:t xml:space="preserve"> Pairwise linkage disequilibrium (</w:t>
      </w:r>
      <w:r w:rsidRPr="00F43397">
        <w:rPr>
          <w:i/>
          <w:iCs/>
          <w:lang w:val="en-GB"/>
        </w:rPr>
        <w:t>R²</w:t>
      </w:r>
      <w:r w:rsidRPr="00F43397">
        <w:rPr>
          <w:lang w:val="en-GB"/>
        </w:rPr>
        <w:t xml:space="preserve">) between SNP markers as a function of physical distance (Mb), used to estimate LD decay. LD declined to a threshold of </w:t>
      </w:r>
      <w:r w:rsidRPr="00F43397">
        <w:rPr>
          <w:i/>
          <w:iCs/>
          <w:lang w:val="en-GB"/>
        </w:rPr>
        <w:t>R²</w:t>
      </w:r>
      <w:r w:rsidRPr="00F43397">
        <w:rPr>
          <w:lang w:val="en-GB"/>
        </w:rPr>
        <w:t xml:space="preserve"> = 0.2 at approximately 50 Mb.</w:t>
      </w:r>
    </w:p>
    <w:p w14:paraId="766B1D44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lastRenderedPageBreak/>
        <w:t>Supplementary Figure S8.</w:t>
      </w:r>
      <w:r w:rsidRPr="00F43397">
        <w:rPr>
          <w:lang w:val="en-GB"/>
        </w:rPr>
        <w:t xml:space="preserve"> Genome-wide association mapping for AUDPC_N across all isolates in the wheat NAM population. Manhattan plots (panels Ai-Ei, left) and the corresponding quantile-quantile (QQ) plots (panels Aii-Eii, right) show the results of genome-wide association studies (GWAS) for area under the disease progress curve for necrosis (AUDPC_N) in the NAM population following inoculation with five </w:t>
      </w:r>
      <w:r w:rsidRPr="00F43397">
        <w:rPr>
          <w:i/>
          <w:iCs/>
          <w:lang w:val="en-GB"/>
        </w:rPr>
        <w:t>Z. tritici</w:t>
      </w:r>
      <w:r w:rsidRPr="00F43397">
        <w:rPr>
          <w:lang w:val="en-GB"/>
        </w:rPr>
        <w:t xml:space="preserve"> isolates: (A) HT-18, (B) HT-44, (C) HT-53, (D) HT-74, and (E) HT-96. The dashed grey horizontal line indicates the genome-wide significance threshold determined by 1,000 permutations at </w:t>
      </w:r>
      <w:r w:rsidRPr="00F43397">
        <w:rPr>
          <w:i/>
          <w:iCs/>
          <w:lang w:val="en-GB"/>
        </w:rPr>
        <w:t xml:space="preserve">α </w:t>
      </w:r>
      <w:r w:rsidRPr="00F43397">
        <w:rPr>
          <w:lang w:val="en-GB"/>
        </w:rPr>
        <w:t xml:space="preserve">= 0.05 for each isolate, while the dotted yellow line denotes the false discovery rate (FDR) threshold at </w:t>
      </w:r>
      <w:r w:rsidRPr="00F43397">
        <w:rPr>
          <w:i/>
          <w:iCs/>
          <w:lang w:val="en-GB"/>
        </w:rPr>
        <w:t>q</w:t>
      </w:r>
      <w:r w:rsidRPr="00F43397">
        <w:rPr>
          <w:lang w:val="en-GB"/>
        </w:rPr>
        <w:t xml:space="preserve"> = 0.05.</w:t>
      </w:r>
    </w:p>
    <w:p w14:paraId="064EBF61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Figure S9.</w:t>
      </w:r>
      <w:r w:rsidRPr="00F43397">
        <w:rPr>
          <w:lang w:val="en-GB"/>
        </w:rPr>
        <w:t xml:space="preserve"> Genome-wide association mapping for AUDPC_P across all isolates in the wheat NAM population. Manhattan plots (panels Ai-Ei, left) and the corresponding quantile-quantile (QQ) plots (panels Aii-Eii, right) show the results of genome-wide association studies (GWAS) for area under the disease progress curve for pycnidia (AUDPC_P) in the NAM population following inoculation with five </w:t>
      </w:r>
      <w:r w:rsidRPr="00F43397">
        <w:rPr>
          <w:i/>
          <w:iCs/>
          <w:lang w:val="en-GB"/>
        </w:rPr>
        <w:t>Z. tritici</w:t>
      </w:r>
      <w:r w:rsidRPr="00F43397">
        <w:rPr>
          <w:lang w:val="en-GB"/>
        </w:rPr>
        <w:t xml:space="preserve"> isolates: (A) HT-18, (B) HT-44, (C) HT-53, (D) HT-74, and (E) HT-96. The dashed grey horizontal line indicates the genome-wide significance threshold determined by 1,000 permutations at </w:t>
      </w:r>
      <w:r w:rsidRPr="00F43397">
        <w:rPr>
          <w:i/>
          <w:iCs/>
          <w:lang w:val="en-GB"/>
        </w:rPr>
        <w:t>α</w:t>
      </w:r>
      <w:r w:rsidRPr="00F43397">
        <w:rPr>
          <w:lang w:val="en-GB"/>
        </w:rPr>
        <w:t xml:space="preserve"> = 0.05 for each isolate, while the dotted yellow line denotes the false discovery rate (FDR) threshold at </w:t>
      </w:r>
      <w:r w:rsidRPr="00F43397">
        <w:rPr>
          <w:i/>
          <w:iCs/>
          <w:lang w:val="en-GB"/>
        </w:rPr>
        <w:t>q</w:t>
      </w:r>
      <w:r w:rsidRPr="00F43397">
        <w:rPr>
          <w:lang w:val="en-GB"/>
        </w:rPr>
        <w:t xml:space="preserve"> = 0.05.</w:t>
      </w:r>
    </w:p>
    <w:p w14:paraId="1610A184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 xml:space="preserve">Supplementary Table S1. </w:t>
      </w:r>
      <w:r w:rsidRPr="00F43397">
        <w:rPr>
          <w:lang w:val="en-GB"/>
        </w:rPr>
        <w:t>List of all phenotyped NAM lines, including the synthetic hexaploid wheat (SHW) donor, tetraploid (AABB) donor, D-genome donor, and whether high-quality genotype data were available for each line.</w:t>
      </w:r>
    </w:p>
    <w:p w14:paraId="1710FE0D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Table S2.</w:t>
      </w:r>
      <w:r w:rsidRPr="00F43397">
        <w:rPr>
          <w:lang w:val="en-GB"/>
        </w:rPr>
        <w:t xml:space="preserve"> Physical map positions of 5,201 SNP markers retained for analysis after removal of markers showing perfect correlation (absolute Pearson’s </w:t>
      </w:r>
      <w:r w:rsidRPr="00F43397">
        <w:rPr>
          <w:i/>
          <w:iCs/>
          <w:lang w:val="en-GB"/>
        </w:rPr>
        <w:t>r</w:t>
      </w:r>
      <w:r w:rsidRPr="00F43397">
        <w:rPr>
          <w:lang w:val="en-GB"/>
        </w:rPr>
        <w:t xml:space="preserve"> = 1).</w:t>
      </w:r>
    </w:p>
    <w:p w14:paraId="01EEFBF0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Table S3.</w:t>
      </w:r>
      <w:r w:rsidRPr="00F43397">
        <w:rPr>
          <w:lang w:val="en-GB"/>
        </w:rPr>
        <w:t xml:space="preserve"> Genotype BLUEs and fixed-effect covariates used for GWAS.</w:t>
      </w:r>
    </w:p>
    <w:p w14:paraId="4843D70A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Table S4.</w:t>
      </w:r>
      <w:r w:rsidRPr="00F43397">
        <w:rPr>
          <w:lang w:val="en-GB"/>
        </w:rPr>
        <w:t xml:space="preserve"> Gene content of the </w:t>
      </w:r>
      <w:r w:rsidRPr="00F43397">
        <w:rPr>
          <w:i/>
          <w:iCs/>
          <w:lang w:val="en-GB"/>
        </w:rPr>
        <w:t>qSTB-3D.1</w:t>
      </w:r>
      <w:r w:rsidRPr="00F43397">
        <w:rPr>
          <w:lang w:val="en-GB"/>
        </w:rPr>
        <w:t xml:space="preserve"> interval based on the IWGSC RefSeq v.1.1 wheat genome annotation.</w:t>
      </w:r>
    </w:p>
    <w:p w14:paraId="6D9D84F5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Table S5.</w:t>
      </w:r>
      <w:r w:rsidRPr="00F43397">
        <w:rPr>
          <w:lang w:val="en-GB"/>
        </w:rPr>
        <w:t xml:space="preserve"> Gene content of the </w:t>
      </w:r>
      <w:r w:rsidRPr="00F43397">
        <w:rPr>
          <w:i/>
          <w:iCs/>
          <w:lang w:val="en-GB"/>
        </w:rPr>
        <w:t>qSTB-1B.1</w:t>
      </w:r>
      <w:r w:rsidRPr="00F43397">
        <w:rPr>
          <w:lang w:val="en-GB"/>
        </w:rPr>
        <w:t xml:space="preserve"> interval based on the IWGSC RefSeq v.1.1 wheat genome annotation.</w:t>
      </w:r>
    </w:p>
    <w:p w14:paraId="4F02922E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Table S6.</w:t>
      </w:r>
      <w:r w:rsidRPr="00F43397">
        <w:rPr>
          <w:lang w:val="en-GB"/>
        </w:rPr>
        <w:t xml:space="preserve"> Gene content of the </w:t>
      </w:r>
      <w:r w:rsidRPr="00F43397">
        <w:rPr>
          <w:i/>
          <w:iCs/>
          <w:lang w:val="en-GB"/>
        </w:rPr>
        <w:t>qSTB-6D.1</w:t>
      </w:r>
      <w:r w:rsidRPr="00F43397">
        <w:rPr>
          <w:lang w:val="en-GB"/>
        </w:rPr>
        <w:t xml:space="preserve"> interval based on the IWGSC RefSeq v.1.1 wheat genome annotation.</w:t>
      </w:r>
    </w:p>
    <w:p w14:paraId="30AECD32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Table S7.</w:t>
      </w:r>
      <w:r w:rsidRPr="00F43397">
        <w:rPr>
          <w:lang w:val="en-GB"/>
        </w:rPr>
        <w:t xml:space="preserve"> Gene content of the </w:t>
      </w:r>
      <w:r w:rsidRPr="00F43397">
        <w:rPr>
          <w:i/>
          <w:iCs/>
          <w:lang w:val="en-GB"/>
        </w:rPr>
        <w:t>qSTB-3A.1</w:t>
      </w:r>
      <w:r w:rsidRPr="00F43397">
        <w:rPr>
          <w:lang w:val="en-GB"/>
        </w:rPr>
        <w:t xml:space="preserve"> interval based on the IWGSC RefSeq v.1.1 wheat genome annotation.</w:t>
      </w:r>
    </w:p>
    <w:p w14:paraId="3D02D2E0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Table S8.</w:t>
      </w:r>
      <w:r w:rsidRPr="00F43397">
        <w:rPr>
          <w:lang w:val="en-GB"/>
        </w:rPr>
        <w:t xml:space="preserve"> Gene content of the </w:t>
      </w:r>
      <w:r w:rsidRPr="00F43397">
        <w:rPr>
          <w:i/>
          <w:iCs/>
          <w:lang w:val="en-GB"/>
        </w:rPr>
        <w:t>qSTB-2D.1</w:t>
      </w:r>
      <w:r w:rsidRPr="00F43397">
        <w:rPr>
          <w:lang w:val="en-GB"/>
        </w:rPr>
        <w:t xml:space="preserve"> interval based on the IWGSC RefSeq v.1.1 wheat genome annotation.</w:t>
      </w:r>
    </w:p>
    <w:p w14:paraId="3060C1CE" w14:textId="77777777" w:rsidR="00F43397" w:rsidRPr="00F43397" w:rsidRDefault="00F43397" w:rsidP="00F43397">
      <w:pPr>
        <w:rPr>
          <w:lang w:val="en-GB"/>
        </w:rPr>
      </w:pPr>
      <w:r w:rsidRPr="00F43397">
        <w:rPr>
          <w:b/>
          <w:bCs/>
          <w:lang w:val="en-GB"/>
        </w:rPr>
        <w:t>Supplementary Table S9.</w:t>
      </w:r>
      <w:r w:rsidRPr="00F43397">
        <w:rPr>
          <w:lang w:val="en-GB"/>
        </w:rPr>
        <w:t xml:space="preserve"> Gene content of the </w:t>
      </w:r>
      <w:r w:rsidRPr="00F43397">
        <w:rPr>
          <w:i/>
          <w:iCs/>
          <w:lang w:val="en-GB"/>
        </w:rPr>
        <w:t>qSTB-1B.2</w:t>
      </w:r>
      <w:r w:rsidRPr="00F43397">
        <w:rPr>
          <w:lang w:val="en-GB"/>
        </w:rPr>
        <w:t xml:space="preserve"> interval based on the IWGSC RefSeq v.1.1 wheat genome annotation.</w:t>
      </w:r>
    </w:p>
    <w:p w14:paraId="70A9AF65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97"/>
    <w:rsid w:val="005458E7"/>
    <w:rsid w:val="00767E38"/>
    <w:rsid w:val="00866F7D"/>
    <w:rsid w:val="00EE5CC4"/>
    <w:rsid w:val="00F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7299"/>
  <w15:chartTrackingRefBased/>
  <w15:docId w15:val="{97895641-7C81-4AA4-B8E5-5E2F6FD6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2026-05-06T12:49:00Z</dcterms:created>
  <dcterms:modified xsi:type="dcterms:W3CDTF">2026-05-06T12:49:00Z</dcterms:modified>
</cp:coreProperties>
</file>