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E589" w14:textId="77777777" w:rsidR="00317C49" w:rsidRPr="006F6F32" w:rsidRDefault="00317C49" w:rsidP="00317C49">
      <w:pPr>
        <w:pStyle w:val="Heading1"/>
      </w:pPr>
      <w:r w:rsidRPr="006F6F32">
        <w:t>Appendix</w:t>
      </w:r>
    </w:p>
    <w:p w14:paraId="4D328E6A" w14:textId="77777777" w:rsidR="00317C49" w:rsidRPr="006F6F32" w:rsidRDefault="00317C49" w:rsidP="00317C49">
      <w:pPr>
        <w:pStyle w:val="Heading2"/>
        <w:rPr>
          <w:color w:val="000000"/>
        </w:rPr>
      </w:pPr>
      <w:r w:rsidRPr="006F6F32">
        <w:rPr>
          <w:color w:val="000000"/>
        </w:rPr>
        <w:t>Table A1. Covariate Balance: Full versus Sub-component Analytic Sample</w:t>
      </w:r>
    </w:p>
    <w:p w14:paraId="278E5A97" w14:textId="77777777" w:rsidR="00317C49" w:rsidRPr="006F6F32" w:rsidRDefault="00317C49" w:rsidP="00317C49">
      <w:pPr>
        <w:spacing w:after="160" w:line="276" w:lineRule="auto"/>
        <w:jc w:val="both"/>
        <w:rPr>
          <w:color w:val="000000"/>
        </w:rPr>
      </w:pPr>
      <w:r w:rsidRPr="006F6F32">
        <w:rPr>
          <w:color w:val="000000"/>
        </w:rPr>
        <w:t xml:space="preserve">Under the zero-fill convention for </w:t>
      </w:r>
      <w:r>
        <w:rPr>
          <w:color w:val="000000"/>
        </w:rPr>
        <w:t>TAP</w:t>
      </w:r>
      <w:r w:rsidRPr="006F6F32">
        <w:rPr>
          <w:color w:val="000000"/>
        </w:rPr>
        <w:t xml:space="preserve"> (see Section 3.2), the full analytic sample (N = 713) and the sub-component analytic sample (N = 713) are identical by construction: all 31 countries × 23 years (2001–2023) contribute complete observations. The table below reports sample means and standard deviations for all key covariates in each sample. As both samples coincide, means and SDs are identical and mean-difference t-tests have p-values of 1.00, confirming the absence of any differential sample selection between the two estimation samples.</w:t>
      </w:r>
    </w:p>
    <w:p w14:paraId="1B3623C8" w14:textId="77777777" w:rsidR="00317C49" w:rsidRPr="006F6F32" w:rsidRDefault="00317C49" w:rsidP="00317C49">
      <w:pPr>
        <w:spacing w:before="200" w:after="60"/>
        <w:rPr>
          <w:b/>
          <w:bCs/>
          <w:color w:val="000000"/>
          <w:sz w:val="20"/>
          <w:szCs w:val="20"/>
        </w:rPr>
      </w:pPr>
      <w:r w:rsidRPr="006F6F32">
        <w:rPr>
          <w:b/>
          <w:bCs/>
          <w:color w:val="000000"/>
          <w:sz w:val="20"/>
          <w:szCs w:val="20"/>
        </w:rPr>
        <w:t>Table A1. Covariate Balance Check</w:t>
      </w:r>
    </w:p>
    <w:tbl>
      <w:tblPr>
        <w:tblW w:w="9200" w:type="dxa"/>
        <w:tblLayout w:type="fixed"/>
        <w:tblCellMar>
          <w:top w:w="60" w:type="dxa"/>
          <w:left w:w="100" w:type="dxa"/>
          <w:bottom w:w="60" w:type="dxa"/>
          <w:right w:w="100" w:type="dxa"/>
        </w:tblCellMar>
        <w:tblLook w:val="0000" w:firstRow="0" w:lastRow="0" w:firstColumn="0" w:lastColumn="0" w:noHBand="0" w:noVBand="0"/>
      </w:tblPr>
      <w:tblGrid>
        <w:gridCol w:w="1533"/>
        <w:gridCol w:w="1533"/>
        <w:gridCol w:w="1534"/>
        <w:gridCol w:w="1533"/>
        <w:gridCol w:w="1533"/>
        <w:gridCol w:w="1534"/>
      </w:tblGrid>
      <w:tr w:rsidR="00317C49" w:rsidRPr="006F6F32" w14:paraId="43E36428" w14:textId="77777777" w:rsidTr="008C407D">
        <w:trPr>
          <w:tblHeader/>
        </w:trPr>
        <w:tc>
          <w:tcPr>
            <w:tcW w:w="1533" w:type="dxa"/>
            <w:tcBorders>
              <w:top w:val="single" w:sz="4" w:space="0" w:color="999999"/>
              <w:left w:val="single" w:sz="4" w:space="0" w:color="999999"/>
              <w:bottom w:val="single" w:sz="4" w:space="0" w:color="999999"/>
              <w:right w:val="single" w:sz="4" w:space="0" w:color="999999"/>
            </w:tcBorders>
            <w:shd w:val="clear" w:color="auto" w:fill="1F3864"/>
            <w:vAlign w:val="center"/>
          </w:tcPr>
          <w:p w14:paraId="070769BB" w14:textId="77777777" w:rsidR="00317C49" w:rsidRPr="006F6F32" w:rsidRDefault="00317C49" w:rsidP="008C407D">
            <w:pPr>
              <w:spacing w:before="40" w:after="40"/>
              <w:jc w:val="center"/>
              <w:rPr>
                <w:b/>
                <w:bCs/>
                <w:color w:val="FFFFFF"/>
                <w:sz w:val="20"/>
                <w:szCs w:val="20"/>
              </w:rPr>
            </w:pPr>
            <w:r w:rsidRPr="006F6F32">
              <w:rPr>
                <w:b/>
                <w:bCs/>
                <w:color w:val="FFFFFF"/>
                <w:sz w:val="20"/>
                <w:szCs w:val="20"/>
              </w:rPr>
              <w:t>Variable</w:t>
            </w:r>
          </w:p>
        </w:tc>
        <w:tc>
          <w:tcPr>
            <w:tcW w:w="1533" w:type="dxa"/>
            <w:tcBorders>
              <w:top w:val="single" w:sz="4" w:space="0" w:color="999999"/>
              <w:left w:val="single" w:sz="4" w:space="0" w:color="999999"/>
              <w:bottom w:val="single" w:sz="4" w:space="0" w:color="999999"/>
              <w:right w:val="single" w:sz="4" w:space="0" w:color="999999"/>
            </w:tcBorders>
            <w:shd w:val="clear" w:color="auto" w:fill="1F3864"/>
            <w:vAlign w:val="center"/>
          </w:tcPr>
          <w:p w14:paraId="426FD5A5" w14:textId="77777777" w:rsidR="00317C49" w:rsidRPr="006F6F32" w:rsidRDefault="00317C49" w:rsidP="008C407D">
            <w:pPr>
              <w:spacing w:before="40" w:after="40"/>
              <w:jc w:val="center"/>
              <w:rPr>
                <w:b/>
                <w:bCs/>
                <w:color w:val="FFFFFF"/>
                <w:sz w:val="20"/>
                <w:szCs w:val="20"/>
              </w:rPr>
            </w:pPr>
            <w:r w:rsidRPr="006F6F32">
              <w:rPr>
                <w:b/>
                <w:bCs/>
                <w:color w:val="FFFFFF"/>
                <w:sz w:val="20"/>
                <w:szCs w:val="20"/>
              </w:rPr>
              <w:t>Full Mean</w:t>
            </w:r>
          </w:p>
        </w:tc>
        <w:tc>
          <w:tcPr>
            <w:tcW w:w="1534" w:type="dxa"/>
            <w:tcBorders>
              <w:top w:val="single" w:sz="4" w:space="0" w:color="999999"/>
              <w:left w:val="single" w:sz="4" w:space="0" w:color="999999"/>
              <w:bottom w:val="single" w:sz="4" w:space="0" w:color="999999"/>
              <w:right w:val="single" w:sz="4" w:space="0" w:color="999999"/>
            </w:tcBorders>
            <w:shd w:val="clear" w:color="auto" w:fill="1F3864"/>
            <w:vAlign w:val="center"/>
          </w:tcPr>
          <w:p w14:paraId="5763E2F2" w14:textId="77777777" w:rsidR="00317C49" w:rsidRPr="006F6F32" w:rsidRDefault="00317C49" w:rsidP="008C407D">
            <w:pPr>
              <w:spacing w:before="40" w:after="40"/>
              <w:jc w:val="center"/>
              <w:rPr>
                <w:b/>
                <w:bCs/>
                <w:color w:val="FFFFFF"/>
                <w:sz w:val="20"/>
                <w:szCs w:val="20"/>
              </w:rPr>
            </w:pPr>
            <w:r w:rsidRPr="006F6F32">
              <w:rPr>
                <w:b/>
                <w:bCs/>
                <w:color w:val="FFFFFF"/>
                <w:sz w:val="20"/>
                <w:szCs w:val="20"/>
              </w:rPr>
              <w:t>Full SD</w:t>
            </w:r>
          </w:p>
        </w:tc>
        <w:tc>
          <w:tcPr>
            <w:tcW w:w="1533" w:type="dxa"/>
            <w:tcBorders>
              <w:top w:val="single" w:sz="4" w:space="0" w:color="999999"/>
              <w:left w:val="single" w:sz="4" w:space="0" w:color="999999"/>
              <w:bottom w:val="single" w:sz="4" w:space="0" w:color="999999"/>
              <w:right w:val="single" w:sz="4" w:space="0" w:color="999999"/>
            </w:tcBorders>
            <w:shd w:val="clear" w:color="auto" w:fill="1F3864"/>
            <w:vAlign w:val="center"/>
          </w:tcPr>
          <w:p w14:paraId="2E064D1C" w14:textId="77777777" w:rsidR="00317C49" w:rsidRPr="006F6F32" w:rsidRDefault="00317C49" w:rsidP="008C407D">
            <w:pPr>
              <w:spacing w:before="40" w:after="40"/>
              <w:jc w:val="center"/>
              <w:rPr>
                <w:b/>
                <w:bCs/>
                <w:color w:val="FFFFFF"/>
                <w:sz w:val="20"/>
                <w:szCs w:val="20"/>
              </w:rPr>
            </w:pPr>
            <w:r w:rsidRPr="006F6F32">
              <w:rPr>
                <w:b/>
                <w:bCs/>
                <w:color w:val="FFFFFF"/>
                <w:sz w:val="20"/>
                <w:szCs w:val="20"/>
              </w:rPr>
              <w:t>Restr. Mean</w:t>
            </w:r>
          </w:p>
        </w:tc>
        <w:tc>
          <w:tcPr>
            <w:tcW w:w="1533" w:type="dxa"/>
            <w:tcBorders>
              <w:top w:val="single" w:sz="4" w:space="0" w:color="999999"/>
              <w:left w:val="single" w:sz="4" w:space="0" w:color="999999"/>
              <w:bottom w:val="single" w:sz="4" w:space="0" w:color="999999"/>
              <w:right w:val="single" w:sz="4" w:space="0" w:color="999999"/>
            </w:tcBorders>
            <w:shd w:val="clear" w:color="auto" w:fill="1F3864"/>
            <w:vAlign w:val="center"/>
          </w:tcPr>
          <w:p w14:paraId="42C8F3ED" w14:textId="77777777" w:rsidR="00317C49" w:rsidRPr="006F6F32" w:rsidRDefault="00317C49" w:rsidP="008C407D">
            <w:pPr>
              <w:spacing w:before="40" w:after="40"/>
              <w:jc w:val="center"/>
              <w:rPr>
                <w:b/>
                <w:bCs/>
                <w:color w:val="FFFFFF"/>
                <w:sz w:val="20"/>
                <w:szCs w:val="20"/>
              </w:rPr>
            </w:pPr>
            <w:r w:rsidRPr="006F6F32">
              <w:rPr>
                <w:b/>
                <w:bCs/>
                <w:color w:val="FFFFFF"/>
                <w:sz w:val="20"/>
                <w:szCs w:val="20"/>
              </w:rPr>
              <w:t>Restr. SD</w:t>
            </w:r>
          </w:p>
        </w:tc>
        <w:tc>
          <w:tcPr>
            <w:tcW w:w="1534" w:type="dxa"/>
            <w:tcBorders>
              <w:top w:val="single" w:sz="4" w:space="0" w:color="999999"/>
              <w:left w:val="single" w:sz="4" w:space="0" w:color="999999"/>
              <w:bottom w:val="single" w:sz="4" w:space="0" w:color="999999"/>
              <w:right w:val="single" w:sz="4" w:space="0" w:color="999999"/>
            </w:tcBorders>
            <w:shd w:val="clear" w:color="auto" w:fill="1F3864"/>
            <w:vAlign w:val="center"/>
          </w:tcPr>
          <w:p w14:paraId="3242B340" w14:textId="77777777" w:rsidR="00317C49" w:rsidRPr="006F6F32" w:rsidRDefault="00317C49" w:rsidP="008C407D">
            <w:pPr>
              <w:spacing w:before="40" w:after="40"/>
              <w:jc w:val="center"/>
              <w:rPr>
                <w:b/>
                <w:bCs/>
                <w:color w:val="FFFFFF"/>
                <w:sz w:val="20"/>
                <w:szCs w:val="20"/>
              </w:rPr>
            </w:pPr>
            <w:r w:rsidRPr="006F6F32">
              <w:rPr>
                <w:b/>
                <w:bCs/>
                <w:color w:val="FFFFFF"/>
                <w:sz w:val="20"/>
                <w:szCs w:val="20"/>
              </w:rPr>
              <w:t>Diff p</w:t>
            </w:r>
          </w:p>
        </w:tc>
      </w:tr>
      <w:tr w:rsidR="00317C49" w:rsidRPr="006F6F32" w14:paraId="5B963EF5" w14:textId="77777777" w:rsidTr="008C407D">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05863E6F" w14:textId="77777777" w:rsidR="00317C49" w:rsidRPr="006F6F32" w:rsidRDefault="00317C49" w:rsidP="008C407D">
            <w:pPr>
              <w:spacing w:before="40" w:after="40"/>
              <w:rPr>
                <w:color w:val="000000"/>
                <w:sz w:val="20"/>
                <w:szCs w:val="20"/>
              </w:rPr>
            </w:pPr>
            <w:r w:rsidRPr="006F6F32">
              <w:rPr>
                <w:color w:val="000000"/>
                <w:sz w:val="20"/>
                <w:szCs w:val="20"/>
              </w:rPr>
              <w:t>EFW (overall)</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0A15CB05" w14:textId="77777777" w:rsidR="00317C49" w:rsidRPr="006F6F32" w:rsidRDefault="00317C49" w:rsidP="008C407D">
            <w:pPr>
              <w:spacing w:before="40" w:after="40"/>
              <w:jc w:val="center"/>
              <w:rPr>
                <w:color w:val="000000"/>
                <w:sz w:val="20"/>
                <w:szCs w:val="20"/>
              </w:rPr>
            </w:pPr>
            <w:r w:rsidRPr="006F6F32">
              <w:rPr>
                <w:color w:val="000000"/>
                <w:sz w:val="20"/>
                <w:szCs w:val="20"/>
              </w:rPr>
              <w:t>7.623</w:t>
            </w:r>
          </w:p>
        </w:tc>
        <w:tc>
          <w:tcPr>
            <w:tcW w:w="1534"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011A361E" w14:textId="77777777" w:rsidR="00317C49" w:rsidRPr="006F6F32" w:rsidRDefault="00317C49" w:rsidP="008C407D">
            <w:pPr>
              <w:spacing w:before="40" w:after="40"/>
              <w:jc w:val="center"/>
              <w:rPr>
                <w:color w:val="000000"/>
                <w:sz w:val="20"/>
                <w:szCs w:val="20"/>
              </w:rPr>
            </w:pPr>
            <w:r w:rsidRPr="006F6F32">
              <w:rPr>
                <w:color w:val="000000"/>
                <w:sz w:val="20"/>
                <w:szCs w:val="20"/>
              </w:rPr>
              <w:t>0.424</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659AD252" w14:textId="77777777" w:rsidR="00317C49" w:rsidRPr="006F6F32" w:rsidRDefault="00317C49" w:rsidP="008C407D">
            <w:pPr>
              <w:spacing w:before="40" w:after="40"/>
              <w:jc w:val="center"/>
              <w:rPr>
                <w:color w:val="000000"/>
                <w:sz w:val="20"/>
                <w:szCs w:val="20"/>
              </w:rPr>
            </w:pPr>
            <w:r w:rsidRPr="006F6F32">
              <w:rPr>
                <w:color w:val="000000"/>
                <w:sz w:val="20"/>
                <w:szCs w:val="20"/>
              </w:rPr>
              <w:t>7.623</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7F83812F" w14:textId="77777777" w:rsidR="00317C49" w:rsidRPr="006F6F32" w:rsidRDefault="00317C49" w:rsidP="008C407D">
            <w:pPr>
              <w:spacing w:before="40" w:after="40"/>
              <w:jc w:val="center"/>
              <w:rPr>
                <w:color w:val="000000"/>
                <w:sz w:val="20"/>
                <w:szCs w:val="20"/>
              </w:rPr>
            </w:pPr>
            <w:r w:rsidRPr="006F6F32">
              <w:rPr>
                <w:color w:val="000000"/>
                <w:sz w:val="20"/>
                <w:szCs w:val="20"/>
              </w:rPr>
              <w:t>0.424</w:t>
            </w:r>
          </w:p>
        </w:tc>
        <w:tc>
          <w:tcPr>
            <w:tcW w:w="1534"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72FFD4DE" w14:textId="77777777" w:rsidR="00317C49" w:rsidRPr="006F6F32" w:rsidRDefault="00317C49" w:rsidP="008C407D">
            <w:pPr>
              <w:spacing w:before="40" w:after="40"/>
              <w:jc w:val="center"/>
              <w:rPr>
                <w:color w:val="000000"/>
                <w:sz w:val="20"/>
                <w:szCs w:val="20"/>
              </w:rPr>
            </w:pPr>
            <w:r w:rsidRPr="006F6F32">
              <w:rPr>
                <w:color w:val="000000"/>
                <w:sz w:val="20"/>
                <w:szCs w:val="20"/>
              </w:rPr>
              <w:t>1.00</w:t>
            </w:r>
          </w:p>
        </w:tc>
      </w:tr>
      <w:tr w:rsidR="00317C49" w:rsidRPr="006F6F32" w14:paraId="5F0B53CB" w14:textId="77777777" w:rsidTr="008C407D">
        <w:tc>
          <w:tcPr>
            <w:tcW w:w="1533" w:type="dxa"/>
            <w:tcBorders>
              <w:top w:val="single" w:sz="4" w:space="0" w:color="999999"/>
              <w:left w:val="single" w:sz="4" w:space="0" w:color="999999"/>
              <w:bottom w:val="single" w:sz="4" w:space="0" w:color="999999"/>
              <w:right w:val="single" w:sz="4" w:space="0" w:color="999999"/>
            </w:tcBorders>
            <w:vAlign w:val="center"/>
          </w:tcPr>
          <w:p w14:paraId="2DFA3604" w14:textId="77777777" w:rsidR="00317C49" w:rsidRPr="006F6F32" w:rsidRDefault="00317C49" w:rsidP="008C407D">
            <w:pPr>
              <w:spacing w:before="40" w:after="40"/>
              <w:rPr>
                <w:color w:val="000000"/>
                <w:sz w:val="20"/>
                <w:szCs w:val="20"/>
              </w:rPr>
            </w:pPr>
            <w:r w:rsidRPr="006F6F32">
              <w:rPr>
                <w:color w:val="000000"/>
                <w:sz w:val="20"/>
                <w:szCs w:val="20"/>
              </w:rPr>
              <w:t>Radical right vote share</w:t>
            </w:r>
          </w:p>
        </w:tc>
        <w:tc>
          <w:tcPr>
            <w:tcW w:w="1533" w:type="dxa"/>
            <w:tcBorders>
              <w:top w:val="single" w:sz="4" w:space="0" w:color="999999"/>
              <w:left w:val="single" w:sz="4" w:space="0" w:color="999999"/>
              <w:bottom w:val="single" w:sz="4" w:space="0" w:color="999999"/>
              <w:right w:val="single" w:sz="4" w:space="0" w:color="999999"/>
            </w:tcBorders>
            <w:vAlign w:val="center"/>
          </w:tcPr>
          <w:p w14:paraId="72F6F857" w14:textId="77777777" w:rsidR="00317C49" w:rsidRPr="006F6F32" w:rsidRDefault="00317C49" w:rsidP="008C407D">
            <w:pPr>
              <w:spacing w:before="40" w:after="40"/>
              <w:jc w:val="center"/>
              <w:rPr>
                <w:color w:val="000000"/>
                <w:sz w:val="20"/>
                <w:szCs w:val="20"/>
              </w:rPr>
            </w:pPr>
            <w:r w:rsidRPr="006F6F32">
              <w:rPr>
                <w:color w:val="000000"/>
                <w:sz w:val="20"/>
                <w:szCs w:val="20"/>
              </w:rPr>
              <w:t>11.673</w:t>
            </w:r>
          </w:p>
        </w:tc>
        <w:tc>
          <w:tcPr>
            <w:tcW w:w="1534" w:type="dxa"/>
            <w:tcBorders>
              <w:top w:val="single" w:sz="4" w:space="0" w:color="999999"/>
              <w:left w:val="single" w:sz="4" w:space="0" w:color="999999"/>
              <w:bottom w:val="single" w:sz="4" w:space="0" w:color="999999"/>
              <w:right w:val="single" w:sz="4" w:space="0" w:color="999999"/>
            </w:tcBorders>
            <w:vAlign w:val="center"/>
          </w:tcPr>
          <w:p w14:paraId="07A206FD" w14:textId="77777777" w:rsidR="00317C49" w:rsidRPr="006F6F32" w:rsidRDefault="00317C49" w:rsidP="008C407D">
            <w:pPr>
              <w:spacing w:before="40" w:after="40"/>
              <w:jc w:val="center"/>
              <w:rPr>
                <w:color w:val="000000"/>
                <w:sz w:val="20"/>
                <w:szCs w:val="20"/>
              </w:rPr>
            </w:pPr>
            <w:r w:rsidRPr="006F6F32">
              <w:rPr>
                <w:color w:val="000000"/>
                <w:sz w:val="20"/>
                <w:szCs w:val="20"/>
              </w:rPr>
              <w:t>13.446</w:t>
            </w:r>
          </w:p>
        </w:tc>
        <w:tc>
          <w:tcPr>
            <w:tcW w:w="1533" w:type="dxa"/>
            <w:tcBorders>
              <w:top w:val="single" w:sz="4" w:space="0" w:color="999999"/>
              <w:left w:val="single" w:sz="4" w:space="0" w:color="999999"/>
              <w:bottom w:val="single" w:sz="4" w:space="0" w:color="999999"/>
              <w:right w:val="single" w:sz="4" w:space="0" w:color="999999"/>
            </w:tcBorders>
            <w:vAlign w:val="center"/>
          </w:tcPr>
          <w:p w14:paraId="6DF2C23E" w14:textId="77777777" w:rsidR="00317C49" w:rsidRPr="006F6F32" w:rsidRDefault="00317C49" w:rsidP="008C407D">
            <w:pPr>
              <w:spacing w:before="40" w:after="40"/>
              <w:jc w:val="center"/>
              <w:rPr>
                <w:color w:val="000000"/>
                <w:sz w:val="20"/>
                <w:szCs w:val="20"/>
              </w:rPr>
            </w:pPr>
            <w:r w:rsidRPr="006F6F32">
              <w:rPr>
                <w:color w:val="000000"/>
                <w:sz w:val="20"/>
                <w:szCs w:val="20"/>
              </w:rPr>
              <w:t>11.673</w:t>
            </w:r>
          </w:p>
        </w:tc>
        <w:tc>
          <w:tcPr>
            <w:tcW w:w="1533" w:type="dxa"/>
            <w:tcBorders>
              <w:top w:val="single" w:sz="4" w:space="0" w:color="999999"/>
              <w:left w:val="single" w:sz="4" w:space="0" w:color="999999"/>
              <w:bottom w:val="single" w:sz="4" w:space="0" w:color="999999"/>
              <w:right w:val="single" w:sz="4" w:space="0" w:color="999999"/>
            </w:tcBorders>
            <w:vAlign w:val="center"/>
          </w:tcPr>
          <w:p w14:paraId="1512B66B" w14:textId="77777777" w:rsidR="00317C49" w:rsidRPr="006F6F32" w:rsidRDefault="00317C49" w:rsidP="008C407D">
            <w:pPr>
              <w:spacing w:before="40" w:after="40"/>
              <w:jc w:val="center"/>
              <w:rPr>
                <w:color w:val="000000"/>
                <w:sz w:val="20"/>
                <w:szCs w:val="20"/>
              </w:rPr>
            </w:pPr>
            <w:r w:rsidRPr="006F6F32">
              <w:rPr>
                <w:color w:val="000000"/>
                <w:sz w:val="20"/>
                <w:szCs w:val="20"/>
              </w:rPr>
              <w:t>13.446</w:t>
            </w:r>
          </w:p>
        </w:tc>
        <w:tc>
          <w:tcPr>
            <w:tcW w:w="1534" w:type="dxa"/>
            <w:tcBorders>
              <w:top w:val="single" w:sz="4" w:space="0" w:color="999999"/>
              <w:left w:val="single" w:sz="4" w:space="0" w:color="999999"/>
              <w:bottom w:val="single" w:sz="4" w:space="0" w:color="999999"/>
              <w:right w:val="single" w:sz="4" w:space="0" w:color="999999"/>
            </w:tcBorders>
            <w:vAlign w:val="center"/>
          </w:tcPr>
          <w:p w14:paraId="09ECDDF2" w14:textId="77777777" w:rsidR="00317C49" w:rsidRPr="006F6F32" w:rsidRDefault="00317C49" w:rsidP="008C407D">
            <w:pPr>
              <w:spacing w:before="40" w:after="40"/>
              <w:jc w:val="center"/>
              <w:rPr>
                <w:color w:val="000000"/>
                <w:sz w:val="20"/>
                <w:szCs w:val="20"/>
              </w:rPr>
            </w:pPr>
            <w:r w:rsidRPr="006F6F32">
              <w:rPr>
                <w:color w:val="000000"/>
                <w:sz w:val="20"/>
                <w:szCs w:val="20"/>
              </w:rPr>
              <w:t>1.00</w:t>
            </w:r>
          </w:p>
        </w:tc>
      </w:tr>
      <w:tr w:rsidR="00317C49" w:rsidRPr="006F6F32" w14:paraId="459744B1" w14:textId="77777777" w:rsidTr="008C407D">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509A8C81" w14:textId="77777777" w:rsidR="00317C49" w:rsidRPr="006F6F32" w:rsidRDefault="00317C49" w:rsidP="008C407D">
            <w:pPr>
              <w:spacing w:before="40" w:after="40"/>
              <w:rPr>
                <w:color w:val="000000"/>
                <w:sz w:val="20"/>
                <w:szCs w:val="20"/>
              </w:rPr>
            </w:pPr>
            <w:r w:rsidRPr="006F6F32">
              <w:rPr>
                <w:color w:val="000000"/>
                <w:sz w:val="20"/>
                <w:szCs w:val="20"/>
              </w:rPr>
              <w:t>Radical left vote share</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540D1112" w14:textId="77777777" w:rsidR="00317C49" w:rsidRPr="006F6F32" w:rsidRDefault="00317C49" w:rsidP="008C407D">
            <w:pPr>
              <w:spacing w:before="40" w:after="40"/>
              <w:jc w:val="center"/>
              <w:rPr>
                <w:color w:val="000000"/>
                <w:sz w:val="20"/>
                <w:szCs w:val="20"/>
              </w:rPr>
            </w:pPr>
            <w:r w:rsidRPr="006F6F32">
              <w:rPr>
                <w:color w:val="000000"/>
                <w:sz w:val="20"/>
                <w:szCs w:val="20"/>
              </w:rPr>
              <w:t>6.207</w:t>
            </w:r>
          </w:p>
        </w:tc>
        <w:tc>
          <w:tcPr>
            <w:tcW w:w="1534"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1454C213" w14:textId="77777777" w:rsidR="00317C49" w:rsidRPr="006F6F32" w:rsidRDefault="00317C49" w:rsidP="008C407D">
            <w:pPr>
              <w:spacing w:before="40" w:after="40"/>
              <w:jc w:val="center"/>
              <w:rPr>
                <w:color w:val="000000"/>
                <w:sz w:val="20"/>
                <w:szCs w:val="20"/>
              </w:rPr>
            </w:pPr>
            <w:r w:rsidRPr="006F6F32">
              <w:rPr>
                <w:color w:val="000000"/>
                <w:sz w:val="20"/>
                <w:szCs w:val="20"/>
              </w:rPr>
              <w:t>9.373</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12A600E9" w14:textId="77777777" w:rsidR="00317C49" w:rsidRPr="006F6F32" w:rsidRDefault="00317C49" w:rsidP="008C407D">
            <w:pPr>
              <w:spacing w:before="40" w:after="40"/>
              <w:jc w:val="center"/>
              <w:rPr>
                <w:color w:val="000000"/>
                <w:sz w:val="20"/>
                <w:szCs w:val="20"/>
              </w:rPr>
            </w:pPr>
            <w:r w:rsidRPr="006F6F32">
              <w:rPr>
                <w:color w:val="000000"/>
                <w:sz w:val="20"/>
                <w:szCs w:val="20"/>
              </w:rPr>
              <w:t>6.207</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057DB25B" w14:textId="77777777" w:rsidR="00317C49" w:rsidRPr="006F6F32" w:rsidRDefault="00317C49" w:rsidP="008C407D">
            <w:pPr>
              <w:spacing w:before="40" w:after="40"/>
              <w:jc w:val="center"/>
              <w:rPr>
                <w:color w:val="000000"/>
                <w:sz w:val="20"/>
                <w:szCs w:val="20"/>
              </w:rPr>
            </w:pPr>
            <w:r w:rsidRPr="006F6F32">
              <w:rPr>
                <w:color w:val="000000"/>
                <w:sz w:val="20"/>
                <w:szCs w:val="20"/>
              </w:rPr>
              <w:t>9.373</w:t>
            </w:r>
          </w:p>
        </w:tc>
        <w:tc>
          <w:tcPr>
            <w:tcW w:w="1534"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422FFA04" w14:textId="77777777" w:rsidR="00317C49" w:rsidRPr="006F6F32" w:rsidRDefault="00317C49" w:rsidP="008C407D">
            <w:pPr>
              <w:spacing w:before="40" w:after="40"/>
              <w:jc w:val="center"/>
              <w:rPr>
                <w:color w:val="000000"/>
                <w:sz w:val="20"/>
                <w:szCs w:val="20"/>
              </w:rPr>
            </w:pPr>
            <w:r w:rsidRPr="006F6F32">
              <w:rPr>
                <w:color w:val="000000"/>
                <w:sz w:val="20"/>
                <w:szCs w:val="20"/>
              </w:rPr>
              <w:t>1.00</w:t>
            </w:r>
          </w:p>
        </w:tc>
      </w:tr>
      <w:tr w:rsidR="00317C49" w:rsidRPr="006F6F32" w14:paraId="0DC359EB" w14:textId="77777777" w:rsidTr="008C407D">
        <w:tc>
          <w:tcPr>
            <w:tcW w:w="1533" w:type="dxa"/>
            <w:tcBorders>
              <w:top w:val="single" w:sz="4" w:space="0" w:color="999999"/>
              <w:left w:val="single" w:sz="4" w:space="0" w:color="999999"/>
              <w:bottom w:val="single" w:sz="4" w:space="0" w:color="999999"/>
              <w:right w:val="single" w:sz="4" w:space="0" w:color="999999"/>
            </w:tcBorders>
            <w:vAlign w:val="center"/>
          </w:tcPr>
          <w:p w14:paraId="573320F4" w14:textId="77777777" w:rsidR="00317C49" w:rsidRPr="006F6F32" w:rsidRDefault="00317C49" w:rsidP="008C407D">
            <w:pPr>
              <w:spacing w:before="40" w:after="40"/>
              <w:rPr>
                <w:color w:val="000000"/>
                <w:sz w:val="20"/>
                <w:szCs w:val="20"/>
              </w:rPr>
            </w:pPr>
            <w:r w:rsidRPr="006F6F32">
              <w:rPr>
                <w:color w:val="000000"/>
                <w:sz w:val="20"/>
                <w:szCs w:val="20"/>
              </w:rPr>
              <w:t>Judicial constraints (JC)</w:t>
            </w:r>
          </w:p>
        </w:tc>
        <w:tc>
          <w:tcPr>
            <w:tcW w:w="1533" w:type="dxa"/>
            <w:tcBorders>
              <w:top w:val="single" w:sz="4" w:space="0" w:color="999999"/>
              <w:left w:val="single" w:sz="4" w:space="0" w:color="999999"/>
              <w:bottom w:val="single" w:sz="4" w:space="0" w:color="999999"/>
              <w:right w:val="single" w:sz="4" w:space="0" w:color="999999"/>
            </w:tcBorders>
            <w:vAlign w:val="center"/>
          </w:tcPr>
          <w:p w14:paraId="5F8404A2" w14:textId="77777777" w:rsidR="00317C49" w:rsidRPr="006F6F32" w:rsidRDefault="00317C49" w:rsidP="008C407D">
            <w:pPr>
              <w:spacing w:before="40" w:after="40"/>
              <w:jc w:val="center"/>
              <w:rPr>
                <w:color w:val="000000"/>
                <w:sz w:val="20"/>
                <w:szCs w:val="20"/>
              </w:rPr>
            </w:pPr>
            <w:r w:rsidRPr="006F6F32">
              <w:rPr>
                <w:color w:val="000000"/>
                <w:sz w:val="20"/>
                <w:szCs w:val="20"/>
              </w:rPr>
              <w:t>0.902</w:t>
            </w:r>
          </w:p>
        </w:tc>
        <w:tc>
          <w:tcPr>
            <w:tcW w:w="1534" w:type="dxa"/>
            <w:tcBorders>
              <w:top w:val="single" w:sz="4" w:space="0" w:color="999999"/>
              <w:left w:val="single" w:sz="4" w:space="0" w:color="999999"/>
              <w:bottom w:val="single" w:sz="4" w:space="0" w:color="999999"/>
              <w:right w:val="single" w:sz="4" w:space="0" w:color="999999"/>
            </w:tcBorders>
            <w:vAlign w:val="center"/>
          </w:tcPr>
          <w:p w14:paraId="66B2AC71" w14:textId="77777777" w:rsidR="00317C49" w:rsidRPr="006F6F32" w:rsidRDefault="00317C49" w:rsidP="008C407D">
            <w:pPr>
              <w:spacing w:before="40" w:after="40"/>
              <w:jc w:val="center"/>
              <w:rPr>
                <w:color w:val="000000"/>
                <w:sz w:val="20"/>
                <w:szCs w:val="20"/>
              </w:rPr>
            </w:pPr>
            <w:r w:rsidRPr="006F6F32">
              <w:rPr>
                <w:color w:val="000000"/>
                <w:sz w:val="20"/>
                <w:szCs w:val="20"/>
              </w:rPr>
              <w:t>0.083</w:t>
            </w:r>
          </w:p>
        </w:tc>
        <w:tc>
          <w:tcPr>
            <w:tcW w:w="1533" w:type="dxa"/>
            <w:tcBorders>
              <w:top w:val="single" w:sz="4" w:space="0" w:color="999999"/>
              <w:left w:val="single" w:sz="4" w:space="0" w:color="999999"/>
              <w:bottom w:val="single" w:sz="4" w:space="0" w:color="999999"/>
              <w:right w:val="single" w:sz="4" w:space="0" w:color="999999"/>
            </w:tcBorders>
            <w:vAlign w:val="center"/>
          </w:tcPr>
          <w:p w14:paraId="6F8E52F9" w14:textId="77777777" w:rsidR="00317C49" w:rsidRPr="006F6F32" w:rsidRDefault="00317C49" w:rsidP="008C407D">
            <w:pPr>
              <w:spacing w:before="40" w:after="40"/>
              <w:jc w:val="center"/>
              <w:rPr>
                <w:color w:val="000000"/>
                <w:sz w:val="20"/>
                <w:szCs w:val="20"/>
              </w:rPr>
            </w:pPr>
            <w:r w:rsidRPr="006F6F32">
              <w:rPr>
                <w:color w:val="000000"/>
                <w:sz w:val="20"/>
                <w:szCs w:val="20"/>
              </w:rPr>
              <w:t>0.902</w:t>
            </w:r>
          </w:p>
        </w:tc>
        <w:tc>
          <w:tcPr>
            <w:tcW w:w="1533" w:type="dxa"/>
            <w:tcBorders>
              <w:top w:val="single" w:sz="4" w:space="0" w:color="999999"/>
              <w:left w:val="single" w:sz="4" w:space="0" w:color="999999"/>
              <w:bottom w:val="single" w:sz="4" w:space="0" w:color="999999"/>
              <w:right w:val="single" w:sz="4" w:space="0" w:color="999999"/>
            </w:tcBorders>
            <w:vAlign w:val="center"/>
          </w:tcPr>
          <w:p w14:paraId="42121830" w14:textId="77777777" w:rsidR="00317C49" w:rsidRPr="006F6F32" w:rsidRDefault="00317C49" w:rsidP="008C407D">
            <w:pPr>
              <w:spacing w:before="40" w:after="40"/>
              <w:jc w:val="center"/>
              <w:rPr>
                <w:color w:val="000000"/>
                <w:sz w:val="20"/>
                <w:szCs w:val="20"/>
              </w:rPr>
            </w:pPr>
            <w:r w:rsidRPr="006F6F32">
              <w:rPr>
                <w:color w:val="000000"/>
                <w:sz w:val="20"/>
                <w:szCs w:val="20"/>
              </w:rPr>
              <w:t>0.083</w:t>
            </w:r>
          </w:p>
        </w:tc>
        <w:tc>
          <w:tcPr>
            <w:tcW w:w="1534" w:type="dxa"/>
            <w:tcBorders>
              <w:top w:val="single" w:sz="4" w:space="0" w:color="999999"/>
              <w:left w:val="single" w:sz="4" w:space="0" w:color="999999"/>
              <w:bottom w:val="single" w:sz="4" w:space="0" w:color="999999"/>
              <w:right w:val="single" w:sz="4" w:space="0" w:color="999999"/>
            </w:tcBorders>
            <w:vAlign w:val="center"/>
          </w:tcPr>
          <w:p w14:paraId="4B36BB7C" w14:textId="77777777" w:rsidR="00317C49" w:rsidRPr="006F6F32" w:rsidRDefault="00317C49" w:rsidP="008C407D">
            <w:pPr>
              <w:spacing w:before="40" w:after="40"/>
              <w:jc w:val="center"/>
              <w:rPr>
                <w:color w:val="000000"/>
                <w:sz w:val="20"/>
                <w:szCs w:val="20"/>
              </w:rPr>
            </w:pPr>
            <w:r w:rsidRPr="006F6F32">
              <w:rPr>
                <w:color w:val="000000"/>
                <w:sz w:val="20"/>
                <w:szCs w:val="20"/>
              </w:rPr>
              <w:t>1.00</w:t>
            </w:r>
          </w:p>
        </w:tc>
      </w:tr>
      <w:tr w:rsidR="00317C49" w:rsidRPr="006F6F32" w14:paraId="0731211B" w14:textId="77777777" w:rsidTr="008C407D">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1A5D45FE" w14:textId="77777777" w:rsidR="00317C49" w:rsidRPr="006F6F32" w:rsidRDefault="00317C49" w:rsidP="008C407D">
            <w:pPr>
              <w:spacing w:before="40" w:after="40"/>
              <w:rPr>
                <w:color w:val="000000"/>
                <w:sz w:val="20"/>
                <w:szCs w:val="20"/>
              </w:rPr>
            </w:pPr>
            <w:r w:rsidRPr="006F6F32">
              <w:rPr>
                <w:color w:val="000000"/>
                <w:sz w:val="20"/>
                <w:szCs w:val="20"/>
              </w:rPr>
              <w:t>GDP growth (%)</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0752EEE7" w14:textId="77777777" w:rsidR="00317C49" w:rsidRPr="006F6F32" w:rsidRDefault="00317C49" w:rsidP="008C407D">
            <w:pPr>
              <w:spacing w:before="40" w:after="40"/>
              <w:jc w:val="center"/>
              <w:rPr>
                <w:color w:val="000000"/>
                <w:sz w:val="20"/>
                <w:szCs w:val="20"/>
              </w:rPr>
            </w:pPr>
            <w:r w:rsidRPr="006F6F32">
              <w:rPr>
                <w:color w:val="000000"/>
                <w:sz w:val="20"/>
                <w:szCs w:val="20"/>
              </w:rPr>
              <w:t>2.331</w:t>
            </w:r>
          </w:p>
        </w:tc>
        <w:tc>
          <w:tcPr>
            <w:tcW w:w="1534"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13A3CE4A" w14:textId="77777777" w:rsidR="00317C49" w:rsidRPr="006F6F32" w:rsidRDefault="00317C49" w:rsidP="008C407D">
            <w:pPr>
              <w:spacing w:before="40" w:after="40"/>
              <w:jc w:val="center"/>
              <w:rPr>
                <w:color w:val="000000"/>
                <w:sz w:val="20"/>
                <w:szCs w:val="20"/>
              </w:rPr>
            </w:pPr>
            <w:r w:rsidRPr="006F6F32">
              <w:rPr>
                <w:color w:val="000000"/>
                <w:sz w:val="20"/>
                <w:szCs w:val="20"/>
              </w:rPr>
              <w:t>3.779</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0E2DB378" w14:textId="77777777" w:rsidR="00317C49" w:rsidRPr="006F6F32" w:rsidRDefault="00317C49" w:rsidP="008C407D">
            <w:pPr>
              <w:spacing w:before="40" w:after="40"/>
              <w:jc w:val="center"/>
              <w:rPr>
                <w:color w:val="000000"/>
                <w:sz w:val="20"/>
                <w:szCs w:val="20"/>
              </w:rPr>
            </w:pPr>
            <w:r w:rsidRPr="006F6F32">
              <w:rPr>
                <w:color w:val="000000"/>
                <w:sz w:val="20"/>
                <w:szCs w:val="20"/>
              </w:rPr>
              <w:t>2.331</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0A4ABA1F" w14:textId="77777777" w:rsidR="00317C49" w:rsidRPr="006F6F32" w:rsidRDefault="00317C49" w:rsidP="008C407D">
            <w:pPr>
              <w:spacing w:before="40" w:after="40"/>
              <w:jc w:val="center"/>
              <w:rPr>
                <w:color w:val="000000"/>
                <w:sz w:val="20"/>
                <w:szCs w:val="20"/>
              </w:rPr>
            </w:pPr>
            <w:r w:rsidRPr="006F6F32">
              <w:rPr>
                <w:color w:val="000000"/>
                <w:sz w:val="20"/>
                <w:szCs w:val="20"/>
              </w:rPr>
              <w:t>3.779</w:t>
            </w:r>
          </w:p>
        </w:tc>
        <w:tc>
          <w:tcPr>
            <w:tcW w:w="1534"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6FD2DB3A" w14:textId="77777777" w:rsidR="00317C49" w:rsidRPr="006F6F32" w:rsidRDefault="00317C49" w:rsidP="008C407D">
            <w:pPr>
              <w:spacing w:before="40" w:after="40"/>
              <w:jc w:val="center"/>
              <w:rPr>
                <w:color w:val="000000"/>
                <w:sz w:val="20"/>
                <w:szCs w:val="20"/>
              </w:rPr>
            </w:pPr>
            <w:r w:rsidRPr="006F6F32">
              <w:rPr>
                <w:color w:val="000000"/>
                <w:sz w:val="20"/>
                <w:szCs w:val="20"/>
              </w:rPr>
              <w:t>1.00</w:t>
            </w:r>
          </w:p>
        </w:tc>
      </w:tr>
      <w:tr w:rsidR="00317C49" w:rsidRPr="006F6F32" w14:paraId="72EFFB8A" w14:textId="77777777" w:rsidTr="008C407D">
        <w:tc>
          <w:tcPr>
            <w:tcW w:w="1533" w:type="dxa"/>
            <w:tcBorders>
              <w:top w:val="single" w:sz="4" w:space="0" w:color="999999"/>
              <w:left w:val="single" w:sz="4" w:space="0" w:color="999999"/>
              <w:bottom w:val="single" w:sz="4" w:space="0" w:color="999999"/>
              <w:right w:val="single" w:sz="4" w:space="0" w:color="999999"/>
            </w:tcBorders>
            <w:vAlign w:val="center"/>
          </w:tcPr>
          <w:p w14:paraId="02CFC4FB" w14:textId="77777777" w:rsidR="00317C49" w:rsidRPr="006F6F32" w:rsidRDefault="00317C49" w:rsidP="008C407D">
            <w:pPr>
              <w:spacing w:before="40" w:after="40"/>
              <w:rPr>
                <w:color w:val="000000"/>
                <w:sz w:val="20"/>
                <w:szCs w:val="20"/>
              </w:rPr>
            </w:pPr>
            <w:r w:rsidRPr="006F6F32">
              <w:rPr>
                <w:color w:val="000000"/>
                <w:sz w:val="20"/>
                <w:szCs w:val="20"/>
              </w:rPr>
              <w:t>Log GDP per capita</w:t>
            </w:r>
          </w:p>
        </w:tc>
        <w:tc>
          <w:tcPr>
            <w:tcW w:w="1533" w:type="dxa"/>
            <w:tcBorders>
              <w:top w:val="single" w:sz="4" w:space="0" w:color="999999"/>
              <w:left w:val="single" w:sz="4" w:space="0" w:color="999999"/>
              <w:bottom w:val="single" w:sz="4" w:space="0" w:color="999999"/>
              <w:right w:val="single" w:sz="4" w:space="0" w:color="999999"/>
            </w:tcBorders>
            <w:vAlign w:val="center"/>
          </w:tcPr>
          <w:p w14:paraId="77C47F30" w14:textId="77777777" w:rsidR="00317C49" w:rsidRPr="006F6F32" w:rsidRDefault="00317C49" w:rsidP="008C407D">
            <w:pPr>
              <w:spacing w:before="40" w:after="40"/>
              <w:jc w:val="center"/>
              <w:rPr>
                <w:color w:val="000000"/>
                <w:sz w:val="20"/>
                <w:szCs w:val="20"/>
              </w:rPr>
            </w:pPr>
            <w:r w:rsidRPr="006F6F32">
              <w:rPr>
                <w:color w:val="000000"/>
                <w:sz w:val="20"/>
                <w:szCs w:val="20"/>
              </w:rPr>
              <w:t>10.720</w:t>
            </w:r>
          </w:p>
        </w:tc>
        <w:tc>
          <w:tcPr>
            <w:tcW w:w="1534" w:type="dxa"/>
            <w:tcBorders>
              <w:top w:val="single" w:sz="4" w:space="0" w:color="999999"/>
              <w:left w:val="single" w:sz="4" w:space="0" w:color="999999"/>
              <w:bottom w:val="single" w:sz="4" w:space="0" w:color="999999"/>
              <w:right w:val="single" w:sz="4" w:space="0" w:color="999999"/>
            </w:tcBorders>
            <w:vAlign w:val="center"/>
          </w:tcPr>
          <w:p w14:paraId="48504282" w14:textId="77777777" w:rsidR="00317C49" w:rsidRPr="006F6F32" w:rsidRDefault="00317C49" w:rsidP="008C407D">
            <w:pPr>
              <w:spacing w:before="40" w:after="40"/>
              <w:jc w:val="center"/>
              <w:rPr>
                <w:color w:val="000000"/>
                <w:sz w:val="20"/>
                <w:szCs w:val="20"/>
              </w:rPr>
            </w:pPr>
            <w:r w:rsidRPr="006F6F32">
              <w:rPr>
                <w:color w:val="000000"/>
                <w:sz w:val="20"/>
                <w:szCs w:val="20"/>
              </w:rPr>
              <w:t>0.416</w:t>
            </w:r>
          </w:p>
        </w:tc>
        <w:tc>
          <w:tcPr>
            <w:tcW w:w="1533" w:type="dxa"/>
            <w:tcBorders>
              <w:top w:val="single" w:sz="4" w:space="0" w:color="999999"/>
              <w:left w:val="single" w:sz="4" w:space="0" w:color="999999"/>
              <w:bottom w:val="single" w:sz="4" w:space="0" w:color="999999"/>
              <w:right w:val="single" w:sz="4" w:space="0" w:color="999999"/>
            </w:tcBorders>
            <w:vAlign w:val="center"/>
          </w:tcPr>
          <w:p w14:paraId="4A145F8D" w14:textId="77777777" w:rsidR="00317C49" w:rsidRPr="006F6F32" w:rsidRDefault="00317C49" w:rsidP="008C407D">
            <w:pPr>
              <w:spacing w:before="40" w:after="40"/>
              <w:jc w:val="center"/>
              <w:rPr>
                <w:color w:val="000000"/>
                <w:sz w:val="20"/>
                <w:szCs w:val="20"/>
              </w:rPr>
            </w:pPr>
            <w:r w:rsidRPr="006F6F32">
              <w:rPr>
                <w:color w:val="000000"/>
                <w:sz w:val="20"/>
                <w:szCs w:val="20"/>
              </w:rPr>
              <w:t>10.720</w:t>
            </w:r>
          </w:p>
        </w:tc>
        <w:tc>
          <w:tcPr>
            <w:tcW w:w="1533" w:type="dxa"/>
            <w:tcBorders>
              <w:top w:val="single" w:sz="4" w:space="0" w:color="999999"/>
              <w:left w:val="single" w:sz="4" w:space="0" w:color="999999"/>
              <w:bottom w:val="single" w:sz="4" w:space="0" w:color="999999"/>
              <w:right w:val="single" w:sz="4" w:space="0" w:color="999999"/>
            </w:tcBorders>
            <w:vAlign w:val="center"/>
          </w:tcPr>
          <w:p w14:paraId="0AA27466" w14:textId="77777777" w:rsidR="00317C49" w:rsidRPr="006F6F32" w:rsidRDefault="00317C49" w:rsidP="008C407D">
            <w:pPr>
              <w:spacing w:before="40" w:after="40"/>
              <w:jc w:val="center"/>
              <w:rPr>
                <w:color w:val="000000"/>
                <w:sz w:val="20"/>
                <w:szCs w:val="20"/>
              </w:rPr>
            </w:pPr>
            <w:r w:rsidRPr="006F6F32">
              <w:rPr>
                <w:color w:val="000000"/>
                <w:sz w:val="20"/>
                <w:szCs w:val="20"/>
              </w:rPr>
              <w:t>0.416</w:t>
            </w:r>
          </w:p>
        </w:tc>
        <w:tc>
          <w:tcPr>
            <w:tcW w:w="1534" w:type="dxa"/>
            <w:tcBorders>
              <w:top w:val="single" w:sz="4" w:space="0" w:color="999999"/>
              <w:left w:val="single" w:sz="4" w:space="0" w:color="999999"/>
              <w:bottom w:val="single" w:sz="4" w:space="0" w:color="999999"/>
              <w:right w:val="single" w:sz="4" w:space="0" w:color="999999"/>
            </w:tcBorders>
            <w:vAlign w:val="center"/>
          </w:tcPr>
          <w:p w14:paraId="15582E2C" w14:textId="77777777" w:rsidR="00317C49" w:rsidRPr="006F6F32" w:rsidRDefault="00317C49" w:rsidP="008C407D">
            <w:pPr>
              <w:spacing w:before="40" w:after="40"/>
              <w:jc w:val="center"/>
              <w:rPr>
                <w:color w:val="000000"/>
                <w:sz w:val="20"/>
                <w:szCs w:val="20"/>
              </w:rPr>
            </w:pPr>
            <w:r w:rsidRPr="006F6F32">
              <w:rPr>
                <w:color w:val="000000"/>
                <w:sz w:val="20"/>
                <w:szCs w:val="20"/>
              </w:rPr>
              <w:t>1.00</w:t>
            </w:r>
          </w:p>
        </w:tc>
      </w:tr>
      <w:tr w:rsidR="00317C49" w:rsidRPr="006F6F32" w14:paraId="1E447370" w14:textId="77777777" w:rsidTr="008C407D">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7B91C7C1" w14:textId="77777777" w:rsidR="00317C49" w:rsidRPr="006F6F32" w:rsidRDefault="00317C49" w:rsidP="008C407D">
            <w:pPr>
              <w:spacing w:before="40" w:after="40"/>
              <w:rPr>
                <w:color w:val="000000"/>
                <w:sz w:val="20"/>
                <w:szCs w:val="20"/>
              </w:rPr>
            </w:pPr>
            <w:r w:rsidRPr="006F6F32">
              <w:rPr>
                <w:color w:val="000000"/>
                <w:sz w:val="20"/>
                <w:szCs w:val="20"/>
              </w:rPr>
              <w:t>EU member (share)</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22A9233D" w14:textId="77777777" w:rsidR="00317C49" w:rsidRPr="006F6F32" w:rsidRDefault="00317C49" w:rsidP="008C407D">
            <w:pPr>
              <w:spacing w:before="40" w:after="40"/>
              <w:jc w:val="center"/>
              <w:rPr>
                <w:color w:val="000000"/>
                <w:sz w:val="20"/>
                <w:szCs w:val="20"/>
              </w:rPr>
            </w:pPr>
            <w:r w:rsidRPr="006F6F32">
              <w:rPr>
                <w:color w:val="000000"/>
                <w:sz w:val="20"/>
                <w:szCs w:val="20"/>
              </w:rPr>
              <w:t>0.822</w:t>
            </w:r>
          </w:p>
        </w:tc>
        <w:tc>
          <w:tcPr>
            <w:tcW w:w="1534"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4DB992D5" w14:textId="77777777" w:rsidR="00317C49" w:rsidRPr="006F6F32" w:rsidRDefault="00317C49" w:rsidP="008C407D">
            <w:pPr>
              <w:spacing w:before="40" w:after="40"/>
              <w:jc w:val="center"/>
              <w:rPr>
                <w:color w:val="000000"/>
                <w:sz w:val="20"/>
                <w:szCs w:val="20"/>
              </w:rPr>
            </w:pPr>
            <w:r w:rsidRPr="006F6F32">
              <w:rPr>
                <w:color w:val="000000"/>
                <w:sz w:val="20"/>
                <w:szCs w:val="20"/>
              </w:rPr>
              <w:t>0.383</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6342CDA5" w14:textId="77777777" w:rsidR="00317C49" w:rsidRPr="006F6F32" w:rsidRDefault="00317C49" w:rsidP="008C407D">
            <w:pPr>
              <w:spacing w:before="40" w:after="40"/>
              <w:jc w:val="center"/>
              <w:rPr>
                <w:color w:val="000000"/>
                <w:sz w:val="20"/>
                <w:szCs w:val="20"/>
              </w:rPr>
            </w:pPr>
            <w:r w:rsidRPr="006F6F32">
              <w:rPr>
                <w:color w:val="000000"/>
                <w:sz w:val="20"/>
                <w:szCs w:val="20"/>
              </w:rPr>
              <w:t>0.822</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14D80BBC" w14:textId="77777777" w:rsidR="00317C49" w:rsidRPr="006F6F32" w:rsidRDefault="00317C49" w:rsidP="008C407D">
            <w:pPr>
              <w:spacing w:before="40" w:after="40"/>
              <w:jc w:val="center"/>
              <w:rPr>
                <w:color w:val="000000"/>
                <w:sz w:val="20"/>
                <w:szCs w:val="20"/>
              </w:rPr>
            </w:pPr>
            <w:r w:rsidRPr="006F6F32">
              <w:rPr>
                <w:color w:val="000000"/>
                <w:sz w:val="20"/>
                <w:szCs w:val="20"/>
              </w:rPr>
              <w:t>0.383</w:t>
            </w:r>
          </w:p>
        </w:tc>
        <w:tc>
          <w:tcPr>
            <w:tcW w:w="1534"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3F46E824" w14:textId="77777777" w:rsidR="00317C49" w:rsidRPr="006F6F32" w:rsidRDefault="00317C49" w:rsidP="008C407D">
            <w:pPr>
              <w:spacing w:before="40" w:after="40"/>
              <w:jc w:val="center"/>
              <w:rPr>
                <w:color w:val="000000"/>
                <w:sz w:val="20"/>
                <w:szCs w:val="20"/>
              </w:rPr>
            </w:pPr>
            <w:r w:rsidRPr="006F6F32">
              <w:rPr>
                <w:color w:val="000000"/>
                <w:sz w:val="20"/>
                <w:szCs w:val="20"/>
              </w:rPr>
              <w:t>1.00</w:t>
            </w:r>
          </w:p>
        </w:tc>
      </w:tr>
      <w:tr w:rsidR="00317C49" w:rsidRPr="006F6F32" w14:paraId="57C623AD" w14:textId="77777777" w:rsidTr="008C407D">
        <w:tc>
          <w:tcPr>
            <w:tcW w:w="1533" w:type="dxa"/>
            <w:tcBorders>
              <w:top w:val="single" w:sz="4" w:space="0" w:color="999999"/>
              <w:left w:val="single" w:sz="4" w:space="0" w:color="999999"/>
              <w:bottom w:val="single" w:sz="4" w:space="0" w:color="999999"/>
              <w:right w:val="single" w:sz="4" w:space="0" w:color="999999"/>
            </w:tcBorders>
            <w:vAlign w:val="center"/>
          </w:tcPr>
          <w:p w14:paraId="430D58AB" w14:textId="77777777" w:rsidR="00317C49" w:rsidRPr="006F6F32" w:rsidRDefault="00317C49" w:rsidP="008C407D">
            <w:pPr>
              <w:spacing w:before="40" w:after="40"/>
              <w:rPr>
                <w:color w:val="000000"/>
                <w:sz w:val="20"/>
                <w:szCs w:val="20"/>
              </w:rPr>
            </w:pPr>
            <w:r w:rsidRPr="006F6F32">
              <w:rPr>
                <w:color w:val="000000"/>
                <w:sz w:val="20"/>
                <w:szCs w:val="20"/>
              </w:rPr>
              <w:t>Observations</w:t>
            </w:r>
          </w:p>
        </w:tc>
        <w:tc>
          <w:tcPr>
            <w:tcW w:w="1533" w:type="dxa"/>
            <w:tcBorders>
              <w:top w:val="single" w:sz="4" w:space="0" w:color="999999"/>
              <w:left w:val="single" w:sz="4" w:space="0" w:color="999999"/>
              <w:bottom w:val="single" w:sz="4" w:space="0" w:color="999999"/>
              <w:right w:val="single" w:sz="4" w:space="0" w:color="999999"/>
            </w:tcBorders>
            <w:vAlign w:val="center"/>
          </w:tcPr>
          <w:p w14:paraId="720F6ECF" w14:textId="77777777" w:rsidR="00317C49" w:rsidRPr="006F6F32" w:rsidRDefault="00317C49" w:rsidP="008C407D">
            <w:pPr>
              <w:spacing w:before="40" w:after="40"/>
              <w:jc w:val="center"/>
              <w:rPr>
                <w:color w:val="000000"/>
                <w:sz w:val="20"/>
                <w:szCs w:val="20"/>
              </w:rPr>
            </w:pPr>
            <w:r w:rsidRPr="006F6F32">
              <w:rPr>
                <w:color w:val="000000"/>
                <w:sz w:val="20"/>
                <w:szCs w:val="20"/>
              </w:rPr>
              <w:t>713</w:t>
            </w:r>
          </w:p>
        </w:tc>
        <w:tc>
          <w:tcPr>
            <w:tcW w:w="1534" w:type="dxa"/>
            <w:tcBorders>
              <w:top w:val="single" w:sz="4" w:space="0" w:color="999999"/>
              <w:left w:val="single" w:sz="4" w:space="0" w:color="999999"/>
              <w:bottom w:val="single" w:sz="4" w:space="0" w:color="999999"/>
              <w:right w:val="single" w:sz="4" w:space="0" w:color="999999"/>
            </w:tcBorders>
            <w:vAlign w:val="center"/>
          </w:tcPr>
          <w:p w14:paraId="551B0178" w14:textId="77777777" w:rsidR="00317C49" w:rsidRPr="006F6F32" w:rsidRDefault="00317C49" w:rsidP="008C407D">
            <w:pPr>
              <w:spacing w:before="40" w:after="40"/>
              <w:jc w:val="center"/>
            </w:pPr>
          </w:p>
        </w:tc>
        <w:tc>
          <w:tcPr>
            <w:tcW w:w="1533" w:type="dxa"/>
            <w:tcBorders>
              <w:top w:val="single" w:sz="4" w:space="0" w:color="999999"/>
              <w:left w:val="single" w:sz="4" w:space="0" w:color="999999"/>
              <w:bottom w:val="single" w:sz="4" w:space="0" w:color="999999"/>
              <w:right w:val="single" w:sz="4" w:space="0" w:color="999999"/>
            </w:tcBorders>
            <w:vAlign w:val="center"/>
          </w:tcPr>
          <w:p w14:paraId="0814459E" w14:textId="77777777" w:rsidR="00317C49" w:rsidRPr="006F6F32" w:rsidRDefault="00317C49" w:rsidP="008C407D">
            <w:pPr>
              <w:spacing w:before="40" w:after="40"/>
              <w:jc w:val="center"/>
              <w:rPr>
                <w:color w:val="000000"/>
                <w:sz w:val="20"/>
                <w:szCs w:val="20"/>
              </w:rPr>
            </w:pPr>
            <w:r w:rsidRPr="006F6F32">
              <w:rPr>
                <w:color w:val="000000"/>
                <w:sz w:val="20"/>
                <w:szCs w:val="20"/>
              </w:rPr>
              <w:t>713</w:t>
            </w:r>
          </w:p>
        </w:tc>
        <w:tc>
          <w:tcPr>
            <w:tcW w:w="1533" w:type="dxa"/>
            <w:tcBorders>
              <w:top w:val="single" w:sz="4" w:space="0" w:color="999999"/>
              <w:left w:val="single" w:sz="4" w:space="0" w:color="999999"/>
              <w:bottom w:val="single" w:sz="4" w:space="0" w:color="999999"/>
              <w:right w:val="single" w:sz="4" w:space="0" w:color="999999"/>
            </w:tcBorders>
            <w:vAlign w:val="center"/>
          </w:tcPr>
          <w:p w14:paraId="0CBF7CE4" w14:textId="77777777" w:rsidR="00317C49" w:rsidRPr="006F6F32" w:rsidRDefault="00317C49" w:rsidP="008C407D">
            <w:pPr>
              <w:spacing w:before="40" w:after="40"/>
              <w:jc w:val="center"/>
            </w:pPr>
          </w:p>
        </w:tc>
        <w:tc>
          <w:tcPr>
            <w:tcW w:w="1534" w:type="dxa"/>
            <w:tcBorders>
              <w:top w:val="single" w:sz="4" w:space="0" w:color="999999"/>
              <w:left w:val="single" w:sz="4" w:space="0" w:color="999999"/>
              <w:bottom w:val="single" w:sz="4" w:space="0" w:color="999999"/>
              <w:right w:val="single" w:sz="4" w:space="0" w:color="999999"/>
            </w:tcBorders>
            <w:vAlign w:val="center"/>
          </w:tcPr>
          <w:p w14:paraId="2926FD0A" w14:textId="77777777" w:rsidR="00317C49" w:rsidRPr="006F6F32" w:rsidRDefault="00317C49" w:rsidP="008C407D">
            <w:pPr>
              <w:spacing w:before="40" w:after="40"/>
              <w:jc w:val="center"/>
            </w:pPr>
          </w:p>
        </w:tc>
      </w:tr>
      <w:tr w:rsidR="00317C49" w:rsidRPr="006F6F32" w14:paraId="570C58EF" w14:textId="77777777" w:rsidTr="008C407D">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675382C8" w14:textId="77777777" w:rsidR="00317C49" w:rsidRPr="006F6F32" w:rsidRDefault="00317C49" w:rsidP="008C407D">
            <w:pPr>
              <w:spacing w:before="40" w:after="40"/>
              <w:rPr>
                <w:color w:val="000000"/>
                <w:sz w:val="20"/>
                <w:szCs w:val="20"/>
              </w:rPr>
            </w:pPr>
            <w:r w:rsidRPr="006F6F32">
              <w:rPr>
                <w:color w:val="000000"/>
                <w:sz w:val="20"/>
                <w:szCs w:val="20"/>
              </w:rPr>
              <w:t>Countries</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09CD11D2" w14:textId="77777777" w:rsidR="00317C49" w:rsidRPr="006F6F32" w:rsidRDefault="00317C49" w:rsidP="008C407D">
            <w:pPr>
              <w:spacing w:before="40" w:after="40"/>
              <w:jc w:val="center"/>
              <w:rPr>
                <w:color w:val="000000"/>
                <w:sz w:val="20"/>
                <w:szCs w:val="20"/>
              </w:rPr>
            </w:pPr>
            <w:r w:rsidRPr="006F6F32">
              <w:rPr>
                <w:color w:val="000000"/>
                <w:sz w:val="20"/>
                <w:szCs w:val="20"/>
              </w:rPr>
              <w:t>31</w:t>
            </w:r>
          </w:p>
        </w:tc>
        <w:tc>
          <w:tcPr>
            <w:tcW w:w="1534"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1B314CA1" w14:textId="77777777" w:rsidR="00317C49" w:rsidRPr="006F6F32" w:rsidRDefault="00317C49" w:rsidP="008C407D">
            <w:pPr>
              <w:spacing w:before="40" w:after="40"/>
              <w:jc w:val="center"/>
            </w:pP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4D557DD3" w14:textId="77777777" w:rsidR="00317C49" w:rsidRPr="006F6F32" w:rsidRDefault="00317C49" w:rsidP="008C407D">
            <w:pPr>
              <w:spacing w:before="40" w:after="40"/>
              <w:jc w:val="center"/>
              <w:rPr>
                <w:color w:val="000000"/>
                <w:sz w:val="20"/>
                <w:szCs w:val="20"/>
              </w:rPr>
            </w:pPr>
            <w:r w:rsidRPr="006F6F32">
              <w:rPr>
                <w:color w:val="000000"/>
                <w:sz w:val="20"/>
                <w:szCs w:val="20"/>
              </w:rPr>
              <w:t>31</w:t>
            </w:r>
          </w:p>
        </w:tc>
        <w:tc>
          <w:tcPr>
            <w:tcW w:w="1533"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63C8F07A" w14:textId="77777777" w:rsidR="00317C49" w:rsidRPr="006F6F32" w:rsidRDefault="00317C49" w:rsidP="008C407D">
            <w:pPr>
              <w:spacing w:before="40" w:after="40"/>
              <w:jc w:val="center"/>
            </w:pPr>
          </w:p>
        </w:tc>
        <w:tc>
          <w:tcPr>
            <w:tcW w:w="1534" w:type="dxa"/>
            <w:tcBorders>
              <w:top w:val="single" w:sz="4" w:space="0" w:color="999999"/>
              <w:left w:val="single" w:sz="4" w:space="0" w:color="999999"/>
              <w:bottom w:val="single" w:sz="4" w:space="0" w:color="999999"/>
              <w:right w:val="single" w:sz="4" w:space="0" w:color="999999"/>
            </w:tcBorders>
            <w:shd w:val="clear" w:color="auto" w:fill="F2F2F2"/>
            <w:vAlign w:val="center"/>
          </w:tcPr>
          <w:p w14:paraId="2EBE5695" w14:textId="77777777" w:rsidR="00317C49" w:rsidRPr="006F6F32" w:rsidRDefault="00317C49" w:rsidP="008C407D">
            <w:pPr>
              <w:spacing w:before="40" w:after="40"/>
              <w:jc w:val="center"/>
            </w:pPr>
          </w:p>
        </w:tc>
      </w:tr>
    </w:tbl>
    <w:p w14:paraId="0FBCBB9E" w14:textId="77777777" w:rsidR="00317C49" w:rsidRDefault="00317C49" w:rsidP="00317C49">
      <w:pPr>
        <w:spacing w:before="40" w:after="200"/>
        <w:jc w:val="both"/>
        <w:rPr>
          <w:i/>
          <w:iCs/>
          <w:color w:val="000000"/>
          <w:sz w:val="18"/>
          <w:szCs w:val="18"/>
        </w:rPr>
      </w:pPr>
      <w:r w:rsidRPr="006F6F32">
        <w:rPr>
          <w:i/>
          <w:iCs/>
          <w:color w:val="000000"/>
          <w:sz w:val="18"/>
          <w:szCs w:val="18"/>
        </w:rPr>
        <w:t xml:space="preserve">Note: Both samples are identical under the </w:t>
      </w:r>
      <w:r>
        <w:rPr>
          <w:i/>
          <w:iCs/>
          <w:color w:val="000000"/>
          <w:sz w:val="18"/>
          <w:szCs w:val="18"/>
        </w:rPr>
        <w:t>TAP</w:t>
      </w:r>
      <w:r w:rsidRPr="006F6F32">
        <w:rPr>
          <w:i/>
          <w:iCs/>
          <w:color w:val="000000"/>
          <w:sz w:val="18"/>
          <w:szCs w:val="18"/>
        </w:rPr>
        <w:t xml:space="preserve"> zero-fill convention. Diff p = Welch two-sample t-test p-value. Sources: </w:t>
      </w:r>
      <w:r>
        <w:rPr>
          <w:i/>
          <w:iCs/>
          <w:color w:val="000000"/>
          <w:sz w:val="18"/>
          <w:szCs w:val="18"/>
        </w:rPr>
        <w:t>TAP</w:t>
      </w:r>
      <w:r w:rsidRPr="006F6F32">
        <w:rPr>
          <w:i/>
          <w:iCs/>
          <w:color w:val="000000"/>
          <w:sz w:val="18"/>
          <w:szCs w:val="18"/>
        </w:rPr>
        <w:t>; Fraser Institute EFW 2025; V-Dem v16; World Bank WDI.</w:t>
      </w:r>
    </w:p>
    <w:p w14:paraId="4D19DCE6" w14:textId="77777777" w:rsidR="00F553FF" w:rsidRDefault="00F553FF"/>
    <w:sectPr w:rsidR="00F553FF" w:rsidSect="00317C49">
      <w:pgSz w:w="11906" w:h="16838"/>
      <w:pgMar w:top="1440" w:right="1800"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C49"/>
    <w:rsid w:val="00317C49"/>
    <w:rsid w:val="003C2EF4"/>
    <w:rsid w:val="00446799"/>
    <w:rsid w:val="006A7E07"/>
    <w:rsid w:val="00701021"/>
    <w:rsid w:val="00B7391F"/>
    <w:rsid w:val="00B74216"/>
    <w:rsid w:val="00D62F8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146FB"/>
  <w15:chartTrackingRefBased/>
  <w15:docId w15:val="{593C5EAF-B046-417F-8FD9-5B7383A3C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C49"/>
    <w:pPr>
      <w:widowControl w:val="0"/>
      <w:suppressAutoHyphens/>
      <w:spacing w:after="0" w:line="240" w:lineRule="auto"/>
    </w:pPr>
    <w:rPr>
      <w:rFonts w:ascii="Times New Roman" w:eastAsia="Times New Roman" w:hAnsi="Times New Roman" w:cs="Times New Roman"/>
      <w:kern w:val="0"/>
      <w:lang w:val="en-GB" w:eastAsia="zh-CN" w:bidi="hi-IN"/>
      <w14:ligatures w14:val="none"/>
    </w:rPr>
  </w:style>
  <w:style w:type="paragraph" w:styleId="Heading1">
    <w:name w:val="heading 1"/>
    <w:basedOn w:val="Normal"/>
    <w:next w:val="Normal"/>
    <w:link w:val="Heading1Char"/>
    <w:uiPriority w:val="9"/>
    <w:qFormat/>
    <w:rsid w:val="00317C49"/>
    <w:pPr>
      <w:keepNext/>
      <w:keepLines/>
      <w:widowControl/>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bidi="ar-SA"/>
      <w14:ligatures w14:val="standardContextual"/>
    </w:rPr>
  </w:style>
  <w:style w:type="paragraph" w:styleId="Heading2">
    <w:name w:val="heading 2"/>
    <w:basedOn w:val="Normal"/>
    <w:next w:val="Normal"/>
    <w:link w:val="Heading2Char"/>
    <w:uiPriority w:val="9"/>
    <w:unhideWhenUsed/>
    <w:qFormat/>
    <w:rsid w:val="00317C49"/>
    <w:pPr>
      <w:keepNext/>
      <w:keepLines/>
      <w:widowControl/>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bidi="ar-SA"/>
      <w14:ligatures w14:val="standardContextual"/>
    </w:rPr>
  </w:style>
  <w:style w:type="paragraph" w:styleId="Heading3">
    <w:name w:val="heading 3"/>
    <w:basedOn w:val="Normal"/>
    <w:next w:val="Normal"/>
    <w:link w:val="Heading3Char"/>
    <w:uiPriority w:val="9"/>
    <w:semiHidden/>
    <w:unhideWhenUsed/>
    <w:qFormat/>
    <w:rsid w:val="00317C49"/>
    <w:pPr>
      <w:keepNext/>
      <w:keepLines/>
      <w:widowControl/>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bidi="ar-SA"/>
      <w14:ligatures w14:val="standardContextual"/>
    </w:rPr>
  </w:style>
  <w:style w:type="paragraph" w:styleId="Heading4">
    <w:name w:val="heading 4"/>
    <w:basedOn w:val="Normal"/>
    <w:next w:val="Normal"/>
    <w:link w:val="Heading4Char"/>
    <w:uiPriority w:val="9"/>
    <w:semiHidden/>
    <w:unhideWhenUsed/>
    <w:qFormat/>
    <w:rsid w:val="00317C49"/>
    <w:pPr>
      <w:keepNext/>
      <w:keepLines/>
      <w:widowControl/>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val="en-US" w:eastAsia="en-US" w:bidi="ar-SA"/>
      <w14:ligatures w14:val="standardContextual"/>
    </w:rPr>
  </w:style>
  <w:style w:type="paragraph" w:styleId="Heading5">
    <w:name w:val="heading 5"/>
    <w:basedOn w:val="Normal"/>
    <w:next w:val="Normal"/>
    <w:link w:val="Heading5Char"/>
    <w:uiPriority w:val="9"/>
    <w:semiHidden/>
    <w:unhideWhenUsed/>
    <w:qFormat/>
    <w:rsid w:val="00317C49"/>
    <w:pPr>
      <w:keepNext/>
      <w:keepLines/>
      <w:widowControl/>
      <w:suppressAutoHyphens w:val="0"/>
      <w:spacing w:before="80" w:after="40" w:line="278" w:lineRule="auto"/>
      <w:outlineLvl w:val="4"/>
    </w:pPr>
    <w:rPr>
      <w:rFonts w:asciiTheme="minorHAnsi" w:eastAsiaTheme="majorEastAsia" w:hAnsiTheme="minorHAnsi" w:cstheme="majorBidi"/>
      <w:color w:val="0F4761" w:themeColor="accent1" w:themeShade="BF"/>
      <w:kern w:val="2"/>
      <w:lang w:val="en-US" w:eastAsia="en-US" w:bidi="ar-SA"/>
      <w14:ligatures w14:val="standardContextual"/>
    </w:rPr>
  </w:style>
  <w:style w:type="paragraph" w:styleId="Heading6">
    <w:name w:val="heading 6"/>
    <w:basedOn w:val="Normal"/>
    <w:next w:val="Normal"/>
    <w:link w:val="Heading6Char"/>
    <w:uiPriority w:val="9"/>
    <w:semiHidden/>
    <w:unhideWhenUsed/>
    <w:qFormat/>
    <w:rsid w:val="00317C49"/>
    <w:pPr>
      <w:keepNext/>
      <w:keepLines/>
      <w:widowControl/>
      <w:suppressAutoHyphens w:val="0"/>
      <w:spacing w:before="40" w:line="278" w:lineRule="auto"/>
      <w:outlineLvl w:val="5"/>
    </w:pPr>
    <w:rPr>
      <w:rFonts w:asciiTheme="minorHAnsi" w:eastAsiaTheme="majorEastAsia" w:hAnsiTheme="minorHAnsi" w:cstheme="majorBidi"/>
      <w:i/>
      <w:iCs/>
      <w:color w:val="595959" w:themeColor="text1" w:themeTint="A6"/>
      <w:kern w:val="2"/>
      <w:lang w:val="en-US" w:eastAsia="en-US" w:bidi="ar-SA"/>
      <w14:ligatures w14:val="standardContextual"/>
    </w:rPr>
  </w:style>
  <w:style w:type="paragraph" w:styleId="Heading7">
    <w:name w:val="heading 7"/>
    <w:basedOn w:val="Normal"/>
    <w:next w:val="Normal"/>
    <w:link w:val="Heading7Char"/>
    <w:uiPriority w:val="9"/>
    <w:semiHidden/>
    <w:unhideWhenUsed/>
    <w:qFormat/>
    <w:rsid w:val="00317C49"/>
    <w:pPr>
      <w:keepNext/>
      <w:keepLines/>
      <w:widowControl/>
      <w:suppressAutoHyphens w:val="0"/>
      <w:spacing w:before="40" w:line="278" w:lineRule="auto"/>
      <w:outlineLvl w:val="6"/>
    </w:pPr>
    <w:rPr>
      <w:rFonts w:asciiTheme="minorHAnsi" w:eastAsiaTheme="majorEastAsia" w:hAnsiTheme="minorHAnsi" w:cstheme="majorBidi"/>
      <w:color w:val="595959" w:themeColor="text1" w:themeTint="A6"/>
      <w:kern w:val="2"/>
      <w:lang w:val="en-US" w:eastAsia="en-US" w:bidi="ar-SA"/>
      <w14:ligatures w14:val="standardContextual"/>
    </w:rPr>
  </w:style>
  <w:style w:type="paragraph" w:styleId="Heading8">
    <w:name w:val="heading 8"/>
    <w:basedOn w:val="Normal"/>
    <w:next w:val="Normal"/>
    <w:link w:val="Heading8Char"/>
    <w:uiPriority w:val="9"/>
    <w:semiHidden/>
    <w:unhideWhenUsed/>
    <w:qFormat/>
    <w:rsid w:val="00317C49"/>
    <w:pPr>
      <w:keepNext/>
      <w:keepLines/>
      <w:widowControl/>
      <w:suppressAutoHyphens w:val="0"/>
      <w:spacing w:line="278" w:lineRule="auto"/>
      <w:outlineLvl w:val="7"/>
    </w:pPr>
    <w:rPr>
      <w:rFonts w:asciiTheme="minorHAnsi" w:eastAsiaTheme="majorEastAsia" w:hAnsiTheme="minorHAnsi" w:cstheme="majorBidi"/>
      <w:i/>
      <w:iCs/>
      <w:color w:val="272727" w:themeColor="text1" w:themeTint="D8"/>
      <w:kern w:val="2"/>
      <w:lang w:val="en-US" w:eastAsia="en-US" w:bidi="ar-SA"/>
      <w14:ligatures w14:val="standardContextual"/>
    </w:rPr>
  </w:style>
  <w:style w:type="paragraph" w:styleId="Heading9">
    <w:name w:val="heading 9"/>
    <w:basedOn w:val="Normal"/>
    <w:next w:val="Normal"/>
    <w:link w:val="Heading9Char"/>
    <w:uiPriority w:val="9"/>
    <w:semiHidden/>
    <w:unhideWhenUsed/>
    <w:qFormat/>
    <w:rsid w:val="00317C49"/>
    <w:pPr>
      <w:keepNext/>
      <w:keepLines/>
      <w:widowControl/>
      <w:suppressAutoHyphens w:val="0"/>
      <w:spacing w:line="278" w:lineRule="auto"/>
      <w:outlineLvl w:val="8"/>
    </w:pPr>
    <w:rPr>
      <w:rFonts w:asciiTheme="minorHAnsi" w:eastAsiaTheme="majorEastAsia" w:hAnsiTheme="minorHAnsi" w:cstheme="majorBidi"/>
      <w:color w:val="272727" w:themeColor="text1" w:themeTint="D8"/>
      <w:kern w:val="2"/>
      <w:lang w:val="en-US"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C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C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C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C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C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C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C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C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C49"/>
    <w:rPr>
      <w:rFonts w:eastAsiaTheme="majorEastAsia" w:cstheme="majorBidi"/>
      <w:color w:val="272727" w:themeColor="text1" w:themeTint="D8"/>
    </w:rPr>
  </w:style>
  <w:style w:type="paragraph" w:styleId="Title">
    <w:name w:val="Title"/>
    <w:basedOn w:val="Normal"/>
    <w:next w:val="Normal"/>
    <w:link w:val="TitleChar"/>
    <w:uiPriority w:val="10"/>
    <w:qFormat/>
    <w:rsid w:val="00317C49"/>
    <w:pPr>
      <w:widowControl/>
      <w:suppressAutoHyphens w:val="0"/>
      <w:spacing w:after="80"/>
      <w:contextualSpacing/>
    </w:pPr>
    <w:rPr>
      <w:rFonts w:asciiTheme="majorHAnsi" w:eastAsiaTheme="majorEastAsia" w:hAnsiTheme="majorHAnsi" w:cstheme="majorBidi"/>
      <w:spacing w:val="-10"/>
      <w:kern w:val="28"/>
      <w:sz w:val="56"/>
      <w:szCs w:val="56"/>
      <w:lang w:val="en-US" w:eastAsia="en-US" w:bidi="ar-SA"/>
      <w14:ligatures w14:val="standardContextual"/>
    </w:rPr>
  </w:style>
  <w:style w:type="character" w:customStyle="1" w:styleId="TitleChar">
    <w:name w:val="Title Char"/>
    <w:basedOn w:val="DefaultParagraphFont"/>
    <w:link w:val="Title"/>
    <w:uiPriority w:val="10"/>
    <w:rsid w:val="00317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C49"/>
    <w:pPr>
      <w:widowControl/>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bidi="ar-SA"/>
      <w14:ligatures w14:val="standardContextual"/>
    </w:rPr>
  </w:style>
  <w:style w:type="character" w:customStyle="1" w:styleId="SubtitleChar">
    <w:name w:val="Subtitle Char"/>
    <w:basedOn w:val="DefaultParagraphFont"/>
    <w:link w:val="Subtitle"/>
    <w:uiPriority w:val="11"/>
    <w:rsid w:val="00317C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C49"/>
    <w:pPr>
      <w:widowControl/>
      <w:suppressAutoHyphens w:val="0"/>
      <w:spacing w:before="160" w:after="160" w:line="278" w:lineRule="auto"/>
      <w:jc w:val="center"/>
    </w:pPr>
    <w:rPr>
      <w:rFonts w:asciiTheme="minorHAnsi" w:eastAsiaTheme="minorHAnsi" w:hAnsiTheme="minorHAnsi" w:cstheme="minorBidi"/>
      <w:i/>
      <w:iCs/>
      <w:color w:val="404040" w:themeColor="text1" w:themeTint="BF"/>
      <w:kern w:val="2"/>
      <w:lang w:val="en-US" w:eastAsia="en-US" w:bidi="ar-SA"/>
      <w14:ligatures w14:val="standardContextual"/>
    </w:rPr>
  </w:style>
  <w:style w:type="character" w:customStyle="1" w:styleId="QuoteChar">
    <w:name w:val="Quote Char"/>
    <w:basedOn w:val="DefaultParagraphFont"/>
    <w:link w:val="Quote"/>
    <w:uiPriority w:val="29"/>
    <w:rsid w:val="00317C49"/>
    <w:rPr>
      <w:i/>
      <w:iCs/>
      <w:color w:val="404040" w:themeColor="text1" w:themeTint="BF"/>
    </w:rPr>
  </w:style>
  <w:style w:type="paragraph" w:styleId="ListParagraph">
    <w:name w:val="List Paragraph"/>
    <w:basedOn w:val="Normal"/>
    <w:uiPriority w:val="34"/>
    <w:qFormat/>
    <w:rsid w:val="00317C49"/>
    <w:pPr>
      <w:widowControl/>
      <w:suppressAutoHyphens w:val="0"/>
      <w:spacing w:after="160" w:line="278" w:lineRule="auto"/>
      <w:ind w:left="720"/>
      <w:contextualSpacing/>
    </w:pPr>
    <w:rPr>
      <w:rFonts w:asciiTheme="minorHAnsi" w:eastAsiaTheme="minorHAnsi" w:hAnsiTheme="minorHAnsi" w:cstheme="minorBidi"/>
      <w:kern w:val="2"/>
      <w:lang w:val="en-US" w:eastAsia="en-US" w:bidi="ar-SA"/>
      <w14:ligatures w14:val="standardContextual"/>
    </w:rPr>
  </w:style>
  <w:style w:type="character" w:styleId="IntenseEmphasis">
    <w:name w:val="Intense Emphasis"/>
    <w:basedOn w:val="DefaultParagraphFont"/>
    <w:uiPriority w:val="21"/>
    <w:qFormat/>
    <w:rsid w:val="00317C49"/>
    <w:rPr>
      <w:i/>
      <w:iCs/>
      <w:color w:val="0F4761" w:themeColor="accent1" w:themeShade="BF"/>
    </w:rPr>
  </w:style>
  <w:style w:type="paragraph" w:styleId="IntenseQuote">
    <w:name w:val="Intense Quote"/>
    <w:basedOn w:val="Normal"/>
    <w:next w:val="Normal"/>
    <w:link w:val="IntenseQuoteChar"/>
    <w:uiPriority w:val="30"/>
    <w:qFormat/>
    <w:rsid w:val="00317C49"/>
    <w:pPr>
      <w:widowControl/>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bidi="ar-SA"/>
      <w14:ligatures w14:val="standardContextual"/>
    </w:rPr>
  </w:style>
  <w:style w:type="character" w:customStyle="1" w:styleId="IntenseQuoteChar">
    <w:name w:val="Intense Quote Char"/>
    <w:basedOn w:val="DefaultParagraphFont"/>
    <w:link w:val="IntenseQuote"/>
    <w:uiPriority w:val="30"/>
    <w:rsid w:val="00317C49"/>
    <w:rPr>
      <w:i/>
      <w:iCs/>
      <w:color w:val="0F4761" w:themeColor="accent1" w:themeShade="BF"/>
    </w:rPr>
  </w:style>
  <w:style w:type="character" w:styleId="IntenseReference">
    <w:name w:val="Intense Reference"/>
    <w:basedOn w:val="DefaultParagraphFont"/>
    <w:uiPriority w:val="32"/>
    <w:qFormat/>
    <w:rsid w:val="00317C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1106</Characters>
  <Application>Microsoft Office Word</Application>
  <DocSecurity>0</DocSecurity>
  <Lines>9</Lines>
  <Paragraphs>2</Paragraphs>
  <ScaleCrop>false</ScaleCrop>
  <Company>Springer Nature</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2026-04-27T13:55:00Z</dcterms:created>
  <dcterms:modified xsi:type="dcterms:W3CDTF">2026-04-27T13:55:00Z</dcterms:modified>
</cp:coreProperties>
</file>