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6487F" w14:textId="3DDED6F3" w:rsidR="007016AB" w:rsidRPr="007016AB" w:rsidRDefault="007016AB" w:rsidP="007016AB">
      <w:pPr>
        <w:spacing w:line="480" w:lineRule="auto"/>
        <w:jc w:val="both"/>
        <w:rPr>
          <w:lang w:val="en-US"/>
        </w:rPr>
      </w:pPr>
      <w:r w:rsidRPr="00444ABE">
        <w:rPr>
          <w:vertAlign w:val="superscript"/>
          <w:lang w:val="en-US"/>
        </w:rPr>
        <w:t>18</w:t>
      </w:r>
      <w:r w:rsidRPr="007016AB">
        <w:rPr>
          <w:lang w:val="en-US"/>
        </w:rPr>
        <w:t xml:space="preserve">F-FDG-PET-guided, pathological complete response-adapted chemotherapy de-escalation in HER2-positive early breast cancer: 5-year outcomes and exploratory </w:t>
      </w:r>
      <w:proofErr w:type="spellStart"/>
      <w:r w:rsidRPr="007016AB">
        <w:rPr>
          <w:lang w:val="en-US"/>
        </w:rPr>
        <w:t>ctDNA</w:t>
      </w:r>
      <w:proofErr w:type="spellEnd"/>
      <w:r w:rsidRPr="007016AB">
        <w:rPr>
          <w:lang w:val="en-US"/>
        </w:rPr>
        <w:t xml:space="preserve"> analyses from the randomized phase 2 </w:t>
      </w:r>
      <w:proofErr w:type="spellStart"/>
      <w:r w:rsidRPr="007016AB">
        <w:rPr>
          <w:lang w:val="en-US"/>
        </w:rPr>
        <w:t>PHERGain</w:t>
      </w:r>
      <w:proofErr w:type="spellEnd"/>
      <w:r w:rsidRPr="007016AB">
        <w:rPr>
          <w:lang w:val="en-US"/>
        </w:rPr>
        <w:t xml:space="preserve"> trial</w:t>
      </w:r>
    </w:p>
    <w:p w14:paraId="2DD5BA7C" w14:textId="7C2EBF6E" w:rsidR="0093772B" w:rsidRPr="00465B3E" w:rsidRDefault="00465B3E" w:rsidP="68F3C480">
      <w:r w:rsidRPr="00465B3E">
        <w:t>Pérez-García J.</w:t>
      </w:r>
      <w:r w:rsidR="0093772B" w:rsidRPr="00465B3E">
        <w:t xml:space="preserve"> et al.,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1854378474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39CFC779" w14:textId="13A7D5B8" w:rsidR="008167E9" w:rsidRPr="007105B1" w:rsidRDefault="008167E9">
          <w:pPr>
            <w:pStyle w:val="TtuloTDC"/>
            <w:rPr>
              <w:lang w:val="en-US"/>
            </w:rPr>
          </w:pPr>
          <w:r w:rsidRPr="007105B1">
            <w:rPr>
              <w:lang w:val="en-US"/>
            </w:rPr>
            <w:t>Supplementary material</w:t>
          </w:r>
        </w:p>
        <w:p w14:paraId="58C9D8D8" w14:textId="3DC2FF2A" w:rsidR="004A05A6" w:rsidRDefault="008167E9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23340232" w:history="1">
            <w:r w:rsidR="004A05A6"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methods</w:t>
            </w:r>
            <w:r w:rsidR="004A05A6">
              <w:rPr>
                <w:noProof/>
                <w:webHidden/>
              </w:rPr>
              <w:tab/>
            </w:r>
            <w:r w:rsidR="004A05A6">
              <w:rPr>
                <w:noProof/>
                <w:webHidden/>
              </w:rPr>
              <w:fldChar w:fldCharType="begin"/>
            </w:r>
            <w:r w:rsidR="004A05A6">
              <w:rPr>
                <w:noProof/>
                <w:webHidden/>
              </w:rPr>
              <w:instrText xml:space="preserve"> PAGEREF _Toc223340232 \h </w:instrText>
            </w:r>
            <w:r w:rsidR="004A05A6">
              <w:rPr>
                <w:noProof/>
                <w:webHidden/>
              </w:rPr>
            </w:r>
            <w:r w:rsidR="004A05A6">
              <w:rPr>
                <w:noProof/>
                <w:webHidden/>
              </w:rPr>
              <w:fldChar w:fldCharType="separate"/>
            </w:r>
            <w:r w:rsidR="004A05A6">
              <w:rPr>
                <w:noProof/>
                <w:webHidden/>
              </w:rPr>
              <w:t>1</w:t>
            </w:r>
            <w:r w:rsidR="004A05A6">
              <w:rPr>
                <w:noProof/>
                <w:webHidden/>
              </w:rPr>
              <w:fldChar w:fldCharType="end"/>
            </w:r>
          </w:hyperlink>
        </w:p>
        <w:p w14:paraId="5290C849" w14:textId="76EB635E" w:rsidR="004A05A6" w:rsidRDefault="004A05A6">
          <w:pPr>
            <w:pStyle w:val="TDC2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223340233" w:history="1">
            <w:r w:rsidRPr="0043470C">
              <w:rPr>
                <w:rStyle w:val="Hipervnculo"/>
                <w:rFonts w:ascii="Arial" w:hAnsi="Arial" w:cs="Arial"/>
                <w:i/>
                <w:iCs/>
                <w:noProof/>
                <w:lang w:val="en-US"/>
              </w:rPr>
              <w:t>Inclusion criteria: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06EFD" w14:textId="5DF1949F" w:rsidR="004A05A6" w:rsidRDefault="004A05A6">
          <w:pPr>
            <w:pStyle w:val="TDC2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223340234" w:history="1">
            <w:r w:rsidRPr="0043470C">
              <w:rPr>
                <w:rStyle w:val="Hipervnculo"/>
                <w:rFonts w:ascii="Arial" w:hAnsi="Arial" w:cs="Arial"/>
                <w:i/>
                <w:iCs/>
                <w:noProof/>
                <w:lang w:val="en-US"/>
              </w:rPr>
              <w:t>Exclusion criteria: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EAAE9" w14:textId="742546DB" w:rsidR="004A05A6" w:rsidRDefault="004A05A6">
          <w:pPr>
            <w:pStyle w:val="TDC2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es-ES_tradnl"/>
              <w14:ligatures w14:val="standardContextual"/>
            </w:rPr>
          </w:pPr>
          <w:hyperlink w:anchor="_Toc223340235" w:history="1">
            <w:r w:rsidRPr="0043470C">
              <w:rPr>
                <w:rStyle w:val="Hipervnculo"/>
                <w:rFonts w:ascii="Arial" w:hAnsi="Arial" w:cs="Arial"/>
                <w:i/>
                <w:iCs/>
                <w:noProof/>
                <w:lang w:val="en-US"/>
              </w:rPr>
              <w:t>Randomization and masking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FA608" w14:textId="2F1D5EFE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36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Fig. 1. PHERGain study design.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13E46" w14:textId="087F7766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37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Fig. 2. Consort diagram of plasma sample collection for ctDNA analyses at baseline, the day after cycle 2 (C3D1) and pre-surgery.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ED433" w14:textId="4B8CB75C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38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Fig. 3. Association between ctDNA clearance and PET response.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A163" w14:textId="723F74F5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39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Fig. 4. Association between ctDNA status and clearance with 5-year DDFS.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F2C5A" w14:textId="23BCBDC6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40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Table 1. 5-year iDFS events by ctDNA status at baseline.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56D49" w14:textId="122EB1FA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41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Table 2. 5-year iDFS events by ctDNA status at C3D1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E5547" w14:textId="156E3FB3" w:rsidR="004A05A6" w:rsidRDefault="004A05A6">
          <w:pPr>
            <w:pStyle w:val="TD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s-ES_tradnl"/>
              <w14:ligatures w14:val="standardContextual"/>
            </w:rPr>
          </w:pPr>
          <w:hyperlink w:anchor="_Toc223340242" w:history="1">
            <w:r w:rsidRPr="0043470C">
              <w:rPr>
                <w:rStyle w:val="Hipervnculo"/>
                <w:rFonts w:ascii="Arial" w:hAnsi="Arial" w:cs="Arial"/>
                <w:noProof/>
                <w:lang w:val="en-US"/>
              </w:rPr>
              <w:t>Supplementary Table 3. 5-year iDFS events by ctDNA clearance at C3D1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78F5E" w14:textId="3CBA2A68" w:rsidR="00100B91" w:rsidRPr="00A467D1" w:rsidRDefault="008167E9" w:rsidP="004C01A9">
          <w:r>
            <w:rPr>
              <w:b/>
              <w:bCs/>
              <w:noProof/>
            </w:rPr>
            <w:fldChar w:fldCharType="end"/>
          </w:r>
        </w:p>
      </w:sdtContent>
    </w:sdt>
    <w:p w14:paraId="67B0A2E8" w14:textId="0CCECBAE" w:rsidR="005F2943" w:rsidRPr="00561385" w:rsidRDefault="005F2943" w:rsidP="009A4703">
      <w:pPr>
        <w:pStyle w:val="Ttulo1"/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</w:pPr>
      <w:bookmarkStart w:id="0" w:name="_Toc223340232"/>
      <w:r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Supplementary methods</w:t>
      </w:r>
      <w:bookmarkEnd w:id="0"/>
    </w:p>
    <w:p w14:paraId="0BFB28C3" w14:textId="77777777" w:rsidR="003413EC" w:rsidRPr="00561385" w:rsidRDefault="003413EC" w:rsidP="00A467D1">
      <w:pPr>
        <w:pStyle w:val="Ttulo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</w:pPr>
      <w:bookmarkStart w:id="1" w:name="_Toc223340233"/>
      <w:r w:rsidRPr="0056138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Inclusion criteria:</w:t>
      </w:r>
      <w:bookmarkEnd w:id="1"/>
    </w:p>
    <w:p w14:paraId="3D576927" w14:textId="0D691C82" w:rsidR="003413EC" w:rsidRPr="00561385" w:rsidRDefault="003413EC" w:rsidP="004A05A6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561385">
        <w:rPr>
          <w:rFonts w:ascii="Arial" w:hAnsi="Arial" w:cs="Arial"/>
          <w:bCs/>
          <w:sz w:val="22"/>
          <w:szCs w:val="22"/>
          <w:lang w:val="en-US"/>
        </w:rPr>
        <w:t xml:space="preserve">Patients </w:t>
      </w:r>
      <w:r w:rsidR="00B259F2" w:rsidRPr="00561385">
        <w:rPr>
          <w:rFonts w:ascii="Arial" w:hAnsi="Arial" w:cs="Arial"/>
          <w:sz w:val="22"/>
          <w:szCs w:val="22"/>
          <w:shd w:val="clear" w:color="auto" w:fill="FFFFFF"/>
          <w:lang w:val="en-US"/>
        </w:rPr>
        <w:t>were</w:t>
      </w:r>
      <w:r w:rsidRPr="00561385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included in</w:t>
      </w:r>
      <w:r w:rsidRPr="00561385">
        <w:rPr>
          <w:rFonts w:ascii="Arial" w:hAnsi="Arial" w:cs="Arial"/>
          <w:sz w:val="22"/>
          <w:szCs w:val="22"/>
          <w:lang w:val="en-US"/>
        </w:rPr>
        <w:t xml:space="preserve"> the </w:t>
      </w:r>
      <w:r w:rsidRPr="00561385">
        <w:rPr>
          <w:rFonts w:ascii="Arial" w:hAnsi="Arial" w:cs="Arial"/>
          <w:bCs/>
          <w:sz w:val="22"/>
          <w:szCs w:val="22"/>
          <w:lang w:val="en-US"/>
        </w:rPr>
        <w:t>study</w:t>
      </w:r>
      <w:r w:rsidRPr="00561385">
        <w:rPr>
          <w:rFonts w:ascii="Arial" w:hAnsi="Arial" w:cs="Arial"/>
          <w:sz w:val="22"/>
          <w:szCs w:val="22"/>
          <w:lang w:val="en-US"/>
        </w:rPr>
        <w:t> </w:t>
      </w:r>
      <w:r w:rsidRPr="00561385">
        <w:rPr>
          <w:rFonts w:ascii="Arial" w:hAnsi="Arial" w:cs="Arial"/>
          <w:sz w:val="22"/>
          <w:szCs w:val="22"/>
          <w:shd w:val="clear" w:color="auto" w:fill="FFFFFF"/>
          <w:lang w:val="en-US"/>
        </w:rPr>
        <w:t>only if they meet</w:t>
      </w:r>
      <w:r w:rsidRPr="00561385">
        <w:rPr>
          <w:rFonts w:ascii="Arial" w:hAnsi="Arial" w:cs="Arial"/>
          <w:sz w:val="22"/>
          <w:szCs w:val="22"/>
          <w:lang w:val="en-US"/>
        </w:rPr>
        <w:t> </w:t>
      </w:r>
      <w:proofErr w:type="gramStart"/>
      <w:r w:rsidRPr="00561385">
        <w:rPr>
          <w:rFonts w:ascii="Arial" w:hAnsi="Arial" w:cs="Arial"/>
          <w:bCs/>
          <w:sz w:val="22"/>
          <w:szCs w:val="22"/>
          <w:lang w:val="en-US"/>
        </w:rPr>
        <w:t>ALL of</w:t>
      </w:r>
      <w:proofErr w:type="gramEnd"/>
      <w:r w:rsidRPr="00561385">
        <w:rPr>
          <w:rFonts w:ascii="Arial" w:hAnsi="Arial" w:cs="Arial"/>
          <w:bCs/>
          <w:sz w:val="22"/>
          <w:szCs w:val="22"/>
          <w:lang w:val="en-US"/>
        </w:rPr>
        <w:t xml:space="preserve"> the following criteria:</w:t>
      </w:r>
    </w:p>
    <w:p w14:paraId="5D69CC5E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lang w:val="en-GB"/>
        </w:rPr>
        <w:t>Written informed consent prior to beginning specific protocol procedures.</w:t>
      </w:r>
    </w:p>
    <w:p w14:paraId="3ED20BC3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szCs w:val="22"/>
          <w:lang w:val="en-GB"/>
        </w:rPr>
        <w:t>Female or male patients ≥ 18 years of age.</w:t>
      </w:r>
    </w:p>
    <w:p w14:paraId="1B1A1AF9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lang w:val="en-GB"/>
        </w:rPr>
      </w:pPr>
      <w:r w:rsidRPr="00A76AEE">
        <w:rPr>
          <w:rFonts w:cs="Arial"/>
          <w:bCs/>
          <w:szCs w:val="22"/>
          <w:shd w:val="clear" w:color="auto" w:fill="FFFFFF"/>
          <w:lang w:val="en-GB"/>
        </w:rPr>
        <w:t>Eastern</w:t>
      </w:r>
      <w:r w:rsidRPr="00A76AEE">
        <w:rPr>
          <w:rFonts w:cs="Arial"/>
          <w:szCs w:val="22"/>
          <w:shd w:val="clear" w:color="auto" w:fill="FFFFFF"/>
          <w:lang w:val="en-GB"/>
        </w:rPr>
        <w:t> Cooperative Oncology Group (</w:t>
      </w:r>
      <w:r w:rsidRPr="00A76AEE">
        <w:rPr>
          <w:rFonts w:cs="Arial"/>
          <w:szCs w:val="22"/>
          <w:lang w:val="en-GB"/>
        </w:rPr>
        <w:t>ECOG) performance status of 0-1.</w:t>
      </w:r>
    </w:p>
    <w:p w14:paraId="538981D8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szCs w:val="22"/>
          <w:lang w:val="en-GB"/>
        </w:rPr>
        <w:t>Histologically proven invasive breast cancer.</w:t>
      </w:r>
    </w:p>
    <w:p w14:paraId="5D472EEF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color w:val="000000"/>
          <w:szCs w:val="22"/>
          <w:shd w:val="clear" w:color="auto" w:fill="FFFFFF"/>
          <w:lang w:val="en-US"/>
        </w:rPr>
        <w:t>Operable breast cancer (c</w:t>
      </w:r>
      <w:r w:rsidRPr="00A76AEE">
        <w:rPr>
          <w:rFonts w:cs="Arial"/>
          <w:color w:val="000000"/>
          <w:szCs w:val="22"/>
          <w:shd w:val="clear" w:color="auto" w:fill="FFFFFF"/>
          <w:lang w:val="en-GB"/>
        </w:rPr>
        <w:t xml:space="preserve">T1-3 and/or cN0-2 </w:t>
      </w:r>
      <w:proofErr w:type="spellStart"/>
      <w:r w:rsidRPr="00A76AEE">
        <w:rPr>
          <w:rFonts w:cs="Arial"/>
          <w:color w:val="000000"/>
          <w:szCs w:val="22"/>
          <w:shd w:val="clear" w:color="auto" w:fill="FFFFFF"/>
          <w:lang w:val="en-GB"/>
        </w:rPr>
        <w:t>tumors</w:t>
      </w:r>
      <w:proofErr w:type="spellEnd"/>
      <w:r w:rsidRPr="00A76AEE">
        <w:rPr>
          <w:rFonts w:cs="Arial"/>
          <w:color w:val="000000"/>
          <w:szCs w:val="22"/>
          <w:shd w:val="clear" w:color="auto" w:fill="FFFFFF"/>
          <w:lang w:val="en-GB"/>
        </w:rPr>
        <w:t>).</w:t>
      </w:r>
    </w:p>
    <w:p w14:paraId="0EE05D25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proofErr w:type="spellStart"/>
      <w:r w:rsidRPr="00A76AEE">
        <w:rPr>
          <w:rFonts w:cs="Arial"/>
          <w:szCs w:val="22"/>
          <w:lang w:val="en-GB"/>
        </w:rPr>
        <w:t>Tumor</w:t>
      </w:r>
      <w:proofErr w:type="spellEnd"/>
      <w:r w:rsidRPr="00A76AEE">
        <w:rPr>
          <w:rFonts w:cs="Arial"/>
          <w:szCs w:val="22"/>
          <w:lang w:val="en-GB"/>
        </w:rPr>
        <w:t xml:space="preserve"> size larger than or equal to 1.5 </w:t>
      </w:r>
      <w:proofErr w:type="spellStart"/>
      <w:r w:rsidRPr="00A76AEE">
        <w:rPr>
          <w:rFonts w:cs="Arial"/>
          <w:szCs w:val="22"/>
          <w:lang w:val="en-GB"/>
        </w:rPr>
        <w:t>centimeter</w:t>
      </w:r>
      <w:proofErr w:type="spellEnd"/>
      <w:r w:rsidRPr="00A76AEE">
        <w:rPr>
          <w:rFonts w:cs="Arial"/>
          <w:szCs w:val="22"/>
          <w:lang w:val="en-GB"/>
        </w:rPr>
        <w:t xml:space="preserve"> (cm) in diameter by </w:t>
      </w:r>
      <w:r w:rsidRPr="00A76AEE">
        <w:rPr>
          <w:rFonts w:cs="Arial"/>
          <w:szCs w:val="22"/>
          <w:lang w:val="en-US"/>
        </w:rPr>
        <w:t xml:space="preserve">magnetic resonance </w:t>
      </w:r>
      <w:proofErr w:type="gramStart"/>
      <w:r w:rsidRPr="00A76AEE">
        <w:rPr>
          <w:rFonts w:cs="Arial"/>
          <w:szCs w:val="22"/>
          <w:lang w:val="en-US"/>
        </w:rPr>
        <w:t xml:space="preserve">imaging  </w:t>
      </w:r>
      <w:r w:rsidRPr="00A76AEE">
        <w:rPr>
          <w:rFonts w:cs="Arial"/>
          <w:szCs w:val="22"/>
          <w:lang w:val="en-GB"/>
        </w:rPr>
        <w:t>(</w:t>
      </w:r>
      <w:proofErr w:type="gramEnd"/>
      <w:r w:rsidRPr="00A76AEE">
        <w:rPr>
          <w:rFonts w:cs="Arial"/>
          <w:szCs w:val="22"/>
          <w:lang w:val="en-GB"/>
        </w:rPr>
        <w:t xml:space="preserve">MRI) or ultrasound with a significant </w:t>
      </w:r>
      <w:r w:rsidRPr="00A76AEE">
        <w:rPr>
          <w:rFonts w:cs="Arial"/>
          <w:szCs w:val="22"/>
          <w:vertAlign w:val="superscript"/>
          <w:lang w:val="en-GB"/>
        </w:rPr>
        <w:t>18</w:t>
      </w:r>
      <w:r w:rsidRPr="00A76AEE">
        <w:rPr>
          <w:rFonts w:cs="Arial"/>
          <w:szCs w:val="22"/>
          <w:lang w:val="en-GB"/>
        </w:rPr>
        <w:t xml:space="preserve">F-FDG uptake defined as </w:t>
      </w:r>
      <w:r w:rsidRPr="00A76AEE">
        <w:rPr>
          <w:rFonts w:cs="Arial"/>
          <w:szCs w:val="20"/>
          <w:lang w:val="en-US"/>
        </w:rPr>
        <w:t>maximum standardized uptake value (</w:t>
      </w:r>
      <w:proofErr w:type="spellStart"/>
      <w:r w:rsidRPr="00A76AEE">
        <w:rPr>
          <w:rFonts w:cs="Arial"/>
          <w:szCs w:val="20"/>
          <w:lang w:val="en-US"/>
        </w:rPr>
        <w:t>SUVmax</w:t>
      </w:r>
      <w:proofErr w:type="spellEnd"/>
      <w:r w:rsidRPr="00A76AEE">
        <w:rPr>
          <w:rFonts w:cs="Arial"/>
          <w:szCs w:val="20"/>
          <w:lang w:val="en-US"/>
        </w:rPr>
        <w:t>)</w:t>
      </w:r>
      <w:r w:rsidRPr="00A76AEE">
        <w:rPr>
          <w:rFonts w:cs="Arial"/>
          <w:szCs w:val="22"/>
          <w:lang w:val="en-GB"/>
        </w:rPr>
        <w:t xml:space="preserve"> ≥1.5 x </w:t>
      </w:r>
      <w:proofErr w:type="spellStart"/>
      <w:r w:rsidRPr="00A76AEE">
        <w:rPr>
          <w:rFonts w:cs="Arial"/>
          <w:szCs w:val="22"/>
          <w:lang w:val="en-GB"/>
        </w:rPr>
        <w:t>SUVmean</w:t>
      </w:r>
      <w:proofErr w:type="spellEnd"/>
      <w:r w:rsidRPr="00A76AEE">
        <w:rPr>
          <w:rFonts w:cs="Arial"/>
          <w:szCs w:val="22"/>
          <w:lang w:val="en-GB"/>
        </w:rPr>
        <w:t xml:space="preserve"> liver + 2 SD.</w:t>
      </w:r>
    </w:p>
    <w:p w14:paraId="50621182" w14:textId="77777777" w:rsidR="003413EC" w:rsidRPr="00A76AEE" w:rsidRDefault="003413EC" w:rsidP="004A05A6">
      <w:pPr>
        <w:pStyle w:val="Prrafodelista"/>
        <w:spacing w:before="84" w:after="60" w:line="360" w:lineRule="auto"/>
        <w:ind w:left="720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szCs w:val="22"/>
          <w:lang w:val="en-GB"/>
        </w:rPr>
        <w:lastRenderedPageBreak/>
        <w:t xml:space="preserve">Multicentric/multifocal </w:t>
      </w:r>
      <w:proofErr w:type="spellStart"/>
      <w:r w:rsidRPr="00A76AEE">
        <w:rPr>
          <w:rFonts w:cs="Arial"/>
          <w:szCs w:val="22"/>
          <w:lang w:val="en-GB"/>
        </w:rPr>
        <w:t>tumors</w:t>
      </w:r>
      <w:proofErr w:type="spellEnd"/>
      <w:r w:rsidRPr="00A76AEE">
        <w:rPr>
          <w:rFonts w:cs="Arial"/>
          <w:szCs w:val="22"/>
          <w:lang w:val="en-GB"/>
        </w:rPr>
        <w:t xml:space="preserve"> will be allowed only if:</w:t>
      </w:r>
    </w:p>
    <w:p w14:paraId="5D46837D" w14:textId="77777777" w:rsidR="003413EC" w:rsidRPr="00A76AEE" w:rsidRDefault="003413EC" w:rsidP="004A05A6">
      <w:pPr>
        <w:spacing w:before="84" w:after="60" w:line="360" w:lineRule="auto"/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A76AEE">
        <w:rPr>
          <w:rFonts w:ascii="Arial" w:hAnsi="Arial" w:cs="Arial"/>
          <w:sz w:val="22"/>
          <w:szCs w:val="22"/>
          <w:lang w:val="en-GB"/>
        </w:rPr>
        <w:t>1. Histological confirmation of at least two lesions.</w:t>
      </w:r>
    </w:p>
    <w:p w14:paraId="752F3563" w14:textId="77777777" w:rsidR="003413EC" w:rsidRPr="00A76AEE" w:rsidRDefault="003413EC" w:rsidP="004A05A6">
      <w:pPr>
        <w:spacing w:before="84" w:after="60" w:line="360" w:lineRule="auto"/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A76AEE">
        <w:rPr>
          <w:rFonts w:ascii="Arial" w:hAnsi="Arial" w:cs="Arial"/>
          <w:sz w:val="22"/>
          <w:szCs w:val="22"/>
          <w:lang w:val="en-GB"/>
        </w:rPr>
        <w:t xml:space="preserve">2. All </w:t>
      </w:r>
      <w:proofErr w:type="spellStart"/>
      <w:r w:rsidRPr="00A76AEE">
        <w:rPr>
          <w:rFonts w:ascii="Arial" w:hAnsi="Arial" w:cs="Arial"/>
          <w:sz w:val="22"/>
          <w:szCs w:val="22"/>
          <w:lang w:val="en-GB"/>
        </w:rPr>
        <w:t>tumors</w:t>
      </w:r>
      <w:proofErr w:type="spellEnd"/>
      <w:r w:rsidRPr="00A76AEE">
        <w:rPr>
          <w:rFonts w:ascii="Arial" w:hAnsi="Arial" w:cs="Arial"/>
          <w:sz w:val="22"/>
          <w:szCs w:val="22"/>
          <w:lang w:val="en-GB"/>
        </w:rPr>
        <w:t xml:space="preserve"> must be HER2-positive.</w:t>
      </w:r>
    </w:p>
    <w:p w14:paraId="2F201525" w14:textId="77777777" w:rsidR="003413EC" w:rsidRPr="00A76AEE" w:rsidRDefault="003413EC" w:rsidP="004A05A6">
      <w:pPr>
        <w:spacing w:before="84" w:after="60" w:line="360" w:lineRule="auto"/>
        <w:ind w:left="720"/>
        <w:contextualSpacing/>
        <w:rPr>
          <w:rFonts w:ascii="Arial" w:hAnsi="Arial" w:cs="Arial"/>
          <w:sz w:val="22"/>
          <w:szCs w:val="22"/>
          <w:lang w:val="en-GB"/>
        </w:rPr>
      </w:pPr>
      <w:r w:rsidRPr="00A76AEE">
        <w:rPr>
          <w:rFonts w:ascii="Arial" w:hAnsi="Arial" w:cs="Arial"/>
          <w:sz w:val="22"/>
          <w:szCs w:val="22"/>
          <w:lang w:val="en-GB"/>
        </w:rPr>
        <w:t>3. Largest lesion must be larger than or equal to 1.5 cm in diameter by MRI or ultrasound.</w:t>
      </w:r>
    </w:p>
    <w:p w14:paraId="7CD801C8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szCs w:val="22"/>
          <w:lang w:val="en-GB"/>
        </w:rPr>
        <w:t>Centrally confirmed HER2-positive disease according to the 2018 American Society of Clinical Oncology/College of American Pathologists (ASCO/CAP) criteria.</w:t>
      </w:r>
    </w:p>
    <w:p w14:paraId="05C95197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szCs w:val="22"/>
          <w:lang w:val="en-GB"/>
        </w:rPr>
        <w:t xml:space="preserve">Patient must have known </w:t>
      </w:r>
      <w:proofErr w:type="spellStart"/>
      <w:r w:rsidRPr="00A76AEE">
        <w:rPr>
          <w:rFonts w:cs="Arial"/>
          <w:szCs w:val="22"/>
          <w:lang w:val="en-GB"/>
        </w:rPr>
        <w:t>estrogen</w:t>
      </w:r>
      <w:proofErr w:type="spellEnd"/>
      <w:r w:rsidRPr="00A76AEE">
        <w:rPr>
          <w:rFonts w:cs="Arial"/>
          <w:szCs w:val="22"/>
          <w:lang w:val="en-GB"/>
        </w:rPr>
        <w:t xml:space="preserve"> receptor (ER</w:t>
      </w:r>
      <w:proofErr w:type="gramStart"/>
      <w:r w:rsidRPr="00A76AEE">
        <w:rPr>
          <w:rFonts w:cs="Arial"/>
          <w:szCs w:val="22"/>
          <w:lang w:val="en-GB"/>
        </w:rPr>
        <w:t>)</w:t>
      </w:r>
      <w:proofErr w:type="gramEnd"/>
      <w:r w:rsidRPr="00A76AEE">
        <w:rPr>
          <w:rFonts w:cs="Arial"/>
          <w:szCs w:val="22"/>
          <w:lang w:val="en-GB"/>
        </w:rPr>
        <w:t xml:space="preserve"> and progesterone receptor (PR) status locally determined prior to study entry.</w:t>
      </w:r>
    </w:p>
    <w:p w14:paraId="174BD1F8" w14:textId="77777777" w:rsidR="003413EC" w:rsidRPr="00A76AEE" w:rsidRDefault="003413EC" w:rsidP="004A05A6">
      <w:pPr>
        <w:pStyle w:val="Prrafodelista"/>
        <w:spacing w:before="84" w:after="60" w:line="360" w:lineRule="auto"/>
        <w:ind w:left="360"/>
        <w:contextualSpacing/>
        <w:rPr>
          <w:rFonts w:cs="Arial"/>
          <w:szCs w:val="22"/>
          <w:lang w:val="en-GB"/>
        </w:rPr>
      </w:pPr>
    </w:p>
    <w:p w14:paraId="52C2CED7" w14:textId="77777777" w:rsidR="003413EC" w:rsidRPr="00A76AEE" w:rsidRDefault="003413EC" w:rsidP="004A05A6">
      <w:pPr>
        <w:pStyle w:val="Prrafodelista"/>
        <w:spacing w:before="84" w:after="60" w:line="360" w:lineRule="auto"/>
        <w:ind w:left="360"/>
        <w:contextualSpacing/>
        <w:rPr>
          <w:rFonts w:cs="Arial"/>
          <w:szCs w:val="22"/>
          <w:lang w:val="en-GB"/>
        </w:rPr>
      </w:pPr>
      <w:r w:rsidRPr="00A76AEE">
        <w:rPr>
          <w:rFonts w:cs="Arial"/>
          <w:szCs w:val="22"/>
          <w:lang w:val="en-GB"/>
        </w:rPr>
        <w:t>Patient has adequate bone marrow, liver, and renal function:</w:t>
      </w:r>
    </w:p>
    <w:p w14:paraId="1685ED58" w14:textId="77777777" w:rsidR="003413EC" w:rsidRPr="00A76AEE" w:rsidRDefault="003413EC" w:rsidP="004A05A6">
      <w:pPr>
        <w:pStyle w:val="Prrafodelista"/>
        <w:spacing w:before="84" w:after="60" w:line="360" w:lineRule="auto"/>
        <w:ind w:left="360"/>
        <w:contextualSpacing/>
        <w:rPr>
          <w:rFonts w:cs="Arial"/>
          <w:szCs w:val="22"/>
          <w:lang w:val="en-GB"/>
        </w:rPr>
      </w:pPr>
    </w:p>
    <w:p w14:paraId="2AEEF747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contextualSpacing/>
        <w:rPr>
          <w:rFonts w:cs="Arial"/>
          <w:lang w:val="en-US"/>
        </w:rPr>
      </w:pPr>
      <w:r w:rsidRPr="00A76AEE">
        <w:rPr>
          <w:rFonts w:cs="Arial"/>
          <w:lang w:val="en-US"/>
        </w:rPr>
        <w:t>Hematological: White blood cell (WBC) count &gt; 3.0 x 10</w:t>
      </w:r>
      <w:r w:rsidRPr="00A76AEE">
        <w:rPr>
          <w:rFonts w:cs="Arial"/>
          <w:vertAlign w:val="superscript"/>
          <w:lang w:val="en-US"/>
        </w:rPr>
        <w:t>9</w:t>
      </w:r>
      <w:r w:rsidRPr="00A76AEE">
        <w:rPr>
          <w:rFonts w:cs="Arial"/>
          <w:lang w:val="en-US"/>
        </w:rPr>
        <w:t>/L, absolute neutrophil count (ANC) ≥ 1.5 x 10</w:t>
      </w:r>
      <w:r w:rsidRPr="00A76AEE">
        <w:rPr>
          <w:rFonts w:cs="Arial"/>
          <w:vertAlign w:val="superscript"/>
          <w:lang w:val="en-US"/>
        </w:rPr>
        <w:t>9</w:t>
      </w:r>
      <w:r w:rsidRPr="00A76AEE">
        <w:rPr>
          <w:rFonts w:cs="Arial"/>
          <w:lang w:val="en-US"/>
        </w:rPr>
        <w:t>/L, platelet count ≥ 100.0 x10</w:t>
      </w:r>
      <w:r w:rsidRPr="00A76AEE">
        <w:rPr>
          <w:rFonts w:cs="Arial"/>
          <w:vertAlign w:val="superscript"/>
          <w:lang w:val="en-US"/>
        </w:rPr>
        <w:t>9</w:t>
      </w:r>
      <w:r w:rsidRPr="00A76AEE">
        <w:rPr>
          <w:rFonts w:cs="Arial"/>
          <w:lang w:val="en-US"/>
        </w:rPr>
        <w:t>/L, and hemoglobin ≥ 10.0 g/dL (≥ 6.2 mmol/L).</w:t>
      </w:r>
    </w:p>
    <w:p w14:paraId="2C911C03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ind w:hanging="378"/>
        <w:contextualSpacing/>
        <w:rPr>
          <w:rFonts w:cs="Arial"/>
          <w:lang w:val="en-US"/>
        </w:rPr>
      </w:pPr>
      <w:r w:rsidRPr="00A76AEE">
        <w:rPr>
          <w:rFonts w:cs="Arial"/>
          <w:lang w:val="en-US"/>
        </w:rPr>
        <w:t xml:space="preserve">Hepatic: total bilirubin </w:t>
      </w:r>
      <w:r w:rsidRPr="00A76AEE">
        <w:rPr>
          <w:rFonts w:cs="Arial"/>
          <w:lang w:val="en-GB"/>
        </w:rPr>
        <w:t>≤</w:t>
      </w:r>
      <w:r w:rsidRPr="00A76AEE">
        <w:rPr>
          <w:rFonts w:cs="Arial"/>
          <w:lang w:val="en-US"/>
        </w:rPr>
        <w:t xml:space="preserve"> </w:t>
      </w:r>
      <w:r w:rsidRPr="00A76AEE">
        <w:rPr>
          <w:rFonts w:cs="Arial"/>
          <w:lang w:val="en-GB"/>
        </w:rPr>
        <w:t>institutional</w:t>
      </w:r>
      <w:r w:rsidRPr="00A76AEE">
        <w:rPr>
          <w:rFonts w:cs="Arial"/>
          <w:lang w:val="en-US"/>
        </w:rPr>
        <w:t xml:space="preserve"> upper limit of normal (ULN)</w:t>
      </w:r>
      <w:r w:rsidRPr="00A76AEE">
        <w:rPr>
          <w:rFonts w:cs="Arial"/>
          <w:lang w:val="en-GB"/>
        </w:rPr>
        <w:t xml:space="preserve"> (except for Gilbert’s syndrome)</w:t>
      </w:r>
      <w:r w:rsidRPr="00A76AEE">
        <w:rPr>
          <w:rFonts w:cs="Arial"/>
          <w:lang w:val="en-US"/>
        </w:rPr>
        <w:t xml:space="preserve">; alkaline phosphatase (ALP) ≤ 2.5 times ULN; aspartate transaminase (AST) and alanine transaminase (ALT) </w:t>
      </w:r>
      <w:r w:rsidRPr="00A76AEE">
        <w:rPr>
          <w:rFonts w:cs="Arial"/>
          <w:lang w:val="en-GB"/>
        </w:rPr>
        <w:t>≤ 1</w:t>
      </w:r>
      <w:r w:rsidRPr="00A76AEE">
        <w:rPr>
          <w:rFonts w:cs="Arial"/>
          <w:lang w:val="en-US"/>
        </w:rPr>
        <w:t>.5 times ULN.</w:t>
      </w:r>
    </w:p>
    <w:p w14:paraId="55EC61ED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ind w:hanging="378"/>
        <w:contextualSpacing/>
        <w:rPr>
          <w:rFonts w:cs="Arial"/>
          <w:lang w:val="en-GB"/>
        </w:rPr>
      </w:pPr>
      <w:r w:rsidRPr="00A76AEE">
        <w:rPr>
          <w:rFonts w:cs="Arial"/>
          <w:lang w:val="en-US"/>
        </w:rPr>
        <w:t xml:space="preserve">Renal: serum creatinine </w:t>
      </w:r>
      <w:r w:rsidRPr="00A76AEE">
        <w:rPr>
          <w:rFonts w:cs="Arial"/>
          <w:lang w:val="en-GB"/>
        </w:rPr>
        <w:t>≤</w:t>
      </w:r>
      <w:r w:rsidRPr="00A76AEE">
        <w:rPr>
          <w:rFonts w:cs="Arial"/>
          <w:lang w:val="en-US"/>
        </w:rPr>
        <w:t xml:space="preserve"> 1.5 x ULN or </w:t>
      </w:r>
      <w:r w:rsidRPr="00A76AEE">
        <w:rPr>
          <w:rFonts w:cs="Arial"/>
          <w:lang w:val="en-GB"/>
        </w:rPr>
        <w:t>creatinine clearance ≥ 50 mL/min/1.73 m</w:t>
      </w:r>
      <w:r w:rsidRPr="00A76AEE">
        <w:rPr>
          <w:rFonts w:cs="Arial"/>
          <w:vertAlign w:val="superscript"/>
          <w:lang w:val="en-GB"/>
        </w:rPr>
        <w:t>2</w:t>
      </w:r>
      <w:r w:rsidRPr="00A76AEE">
        <w:rPr>
          <w:rFonts w:cs="Arial"/>
          <w:lang w:val="en-GB"/>
        </w:rPr>
        <w:t xml:space="preserve"> for patients with creatinine levels above institutional normal.</w:t>
      </w:r>
    </w:p>
    <w:p w14:paraId="68759BD5" w14:textId="77777777" w:rsidR="003413EC" w:rsidRPr="00A76AEE" w:rsidRDefault="003413EC" w:rsidP="004A05A6">
      <w:pPr>
        <w:pStyle w:val="Prrafodelista"/>
        <w:numPr>
          <w:ilvl w:val="0"/>
          <w:numId w:val="1"/>
        </w:numPr>
        <w:spacing w:before="84" w:after="60" w:line="360" w:lineRule="auto"/>
        <w:ind w:hanging="378"/>
        <w:contextualSpacing/>
        <w:rPr>
          <w:rFonts w:cs="Arial"/>
          <w:lang w:val="en-GB"/>
        </w:rPr>
      </w:pPr>
      <w:r w:rsidRPr="00A76AEE">
        <w:rPr>
          <w:rFonts w:cs="Arial"/>
          <w:lang w:val="en-GB"/>
        </w:rPr>
        <w:t>Patient must be accessible for treatment and follow-up.</w:t>
      </w:r>
    </w:p>
    <w:p w14:paraId="25AA7B16" w14:textId="77777777" w:rsidR="00AF42ED" w:rsidRPr="00A76AEE" w:rsidRDefault="00AF42ED" w:rsidP="004A05A6">
      <w:pPr>
        <w:pStyle w:val="Ttulo2"/>
        <w:spacing w:line="36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</w:pPr>
      <w:bookmarkStart w:id="2" w:name="_Toc223340234"/>
      <w:r w:rsidRPr="00A76AE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Exclusion criteria:</w:t>
      </w:r>
      <w:bookmarkEnd w:id="2"/>
    </w:p>
    <w:p w14:paraId="1840BE0E" w14:textId="314B071A" w:rsidR="00AF42ED" w:rsidRPr="00561385" w:rsidRDefault="00AF42ED" w:rsidP="004A05A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61385">
        <w:rPr>
          <w:rFonts w:ascii="Arial" w:hAnsi="Arial" w:cs="Arial"/>
          <w:sz w:val="22"/>
          <w:szCs w:val="22"/>
          <w:lang w:val="en-US"/>
        </w:rPr>
        <w:t xml:space="preserve">Any patient meeting ANY of the following criteria </w:t>
      </w:r>
      <w:r w:rsidR="00B259F2" w:rsidRPr="00561385">
        <w:rPr>
          <w:rFonts w:ascii="Arial" w:hAnsi="Arial" w:cs="Arial"/>
          <w:sz w:val="22"/>
          <w:szCs w:val="22"/>
          <w:lang w:val="en-US"/>
        </w:rPr>
        <w:t>was</w:t>
      </w:r>
      <w:r w:rsidRPr="00561385">
        <w:rPr>
          <w:rFonts w:ascii="Arial" w:hAnsi="Arial" w:cs="Arial"/>
          <w:sz w:val="22"/>
          <w:szCs w:val="22"/>
          <w:lang w:val="en-US"/>
        </w:rPr>
        <w:t xml:space="preserve"> excluded from the study:</w:t>
      </w:r>
    </w:p>
    <w:p w14:paraId="06C7E85F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Previous treatment with chemotherapy, anti-HER2 therapy, radiation therapy, or endocrine therapy for invasive breast cancer.</w:t>
      </w:r>
    </w:p>
    <w:p w14:paraId="3E2A2A5A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cT4 and/or cN3 tumors.</w:t>
      </w:r>
    </w:p>
    <w:p w14:paraId="72A78E1E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Bilateral breast cancer.</w:t>
      </w:r>
    </w:p>
    <w:p w14:paraId="2104036B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 xml:space="preserve">Evidence of metastatic disease by routine clinical assessment [chest x-ray, liver ultrasound, and bone scan; or computed tomography (CT) scan of thorax and </w:t>
      </w:r>
      <w:proofErr w:type="spellStart"/>
      <w:r w:rsidRPr="00A76AEE">
        <w:rPr>
          <w:rFonts w:eastAsia="Calibri" w:cs="Arial"/>
          <w:szCs w:val="20"/>
          <w:lang w:val="en-US" w:eastAsia="en-US"/>
        </w:rPr>
        <w:t>and</w:t>
      </w:r>
      <w:proofErr w:type="spellEnd"/>
      <w:r w:rsidRPr="00A76AEE">
        <w:rPr>
          <w:rFonts w:eastAsia="Calibri" w:cs="Arial"/>
          <w:szCs w:val="20"/>
          <w:lang w:val="en-US" w:eastAsia="en-US"/>
        </w:rPr>
        <w:t xml:space="preserve"> abdomen and bone scan], except patients with subclinical M1 at baseline only according to 18F-fluorodeoxyglucose (18F-FDG) positron emission tomography/computed tomography (PET/CT) that will be allowed to be included into Cohort C.</w:t>
      </w:r>
    </w:p>
    <w:p w14:paraId="3203F6B7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Known hypersensitivity reaction to any investigational or therapeutic compound or their incorporated substances.</w:t>
      </w:r>
    </w:p>
    <w:p w14:paraId="5D1C91F6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lastRenderedPageBreak/>
        <w:t xml:space="preserve">History of other malignancy within the last five years prior to first dose of study drug administration, except for curatively treated basal and squamous cell carcinoma of the skin and/or in situ cervical carcinoma. </w:t>
      </w:r>
    </w:p>
    <w:p w14:paraId="2C186F26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Left ventricular ejection fraction (LVEF) below 55% as determined by multiple-gated acquisition (MUGA) scan or echocardiography (ECHO).</w:t>
      </w:r>
    </w:p>
    <w:p w14:paraId="406CC40B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Uncontrolled hypertension (systolic &gt; 150 mm Hg and/or diastolic &gt; 100 mm Hg) despite adequate antihypertensive treatment.</w:t>
      </w:r>
    </w:p>
    <w:p w14:paraId="27A9BF87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 xml:space="preserve">Clinically significant cardiovascular disease [stroke, unstable angina pectoris, or documented myocardial infarction within six months prior to study entry; history of documented congestive heart failure (CHF) (New York Heart Association II-III-IV); symptomatic pericarditis; documented cardiomyopathy; ventricular </w:t>
      </w:r>
      <w:proofErr w:type="spellStart"/>
      <w:r w:rsidRPr="00A76AEE">
        <w:rPr>
          <w:rFonts w:eastAsia="Calibri" w:cs="Arial"/>
          <w:szCs w:val="20"/>
          <w:lang w:val="en-US" w:eastAsia="en-US"/>
        </w:rPr>
        <w:t>arrytmhias</w:t>
      </w:r>
      <w:proofErr w:type="spellEnd"/>
      <w:r w:rsidRPr="00A76AEE">
        <w:rPr>
          <w:rFonts w:eastAsia="Calibri" w:cs="Arial"/>
          <w:szCs w:val="20"/>
          <w:lang w:val="en-US" w:eastAsia="en-US"/>
        </w:rPr>
        <w:t xml:space="preserve"> </w:t>
      </w:r>
      <w:proofErr w:type="gramStart"/>
      <w:r w:rsidRPr="00A76AEE">
        <w:rPr>
          <w:rFonts w:eastAsia="Calibri" w:cs="Arial"/>
          <w:szCs w:val="20"/>
          <w:lang w:val="en-US" w:eastAsia="en-US"/>
        </w:rPr>
        <w:t>with the exception of</w:t>
      </w:r>
      <w:proofErr w:type="gramEnd"/>
      <w:r w:rsidRPr="00A76AEE">
        <w:rPr>
          <w:rFonts w:eastAsia="Calibri" w:cs="Arial"/>
          <w:szCs w:val="20"/>
          <w:lang w:val="en-US" w:eastAsia="en-US"/>
        </w:rPr>
        <w:t xml:space="preserve"> benign premature ventricular contractions; conduction abnormality requiring a pacemaker; other arrhythmias not controlled with medication].</w:t>
      </w:r>
    </w:p>
    <w:p w14:paraId="3625563D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 xml:space="preserve">Active uncontrolled infection at the time of enrollment. </w:t>
      </w:r>
    </w:p>
    <w:p w14:paraId="516A44D7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Current known infection with HIV, hepatitis B virus, or hepatitis C virus.</w:t>
      </w:r>
    </w:p>
    <w:p w14:paraId="74DFCE69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Patients with pulmonary disease requiring continuous oxygen therapy.</w:t>
      </w:r>
    </w:p>
    <w:p w14:paraId="48FE77F9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Previous history of bleeding diathesis.</w:t>
      </w:r>
    </w:p>
    <w:p w14:paraId="654D5F99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Patient is currently receiving anti-coagulant therapy, chronic treatment with corticosteroids, or another immunosuppressive agent (standard premedication for chemotherapy and local applications are allowed).</w:t>
      </w:r>
    </w:p>
    <w:p w14:paraId="6459701C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 xml:space="preserve">Major surgical procedure or significant traumatic injury within 14 days prior to randomization or anticipation of need for major surgery within the course of the study treatment. </w:t>
      </w:r>
    </w:p>
    <w:p w14:paraId="562EC1DB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Patient has other concurrent severe and/or uncontrolled medical condition that would, in the investigator´s judgment, contraindicate her participation in the clinical study.</w:t>
      </w:r>
    </w:p>
    <w:p w14:paraId="5ACFC6AC" w14:textId="77777777" w:rsidR="00AF42ED" w:rsidRPr="00A76AEE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Concurrent participation in other clinical trial, except other translational studies.</w:t>
      </w:r>
    </w:p>
    <w:p w14:paraId="29F3BBBE" w14:textId="77777777" w:rsidR="00B259F2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A76AEE">
        <w:rPr>
          <w:rFonts w:eastAsia="Calibri" w:cs="Arial"/>
          <w:szCs w:val="20"/>
          <w:lang w:val="en-US" w:eastAsia="en-US"/>
        </w:rPr>
        <w:t>History of receiving any investigational treatment within 28 days prior to randomization.</w:t>
      </w:r>
    </w:p>
    <w:p w14:paraId="33C0AFA3" w14:textId="1BB28061" w:rsidR="003413EC" w:rsidRPr="00C44363" w:rsidRDefault="00AF42ED" w:rsidP="004A05A6">
      <w:pPr>
        <w:pStyle w:val="Prrafodelista"/>
        <w:numPr>
          <w:ilvl w:val="0"/>
          <w:numId w:val="2"/>
        </w:numPr>
        <w:spacing w:before="84" w:after="60" w:line="360" w:lineRule="auto"/>
        <w:contextualSpacing/>
        <w:rPr>
          <w:rFonts w:eastAsia="Calibri" w:cs="Arial"/>
          <w:szCs w:val="20"/>
          <w:lang w:val="en-US" w:eastAsia="en-US"/>
        </w:rPr>
      </w:pPr>
      <w:r w:rsidRPr="00B259F2">
        <w:rPr>
          <w:rFonts w:eastAsia="Calibri" w:cs="Arial"/>
          <w:szCs w:val="18"/>
          <w:lang w:val="en-US"/>
        </w:rPr>
        <w:t>Pregnant or breast-feeding women or patients not willing to apply highly effective contraception as defined in the protocol.</w:t>
      </w:r>
    </w:p>
    <w:p w14:paraId="70A107CA" w14:textId="77777777" w:rsidR="00C44363" w:rsidRDefault="00C44363" w:rsidP="00C44363">
      <w:pPr>
        <w:spacing w:before="84" w:after="60" w:line="276" w:lineRule="auto"/>
        <w:contextualSpacing/>
        <w:rPr>
          <w:rFonts w:eastAsia="Calibri" w:cs="Arial"/>
          <w:szCs w:val="20"/>
          <w:lang w:val="en-US"/>
        </w:rPr>
      </w:pPr>
    </w:p>
    <w:p w14:paraId="2A3C9DF5" w14:textId="77777777" w:rsidR="004A05A6" w:rsidRPr="004A05A6" w:rsidRDefault="004A05A6" w:rsidP="004A05A6">
      <w:pPr>
        <w:pStyle w:val="Ttulo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</w:pPr>
      <w:bookmarkStart w:id="3" w:name="_Toc223340235"/>
      <w:r w:rsidRPr="004A05A6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>Randomization and masking</w:t>
      </w:r>
      <w:bookmarkEnd w:id="3"/>
    </w:p>
    <w:p w14:paraId="72849C3D" w14:textId="77777777" w:rsidR="004A05A6" w:rsidRPr="004A05A6" w:rsidRDefault="004A05A6" w:rsidP="004A05A6">
      <w:pPr>
        <w:spacing w:line="360" w:lineRule="auto"/>
        <w:jc w:val="both"/>
        <w:rPr>
          <w:rFonts w:ascii="Arial" w:eastAsia="Calibri" w:hAnsi="Arial" w:cs="Arial"/>
          <w:sz w:val="22"/>
          <w:szCs w:val="18"/>
          <w:lang w:val="en-US" w:eastAsia="ja-JP"/>
        </w:rPr>
      </w:pPr>
      <w:r w:rsidRPr="004A05A6">
        <w:rPr>
          <w:rFonts w:ascii="Arial" w:eastAsia="Calibri" w:hAnsi="Arial" w:cs="Arial"/>
          <w:sz w:val="22"/>
          <w:szCs w:val="18"/>
          <w:lang w:val="en-US" w:eastAsia="ja-JP"/>
        </w:rPr>
        <w:t xml:space="preserve">Patients who underwent baseline 18F-FDG-PET were randomly assigned in a 1:4 ratio to groups A or B. A central randomization procedure was set up with the </w:t>
      </w:r>
      <w:proofErr w:type="spellStart"/>
      <w:r w:rsidRPr="004A05A6">
        <w:rPr>
          <w:rFonts w:ascii="Arial" w:eastAsia="Calibri" w:hAnsi="Arial" w:cs="Arial"/>
          <w:sz w:val="22"/>
          <w:szCs w:val="18"/>
          <w:lang w:val="en-US" w:eastAsia="ja-JP"/>
        </w:rPr>
        <w:t>OpenClinica</w:t>
      </w:r>
      <w:proofErr w:type="spellEnd"/>
      <w:r w:rsidRPr="004A05A6">
        <w:rPr>
          <w:rFonts w:ascii="Arial" w:eastAsia="Calibri" w:hAnsi="Arial" w:cs="Arial"/>
          <w:sz w:val="22"/>
          <w:szCs w:val="18"/>
          <w:lang w:val="en-US" w:eastAsia="ja-JP"/>
        </w:rPr>
        <w:t xml:space="preserve"> web-based software. Randomization was stratified by hormone receptor status (positive or negative). Patients with subclinical metastases detected at baseline 18F-FDG-PET, but not previously detected by routine clinical assessment, were included in an exploratory group C (not reported in this article). In this open-label study, patients, Investigators, and the study team were aware </w:t>
      </w:r>
      <w:r w:rsidRPr="004A05A6">
        <w:rPr>
          <w:rFonts w:ascii="Arial" w:eastAsia="Calibri" w:hAnsi="Arial" w:cs="Arial"/>
          <w:sz w:val="22"/>
          <w:szCs w:val="18"/>
          <w:lang w:val="en-US" w:eastAsia="ja-JP"/>
        </w:rPr>
        <w:lastRenderedPageBreak/>
        <w:t>of the group assignment. However, Investigators participating in the centralized review of 18F-FDG-PET results were masked to the group assignment.</w:t>
      </w:r>
    </w:p>
    <w:p w14:paraId="6FB099E1" w14:textId="77777777" w:rsidR="00C44363" w:rsidRPr="00C44363" w:rsidRDefault="00C44363" w:rsidP="00C44363">
      <w:pPr>
        <w:spacing w:before="84" w:after="60" w:line="276" w:lineRule="auto"/>
        <w:contextualSpacing/>
        <w:rPr>
          <w:rFonts w:eastAsia="Calibri" w:cs="Arial"/>
          <w:szCs w:val="20"/>
          <w:lang w:val="en-US"/>
        </w:rPr>
      </w:pPr>
    </w:p>
    <w:p w14:paraId="5C1A07E2" w14:textId="54206845" w:rsidR="00855C5D" w:rsidRPr="00561385" w:rsidRDefault="4EA9E75B" w:rsidP="00C944E5">
      <w:pPr>
        <w:pStyle w:val="Ttulo1"/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</w:pPr>
      <w:bookmarkStart w:id="4" w:name="_Toc223340236"/>
      <w:r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Supplementary </w:t>
      </w:r>
      <w:r w:rsidR="00AB1DD2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Fig.</w:t>
      </w:r>
      <w:r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 </w:t>
      </w:r>
      <w:r w:rsidR="00E76054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1</w:t>
      </w:r>
      <w:r w:rsidR="00C944E5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. </w:t>
      </w:r>
      <w:proofErr w:type="spellStart"/>
      <w:r w:rsidR="00C944E5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>PHERGain</w:t>
      </w:r>
      <w:proofErr w:type="spellEnd"/>
      <w:r w:rsidR="00C944E5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study design.</w:t>
      </w:r>
      <w:bookmarkEnd w:id="4"/>
      <w:r w:rsidR="00C944E5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7191DD15" w14:textId="44B38447" w:rsidR="5E9BF657" w:rsidRDefault="5E9BF657" w:rsidP="335B27F7">
      <w:pPr>
        <w:rPr>
          <w:rFonts w:ascii="Times" w:eastAsia="Times" w:hAnsi="Times" w:cs="Times"/>
          <w:color w:val="000000" w:themeColor="text1"/>
        </w:rPr>
      </w:pPr>
      <w:r>
        <w:rPr>
          <w:noProof/>
        </w:rPr>
        <w:drawing>
          <wp:inline distT="0" distB="0" distL="0" distR="0" wp14:anchorId="449CDAE9" wp14:editId="4E4E6D8D">
            <wp:extent cx="5869517" cy="2785533"/>
            <wp:effectExtent l="0" t="0" r="0" b="0"/>
            <wp:docPr id="2044246138" name="drawing" title="Diagram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46138" name="Picture 20442461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928" cy="27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C3AE" w14:textId="77777777" w:rsidR="00DD110E" w:rsidRPr="00AC0A3F" w:rsidRDefault="00DD110E" w:rsidP="00DD110E">
      <w:pPr>
        <w:rPr>
          <w:b/>
          <w:bCs/>
          <w:lang w:val="en-US"/>
        </w:rPr>
      </w:pPr>
      <w:r w:rsidRPr="00AC0A3F">
        <w:rPr>
          <w:b/>
          <w:bCs/>
          <w:lang w:val="en-US"/>
        </w:rPr>
        <w:t>Abbreviations:  </w:t>
      </w:r>
    </w:p>
    <w:p w14:paraId="3186B01F" w14:textId="77777777" w:rsidR="00DD110E" w:rsidRPr="00A76AEE" w:rsidRDefault="00DD110E" w:rsidP="00D25D4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76AEE">
        <w:rPr>
          <w:rFonts w:ascii="Arial" w:hAnsi="Arial" w:cs="Arial"/>
          <w:sz w:val="22"/>
          <w:szCs w:val="22"/>
          <w:lang w:val="en-US"/>
        </w:rPr>
        <w:t xml:space="preserve">C: Carboplatin; D: Docetaxel; EBC: Early breast cancer;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ETx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 xml:space="preserve">: Endocrine therapy (letrozole post-menopausal/tamoxifen pre-menopausal), Adjuvant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ETx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 xml:space="preserve"> up to 3 years from surgery; PET: </w:t>
      </w:r>
      <w:r w:rsidRPr="00A76AEE">
        <w:rPr>
          <w:rFonts w:ascii="Arial" w:hAnsi="Arial" w:cs="Arial"/>
          <w:sz w:val="22"/>
          <w:szCs w:val="22"/>
          <w:vertAlign w:val="superscript"/>
          <w:lang w:val="en-US"/>
        </w:rPr>
        <w:t>18</w:t>
      </w:r>
      <w:r w:rsidRPr="00A76AEE">
        <w:rPr>
          <w:rFonts w:ascii="Arial" w:hAnsi="Arial" w:cs="Arial"/>
          <w:sz w:val="22"/>
          <w:szCs w:val="22"/>
          <w:lang w:val="en-US"/>
        </w:rPr>
        <w:t xml:space="preserve">F-fluorodeoxyglucose positron emission tomography/computed tomography;  H: Trastuzumab SC; HER2: Human Epidermal Growth Factor Receptor 2;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iDFS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 xml:space="preserve">: Invasive disease-free survival; MRI: Magnetic resonance Imaging; P: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Pertuzumab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 xml:space="preserve"> IV; R: Randomization; TCHP: Trastuzumab,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pertuzumab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>, docetaxel, and carboplatin.  </w:t>
      </w:r>
    </w:p>
    <w:p w14:paraId="171F5ACC" w14:textId="77777777" w:rsidR="00DD110E" w:rsidRPr="00A76AEE" w:rsidRDefault="00DD110E" w:rsidP="00D25D4E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A76AEE">
        <w:rPr>
          <w:rFonts w:ascii="Arial" w:hAnsi="Arial" w:cs="Arial"/>
          <w:sz w:val="22"/>
          <w:szCs w:val="22"/>
        </w:rPr>
        <w:t>ⱡ</w:t>
      </w:r>
      <w:r w:rsidRPr="00A76AEE">
        <w:rPr>
          <w:rFonts w:ascii="Arial" w:hAnsi="Arial" w:cs="Arial"/>
          <w:sz w:val="22"/>
          <w:szCs w:val="22"/>
          <w:lang w:val="en-US"/>
        </w:rPr>
        <w:t>  All</w:t>
      </w:r>
      <w:proofErr w:type="gramEnd"/>
      <w:r w:rsidRPr="00A76AEE">
        <w:rPr>
          <w:rFonts w:ascii="Arial" w:hAnsi="Arial" w:cs="Arial"/>
          <w:sz w:val="22"/>
          <w:szCs w:val="22"/>
          <w:lang w:val="en-US"/>
        </w:rPr>
        <w:t xml:space="preserve"> hormonal receptor-positive patients received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ETx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 xml:space="preserve"> concomitantly with PH (except on chemotherapy). </w:t>
      </w:r>
    </w:p>
    <w:p w14:paraId="28EB0D2B" w14:textId="77777777" w:rsidR="00DD110E" w:rsidRPr="00A76AEE" w:rsidRDefault="00DD110E" w:rsidP="00D25D4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76AEE">
        <w:rPr>
          <w:rFonts w:ascii="Arial" w:hAnsi="Arial" w:cs="Arial"/>
          <w:sz w:val="22"/>
          <w:szCs w:val="22"/>
          <w:lang w:val="en-US"/>
        </w:rPr>
        <w:t xml:space="preserve">​​PET RESPONDERS: RECIST responders after cycle 2 with </w:t>
      </w: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SUVmax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 xml:space="preserve"> reduction ≥40%.​ </w:t>
      </w:r>
    </w:p>
    <w:p w14:paraId="5C64E1EB" w14:textId="77777777" w:rsidR="00DD110E" w:rsidRPr="00A76AEE" w:rsidRDefault="00DD110E" w:rsidP="00D25D4E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76AEE">
        <w:rPr>
          <w:rFonts w:ascii="Arial" w:hAnsi="Arial" w:cs="Arial"/>
          <w:sz w:val="22"/>
          <w:szCs w:val="22"/>
          <w:lang w:val="en-US"/>
        </w:rPr>
        <w:t>pCR</w:t>
      </w:r>
      <w:proofErr w:type="spellEnd"/>
      <w:r w:rsidRPr="00A76AEE">
        <w:rPr>
          <w:rFonts w:ascii="Arial" w:hAnsi="Arial" w:cs="Arial"/>
          <w:sz w:val="22"/>
          <w:szCs w:val="22"/>
          <w:lang w:val="en-US"/>
        </w:rPr>
        <w:t>, Pathological complete response (ypT0/isN0) </w:t>
      </w:r>
    </w:p>
    <w:p w14:paraId="0CBE00D9" w14:textId="55EB167C" w:rsidR="335B27F7" w:rsidRPr="00DD110E" w:rsidRDefault="335B27F7">
      <w:pPr>
        <w:rPr>
          <w:lang w:val="en-US"/>
        </w:rPr>
      </w:pPr>
    </w:p>
    <w:p w14:paraId="22742E20" w14:textId="27E31858" w:rsidR="335B27F7" w:rsidRPr="00DD110E" w:rsidRDefault="335B27F7">
      <w:pPr>
        <w:rPr>
          <w:lang w:val="en-US"/>
        </w:rPr>
      </w:pPr>
    </w:p>
    <w:p w14:paraId="128D8681" w14:textId="4B344777" w:rsidR="00405631" w:rsidRPr="00561385" w:rsidRDefault="0544D005" w:rsidP="003C724F">
      <w:pPr>
        <w:pStyle w:val="Ttulo1"/>
        <w:rPr>
          <w:rFonts w:ascii="Arial" w:eastAsiaTheme="minorHAnsi" w:hAnsi="Arial" w:cs="Arial"/>
          <w:color w:val="auto"/>
          <w:sz w:val="24"/>
          <w:szCs w:val="24"/>
          <w:lang w:val="en-US"/>
        </w:rPr>
      </w:pPr>
      <w:bookmarkStart w:id="5" w:name="_Toc223340237"/>
      <w:r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lastRenderedPageBreak/>
        <w:t xml:space="preserve">Supplementary </w:t>
      </w:r>
      <w:r w:rsidR="00E8515E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F</w:t>
      </w:r>
      <w:r w:rsidR="00AB1DD2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ig.</w:t>
      </w:r>
      <w:r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 </w:t>
      </w:r>
      <w:r w:rsidR="00E76054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2</w:t>
      </w:r>
      <w:r w:rsidR="00C944E5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. </w:t>
      </w:r>
      <w:r w:rsidR="00C944E5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Consort diagram of </w:t>
      </w:r>
      <w:r w:rsidR="00001951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>plasma sample</w:t>
      </w:r>
      <w:r w:rsidR="003C724F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collection </w:t>
      </w:r>
      <w:r w:rsidR="00001951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for </w:t>
      </w:r>
      <w:proofErr w:type="spellStart"/>
      <w:r w:rsidR="00001951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>ctDNA</w:t>
      </w:r>
      <w:proofErr w:type="spellEnd"/>
      <w:r w:rsidR="00001951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analyses</w:t>
      </w:r>
      <w:r w:rsidR="00700567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at baseline, the day after cycle 2 (C3D1) and pre-surgery.</w:t>
      </w:r>
      <w:bookmarkEnd w:id="5"/>
    </w:p>
    <w:p w14:paraId="68E6DE25" w14:textId="548A11D3" w:rsidR="00405631" w:rsidRDefault="60E9DBB2" w:rsidP="335B27F7">
      <w:pPr>
        <w:rPr>
          <w:rFonts w:ascii="Times" w:eastAsia="Times" w:hAnsi="Times" w:cs="Times"/>
          <w:color w:val="000000" w:themeColor="text1"/>
        </w:rPr>
      </w:pPr>
      <w:r>
        <w:rPr>
          <w:noProof/>
        </w:rPr>
        <w:drawing>
          <wp:inline distT="0" distB="0" distL="0" distR="0" wp14:anchorId="368BD147" wp14:editId="3E9E4176">
            <wp:extent cx="5738459" cy="2587557"/>
            <wp:effectExtent l="0" t="0" r="0" b="0"/>
            <wp:docPr id="1298101403" name="drawing" title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01403" name="Picture 129810140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602" cy="261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8D95" w14:textId="1E868EA8" w:rsidR="00405631" w:rsidRPr="00561385" w:rsidRDefault="60E9DBB2" w:rsidP="002A5E6D">
      <w:pPr>
        <w:pStyle w:val="Ttulo1"/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</w:pPr>
      <w:bookmarkStart w:id="6" w:name="_Toc223340238"/>
      <w:r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Supplementary </w:t>
      </w:r>
      <w:r w:rsidR="00E8515E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F</w:t>
      </w:r>
      <w:r w:rsidR="00AB1DD2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>ig.</w:t>
      </w:r>
      <w:r w:rsidR="00E76054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 3</w:t>
      </w:r>
      <w:r w:rsidR="003C724F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. </w:t>
      </w:r>
      <w:r w:rsidR="003B1DB8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Association between </w:t>
      </w:r>
      <w:proofErr w:type="spellStart"/>
      <w:r w:rsidR="003B1DB8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>ctDNA</w:t>
      </w:r>
      <w:proofErr w:type="spellEnd"/>
      <w:r w:rsidR="003B1DB8" w:rsidRPr="00561385">
        <w:rPr>
          <w:rFonts w:ascii="Arial" w:eastAsiaTheme="minorHAnsi" w:hAnsi="Arial" w:cs="Arial"/>
          <w:color w:val="auto"/>
          <w:sz w:val="24"/>
          <w:szCs w:val="24"/>
          <w:lang w:val="en-US"/>
        </w:rPr>
        <w:t xml:space="preserve"> clearance and PET response.</w:t>
      </w:r>
      <w:bookmarkEnd w:id="6"/>
      <w:r w:rsidR="003B1DB8" w:rsidRPr="00561385">
        <w:rPr>
          <w:rFonts w:ascii="Arial" w:eastAsiaTheme="minorHAnsi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3D638001" w14:textId="2D414221" w:rsidR="00405631" w:rsidRDefault="0544D005" w:rsidP="68F3C480">
      <w:pPr>
        <w:rPr>
          <w:rFonts w:ascii="Times" w:eastAsia="Times" w:hAnsi="Times" w:cs="Times"/>
          <w:color w:val="000000" w:themeColor="text1"/>
        </w:rPr>
      </w:pPr>
      <w:r>
        <w:rPr>
          <w:noProof/>
        </w:rPr>
        <w:drawing>
          <wp:inline distT="0" distB="0" distL="0" distR="0" wp14:anchorId="1544A55B" wp14:editId="1D23DFAB">
            <wp:extent cx="2019671" cy="1886674"/>
            <wp:effectExtent l="0" t="0" r="0" b="5715"/>
            <wp:docPr id="2082586512" name="drawing" title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86512" name="Picture 20825865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93" cy="190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8177" w14:textId="63280023" w:rsidR="00047254" w:rsidRPr="00561385" w:rsidRDefault="00047254" w:rsidP="68F3C480">
      <w:pPr>
        <w:rPr>
          <w:rFonts w:ascii="Arial" w:eastAsia="Times" w:hAnsi="Arial" w:cs="Arial"/>
          <w:color w:val="000000" w:themeColor="text1"/>
          <w:lang w:val="en-US"/>
        </w:rPr>
      </w:pPr>
      <w:bookmarkStart w:id="7" w:name="_Toc223340239"/>
      <w:r w:rsidRPr="00561385">
        <w:rPr>
          <w:rStyle w:val="Ttulo1Car"/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E8515E" w:rsidRPr="00561385">
        <w:rPr>
          <w:rStyle w:val="Ttulo1Car"/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</w:t>
      </w:r>
      <w:r w:rsidR="00AB1DD2" w:rsidRPr="00561385">
        <w:rPr>
          <w:rStyle w:val="Ttulo1Car"/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ig.</w:t>
      </w:r>
      <w:r w:rsidRPr="00561385">
        <w:rPr>
          <w:rStyle w:val="Ttulo1Car"/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4.</w:t>
      </w:r>
      <w:r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>Assoc</w:t>
      </w:r>
      <w:r w:rsidR="00DD1267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ation between </w:t>
      </w:r>
      <w:proofErr w:type="spellStart"/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>ctDNA</w:t>
      </w:r>
      <w:proofErr w:type="spellEnd"/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 status </w:t>
      </w:r>
      <w:r w:rsidR="008D2E43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at C3D1 and pre-surgery </w:t>
      </w:r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and </w:t>
      </w:r>
      <w:r w:rsidR="008A2A81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>clearance</w:t>
      </w:r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8D670B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>with</w:t>
      </w:r>
      <w:r w:rsidR="00070570" w:rsidRPr="00561385">
        <w:rPr>
          <w:rStyle w:val="Ttulo1Car"/>
          <w:rFonts w:ascii="Arial" w:hAnsi="Arial" w:cs="Arial"/>
          <w:color w:val="000000" w:themeColor="text1"/>
          <w:sz w:val="24"/>
          <w:szCs w:val="24"/>
          <w:lang w:val="en-US"/>
        </w:rPr>
        <w:t xml:space="preserve"> 5-year DDFS.</w:t>
      </w:r>
      <w:bookmarkEnd w:id="7"/>
      <w:r w:rsidR="00070570" w:rsidRPr="00561385">
        <w:rPr>
          <w:rFonts w:ascii="Arial" w:eastAsia="Times" w:hAnsi="Arial" w:cs="Arial"/>
          <w:color w:val="000000" w:themeColor="text1"/>
          <w:lang w:val="en-US"/>
        </w:rPr>
        <w:t xml:space="preserve"> </w:t>
      </w:r>
      <w:r w:rsidR="00DD1267" w:rsidRPr="00561385">
        <w:rPr>
          <w:rFonts w:ascii="Arial" w:hAnsi="Arial" w:cs="Arial"/>
          <w:lang w:val="en-US"/>
        </w:rPr>
        <w:t>*Cox multivariate model adjusting for disease stage and nodal status</w:t>
      </w:r>
      <w:r w:rsidR="008D2E43">
        <w:rPr>
          <w:rFonts w:ascii="Arial" w:hAnsi="Arial" w:cs="Arial"/>
          <w:lang w:val="en-US"/>
        </w:rPr>
        <w:t xml:space="preserve">. </w:t>
      </w:r>
      <w:proofErr w:type="spellStart"/>
      <w:r w:rsidR="008D2E43">
        <w:rPr>
          <w:rFonts w:ascii="Arial" w:hAnsi="Arial" w:cs="Arial"/>
          <w:lang w:val="en-US"/>
        </w:rPr>
        <w:t>ctDNA</w:t>
      </w:r>
      <w:proofErr w:type="spellEnd"/>
      <w:r w:rsidR="008D2E43">
        <w:rPr>
          <w:rFonts w:ascii="Arial" w:hAnsi="Arial" w:cs="Arial"/>
          <w:lang w:val="en-US"/>
        </w:rPr>
        <w:t xml:space="preserve"> clearance (ref) vs no </w:t>
      </w:r>
      <w:proofErr w:type="spellStart"/>
      <w:r w:rsidR="008D2E43">
        <w:rPr>
          <w:rFonts w:ascii="Arial" w:hAnsi="Arial" w:cs="Arial"/>
          <w:lang w:val="en-US"/>
        </w:rPr>
        <w:t>ctDNA</w:t>
      </w:r>
      <w:proofErr w:type="spellEnd"/>
      <w:r w:rsidR="008D2E43">
        <w:rPr>
          <w:rFonts w:ascii="Arial" w:hAnsi="Arial" w:cs="Arial"/>
          <w:lang w:val="en-US"/>
        </w:rPr>
        <w:t xml:space="preserve"> clearance.</w:t>
      </w:r>
    </w:p>
    <w:p w14:paraId="527B52A6" w14:textId="7DF9F700" w:rsidR="00047254" w:rsidRDefault="008D2E43" w:rsidP="68F3C480">
      <w:pPr>
        <w:rPr>
          <w:rFonts w:ascii="Times" w:eastAsia="Times" w:hAnsi="Times" w:cs="Times"/>
          <w:color w:val="000000" w:themeColor="text1"/>
        </w:rPr>
      </w:pPr>
      <w:r>
        <w:rPr>
          <w:rFonts w:ascii="Times" w:eastAsia="Times" w:hAnsi="Times" w:cs="Times"/>
          <w:noProof/>
          <w:color w:val="000000" w:themeColor="text1"/>
        </w:rPr>
        <w:lastRenderedPageBreak/>
        <w:drawing>
          <wp:inline distT="0" distB="0" distL="0" distR="0" wp14:anchorId="7985B4E8" wp14:editId="109A1F9A">
            <wp:extent cx="5731510" cy="4890770"/>
            <wp:effectExtent l="0" t="0" r="0" b="0"/>
            <wp:docPr id="194578223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82231" name="Imagen 1" descr="Interfaz de usuario gráfica&#10;&#10;Descripción generada automá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5BCC" w14:textId="77777777" w:rsidR="005F2943" w:rsidRDefault="005F2943" w:rsidP="68F3C480">
      <w:pPr>
        <w:rPr>
          <w:rFonts w:ascii="Times" w:eastAsia="Times" w:hAnsi="Times" w:cs="Times"/>
          <w:color w:val="000000" w:themeColor="text1"/>
        </w:rPr>
      </w:pPr>
    </w:p>
    <w:p w14:paraId="6BBD7A1F" w14:textId="1FE5897C" w:rsidR="003F55E3" w:rsidRPr="00561385" w:rsidRDefault="005F2943" w:rsidP="00561212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bookmarkStart w:id="8" w:name="_Toc223340240"/>
      <w:r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E8515E"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</w:t>
      </w:r>
      <w:r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able 1</w:t>
      </w:r>
      <w:r w:rsidR="003F55E3"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5-year </w:t>
      </w:r>
      <w:proofErr w:type="spellStart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iDFS</w:t>
      </w:r>
      <w:proofErr w:type="spellEnd"/>
      <w:r w:rsidR="00F12875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events by</w:t>
      </w:r>
      <w:r w:rsidR="003F55E3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55E3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ctDNA</w:t>
      </w:r>
      <w:proofErr w:type="spellEnd"/>
      <w:r w:rsidR="003F55E3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status at baseline</w:t>
      </w:r>
      <w:r w:rsidR="00100B91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bookmarkEnd w:id="8"/>
      <w:r w:rsidR="003F55E3"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43"/>
        <w:gridCol w:w="1127"/>
      </w:tblGrid>
      <w:tr w:rsidR="004E40BA" w:rsidRPr="00D25D4E" w14:paraId="128E2347" w14:textId="77777777" w:rsidTr="00D25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0C563EA2" w14:textId="68D4B8EE" w:rsidR="004E40BA" w:rsidRPr="00D25D4E" w:rsidRDefault="004E40BA" w:rsidP="68F3C480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63AD832C" w14:textId="365565B8" w:rsidR="004E40BA" w:rsidRPr="00D25D4E" w:rsidRDefault="004E40BA" w:rsidP="68F3C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n</w:t>
            </w:r>
          </w:p>
        </w:tc>
      </w:tr>
      <w:tr w:rsidR="008505D0" w:rsidRPr="00D25D4E" w14:paraId="5FFBD74C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71EC0AAB" w14:textId="11F8EE21" w:rsidR="004E40BA" w:rsidRPr="00D25D4E" w:rsidRDefault="004E40BA" w:rsidP="68F3C480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27" w:type="dxa"/>
          </w:tcPr>
          <w:p w14:paraId="076244F3" w14:textId="77777777" w:rsidR="004E40BA" w:rsidRPr="00D25D4E" w:rsidRDefault="004E40BA" w:rsidP="68F3C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E40BA" w:rsidRPr="00D25D4E" w14:paraId="54194B60" w14:textId="77777777" w:rsidTr="00D25D4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5B7F6137" w14:textId="14C89E94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Contralateral invasive breast cancer</w:t>
            </w:r>
          </w:p>
        </w:tc>
        <w:tc>
          <w:tcPr>
            <w:tcW w:w="1127" w:type="dxa"/>
          </w:tcPr>
          <w:p w14:paraId="40C15651" w14:textId="5153DC90" w:rsidR="004E40BA" w:rsidRPr="00D25D4E" w:rsidRDefault="004E40BA" w:rsidP="68F3C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  <w:tr w:rsidR="008505D0" w:rsidRPr="00D25D4E" w14:paraId="7F1BDF85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696D7591" w14:textId="53F84B3A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Distant recurrence</w:t>
            </w:r>
          </w:p>
        </w:tc>
        <w:tc>
          <w:tcPr>
            <w:tcW w:w="1127" w:type="dxa"/>
          </w:tcPr>
          <w:p w14:paraId="274437C2" w14:textId="4059D52C" w:rsidR="004E40BA" w:rsidRPr="00D25D4E" w:rsidRDefault="004E40BA" w:rsidP="68F3C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  <w:tr w:rsidR="004E40BA" w:rsidRPr="00D25D4E" w14:paraId="3B32732C" w14:textId="77777777" w:rsidTr="00D25D4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6B5AED8C" w14:textId="256DDCBA" w:rsidR="004E40BA" w:rsidRPr="00D25D4E" w:rsidRDefault="004E40BA" w:rsidP="68F3C480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+</w:t>
            </w:r>
          </w:p>
        </w:tc>
        <w:tc>
          <w:tcPr>
            <w:tcW w:w="1127" w:type="dxa"/>
          </w:tcPr>
          <w:p w14:paraId="1A57F3D8" w14:textId="77777777" w:rsidR="004E40BA" w:rsidRPr="00D25D4E" w:rsidRDefault="004E40BA" w:rsidP="68F3C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8505D0" w:rsidRPr="00D25D4E" w14:paraId="7D71AF4B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19792053" w14:textId="2E2C07C3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Distant recurrence</w:t>
            </w:r>
          </w:p>
        </w:tc>
        <w:tc>
          <w:tcPr>
            <w:tcW w:w="1127" w:type="dxa"/>
          </w:tcPr>
          <w:p w14:paraId="56D9D29D" w14:textId="7081D874" w:rsidR="004E40BA" w:rsidRPr="00D25D4E" w:rsidRDefault="004E40BA" w:rsidP="68F3C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</w:tr>
      <w:tr w:rsidR="004E40BA" w:rsidRPr="00D25D4E" w14:paraId="301DEDCF" w14:textId="77777777" w:rsidTr="00D25D4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0D5EBD6C" w14:textId="4FA07225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Second primary non-breast invasive cancer</w:t>
            </w:r>
          </w:p>
        </w:tc>
        <w:tc>
          <w:tcPr>
            <w:tcW w:w="1127" w:type="dxa"/>
          </w:tcPr>
          <w:p w14:paraId="06957E60" w14:textId="6BFFAA36" w:rsidR="004E40BA" w:rsidRPr="00D25D4E" w:rsidRDefault="004E40BA" w:rsidP="68F3C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</w:tr>
      <w:tr w:rsidR="008505D0" w:rsidRPr="00D25D4E" w14:paraId="718BD89A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0738FC3D" w14:textId="2FB940F7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Regional invasive breast cancer recurrence</w:t>
            </w:r>
          </w:p>
        </w:tc>
        <w:tc>
          <w:tcPr>
            <w:tcW w:w="1127" w:type="dxa"/>
          </w:tcPr>
          <w:p w14:paraId="30316210" w14:textId="56C20326" w:rsidR="004E40BA" w:rsidRPr="00D25D4E" w:rsidRDefault="004E40BA" w:rsidP="68F3C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</w:tr>
      <w:tr w:rsidR="004E40BA" w:rsidRPr="00D25D4E" w14:paraId="5F538664" w14:textId="77777777" w:rsidTr="00D25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2AA9EDEB" w14:textId="129700EF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Death</w:t>
            </w:r>
          </w:p>
        </w:tc>
        <w:tc>
          <w:tcPr>
            <w:tcW w:w="1127" w:type="dxa"/>
          </w:tcPr>
          <w:p w14:paraId="541907F8" w14:textId="4CE05FA4" w:rsidR="004E40BA" w:rsidRPr="00D25D4E" w:rsidRDefault="004E40BA" w:rsidP="68F3C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9226F8" w:rsidRPr="00D25D4E" w14:paraId="08A0252B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2AE9FBC8" w14:textId="044A1AB3" w:rsidR="004E40BA" w:rsidRPr="00D25D4E" w:rsidRDefault="004E40BA" w:rsidP="004E40BA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Ipsilateral invasive breast tumor recurrence</w:t>
            </w:r>
          </w:p>
        </w:tc>
        <w:tc>
          <w:tcPr>
            <w:tcW w:w="1127" w:type="dxa"/>
          </w:tcPr>
          <w:p w14:paraId="6D6CF92D" w14:textId="29EEE553" w:rsidR="004E40BA" w:rsidRPr="00D25D4E" w:rsidRDefault="004E40BA" w:rsidP="68F3C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</w:tbl>
    <w:p w14:paraId="032A1710" w14:textId="77777777" w:rsidR="004E40BA" w:rsidRDefault="004E40BA" w:rsidP="68F3C480">
      <w:pPr>
        <w:rPr>
          <w:rFonts w:ascii="Times" w:eastAsia="Times" w:hAnsi="Times" w:cs="Times"/>
          <w:color w:val="000000" w:themeColor="text1"/>
          <w:lang w:val="en-US"/>
        </w:rPr>
      </w:pPr>
    </w:p>
    <w:p w14:paraId="542E9F7C" w14:textId="22B1146B" w:rsidR="003F55E3" w:rsidRPr="00561385" w:rsidRDefault="004C1744" w:rsidP="00561212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bookmarkStart w:id="9" w:name="_Toc223340241"/>
      <w:r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E8515E"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</w:t>
      </w:r>
      <w:r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able 2. </w:t>
      </w:r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5-year </w:t>
      </w:r>
      <w:proofErr w:type="spellStart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iDFS</w:t>
      </w:r>
      <w:proofErr w:type="spellEnd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events by </w:t>
      </w:r>
      <w:proofErr w:type="spellStart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ctDNA</w:t>
      </w:r>
      <w:proofErr w:type="spellEnd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status at C3D1</w:t>
      </w:r>
      <w:bookmarkEnd w:id="9"/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43"/>
        <w:gridCol w:w="1127"/>
      </w:tblGrid>
      <w:tr w:rsidR="00832266" w:rsidRPr="00D25D4E" w14:paraId="0F5446EC" w14:textId="77777777" w:rsidTr="00D25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1344DECE" w14:textId="77777777" w:rsidR="00832266" w:rsidRPr="00D25D4E" w:rsidRDefault="00832266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54244ABE" w14:textId="77777777" w:rsidR="00832266" w:rsidRPr="00D25D4E" w:rsidRDefault="00832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n</w:t>
            </w:r>
          </w:p>
        </w:tc>
      </w:tr>
      <w:tr w:rsidR="00832266" w:rsidRPr="00D25D4E" w14:paraId="751D6CC8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2F3194CA" w14:textId="77777777" w:rsidR="00832266" w:rsidRPr="00D25D4E" w:rsidRDefault="00832266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27" w:type="dxa"/>
          </w:tcPr>
          <w:p w14:paraId="1C25E70C" w14:textId="77777777" w:rsidR="00832266" w:rsidRPr="00D25D4E" w:rsidRDefault="00832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B77B3" w:rsidRPr="00D25D4E" w14:paraId="0759A70E" w14:textId="77777777" w:rsidTr="00D25D4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04E3220E" w14:textId="75EA2CF9" w:rsidR="001B77B3" w:rsidRPr="00D25D4E" w:rsidRDefault="001B77B3" w:rsidP="001B77B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Ipsilateral invasive breast tumor recurrence</w:t>
            </w:r>
          </w:p>
        </w:tc>
        <w:tc>
          <w:tcPr>
            <w:tcW w:w="1127" w:type="dxa"/>
          </w:tcPr>
          <w:p w14:paraId="189E2E0F" w14:textId="6A976CF6" w:rsidR="001B77B3" w:rsidRPr="00D25D4E" w:rsidRDefault="00E35511" w:rsidP="001B7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</w:tr>
      <w:tr w:rsidR="00E35511" w:rsidRPr="00D25D4E" w14:paraId="0BC9DB2A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156A8101" w14:textId="591A25F6" w:rsidR="00E35511" w:rsidRPr="00D25D4E" w:rsidRDefault="00E35511" w:rsidP="00E35511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Second primary non-breast invasive cancer</w:t>
            </w:r>
          </w:p>
        </w:tc>
        <w:tc>
          <w:tcPr>
            <w:tcW w:w="1127" w:type="dxa"/>
          </w:tcPr>
          <w:p w14:paraId="31E3D0B1" w14:textId="71EA5081" w:rsidR="00E35511" w:rsidRPr="00D25D4E" w:rsidRDefault="00E35511" w:rsidP="00E35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</w:tr>
      <w:tr w:rsidR="00832266" w:rsidRPr="00D25D4E" w14:paraId="56EF5387" w14:textId="77777777" w:rsidTr="00D25D4E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59E98AF6" w14:textId="68488843" w:rsidR="00832266" w:rsidRPr="00D25D4E" w:rsidRDefault="00E35511" w:rsidP="00E35511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Death</w:t>
            </w:r>
          </w:p>
        </w:tc>
        <w:tc>
          <w:tcPr>
            <w:tcW w:w="1127" w:type="dxa"/>
          </w:tcPr>
          <w:p w14:paraId="6F84DBC0" w14:textId="451F49F1" w:rsidR="00832266" w:rsidRPr="00D25D4E" w:rsidRDefault="00E35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832266" w:rsidRPr="00D25D4E" w14:paraId="39AA9084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366448C5" w14:textId="3FE0C8D1" w:rsidR="00832266" w:rsidRPr="00D25D4E" w:rsidRDefault="00E35511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Distant recurrence</w:t>
            </w:r>
          </w:p>
        </w:tc>
        <w:tc>
          <w:tcPr>
            <w:tcW w:w="1127" w:type="dxa"/>
          </w:tcPr>
          <w:p w14:paraId="40488888" w14:textId="5C647DBD" w:rsidR="00832266" w:rsidRPr="00D25D4E" w:rsidRDefault="00E35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832266" w:rsidRPr="00D25D4E" w14:paraId="0E725124" w14:textId="77777777" w:rsidTr="00D25D4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5F76D9E3" w14:textId="63DC320D" w:rsidR="00832266" w:rsidRPr="00D25D4E" w:rsidRDefault="00E35511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lastRenderedPageBreak/>
              <w:t>Contralateral invasive breast cancer</w:t>
            </w:r>
          </w:p>
        </w:tc>
        <w:tc>
          <w:tcPr>
            <w:tcW w:w="1127" w:type="dxa"/>
          </w:tcPr>
          <w:p w14:paraId="6D91D3AC" w14:textId="163897AD" w:rsidR="00832266" w:rsidRPr="00D25D4E" w:rsidRDefault="00E35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  <w:tr w:rsidR="001B77B3" w:rsidRPr="00D25D4E" w14:paraId="439782C9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529F9BE2" w14:textId="37017800" w:rsidR="001B77B3" w:rsidRPr="00D25D4E" w:rsidRDefault="001B77B3" w:rsidP="00D75ACD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+</w:t>
            </w:r>
          </w:p>
        </w:tc>
        <w:tc>
          <w:tcPr>
            <w:tcW w:w="1127" w:type="dxa"/>
          </w:tcPr>
          <w:p w14:paraId="502C03B8" w14:textId="4E325627" w:rsidR="001B77B3" w:rsidRPr="00D25D4E" w:rsidRDefault="001B77B3" w:rsidP="001B7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B77B3" w:rsidRPr="00D25D4E" w14:paraId="1CACC396" w14:textId="77777777" w:rsidTr="00D25D4E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268123CD" w14:textId="4E655A03" w:rsidR="001B77B3" w:rsidRPr="00D25D4E" w:rsidRDefault="001B77B3" w:rsidP="001B77B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Distant recurrence</w:t>
            </w:r>
          </w:p>
        </w:tc>
        <w:tc>
          <w:tcPr>
            <w:tcW w:w="1127" w:type="dxa"/>
          </w:tcPr>
          <w:p w14:paraId="43472D97" w14:textId="52E0F09F" w:rsidR="001B77B3" w:rsidRPr="00D25D4E" w:rsidRDefault="00D75ACD" w:rsidP="001B7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</w:tr>
      <w:tr w:rsidR="001B77B3" w:rsidRPr="00D25D4E" w14:paraId="6C622493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110082C3" w14:textId="048838E3" w:rsidR="001B77B3" w:rsidRPr="00D25D4E" w:rsidRDefault="001B77B3" w:rsidP="001B77B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Regional invasive breast cancer recurrence</w:t>
            </w:r>
          </w:p>
        </w:tc>
        <w:tc>
          <w:tcPr>
            <w:tcW w:w="1127" w:type="dxa"/>
          </w:tcPr>
          <w:p w14:paraId="5BA537FF" w14:textId="1A7BDDC1" w:rsidR="001B77B3" w:rsidRPr="00D25D4E" w:rsidRDefault="00D75ACD" w:rsidP="001B7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D75ACD" w:rsidRPr="00D25D4E" w14:paraId="4CBD2CBB" w14:textId="77777777" w:rsidTr="00D25D4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14:paraId="71726293" w14:textId="2570458A" w:rsidR="00D75ACD" w:rsidRPr="00D25D4E" w:rsidRDefault="00D75ACD" w:rsidP="00D75ACD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Second primary non-breast invasive cancer</w:t>
            </w:r>
          </w:p>
        </w:tc>
        <w:tc>
          <w:tcPr>
            <w:tcW w:w="1127" w:type="dxa"/>
          </w:tcPr>
          <w:p w14:paraId="4C3C9F6E" w14:textId="1CF6EE5C" w:rsidR="00D75ACD" w:rsidRPr="00D25D4E" w:rsidRDefault="00D75ACD" w:rsidP="00D7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</w:tbl>
    <w:p w14:paraId="4B4438D3" w14:textId="77777777" w:rsidR="00832266" w:rsidRDefault="00832266" w:rsidP="68F3C480">
      <w:pPr>
        <w:rPr>
          <w:rFonts w:ascii="Times" w:eastAsia="Times" w:hAnsi="Times" w:cs="Times"/>
          <w:color w:val="000000" w:themeColor="text1"/>
          <w:lang w:val="en-US"/>
        </w:rPr>
      </w:pPr>
    </w:p>
    <w:p w14:paraId="09E35AB5" w14:textId="52DCCA5A" w:rsidR="00F12875" w:rsidRPr="00561385" w:rsidRDefault="00F12875" w:rsidP="00561212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bookmarkStart w:id="10" w:name="_Toc223340242"/>
      <w:r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E8515E"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</w:t>
      </w:r>
      <w:r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able 3.</w:t>
      </w:r>
      <w:r w:rsidR="00CE2D79" w:rsidRPr="00561385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5-year </w:t>
      </w:r>
      <w:proofErr w:type="spellStart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iDFS</w:t>
      </w:r>
      <w:proofErr w:type="spellEnd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events by </w:t>
      </w:r>
      <w:proofErr w:type="spellStart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>ctDNA</w:t>
      </w:r>
      <w:proofErr w:type="spellEnd"/>
      <w:r w:rsidR="00CE2D79" w:rsidRPr="0056138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clearance at C3D1</w:t>
      </w:r>
      <w:bookmarkEnd w:id="10"/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74"/>
        <w:gridCol w:w="1135"/>
      </w:tblGrid>
      <w:tr w:rsidR="0022043F" w:rsidRPr="00D25D4E" w14:paraId="4ECFB3F4" w14:textId="77777777" w:rsidTr="00D25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35B54BF5" w14:textId="77777777" w:rsidR="0022043F" w:rsidRPr="00D25D4E" w:rsidRDefault="0022043F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14:paraId="072FC61B" w14:textId="77777777" w:rsidR="0022043F" w:rsidRPr="00D25D4E" w:rsidRDefault="002204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n</w:t>
            </w:r>
          </w:p>
        </w:tc>
      </w:tr>
      <w:tr w:rsidR="0022043F" w:rsidRPr="00D25D4E" w14:paraId="044F8813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11376FAF" w14:textId="3036A4D4" w:rsidR="0022043F" w:rsidRPr="00D25D4E" w:rsidRDefault="0022043F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 xml:space="preserve">No </w:t>
            </w: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 xml:space="preserve"> at baseline</w:t>
            </w:r>
          </w:p>
        </w:tc>
        <w:tc>
          <w:tcPr>
            <w:tcW w:w="1135" w:type="dxa"/>
          </w:tcPr>
          <w:p w14:paraId="16C45076" w14:textId="77777777" w:rsidR="0022043F" w:rsidRPr="00D25D4E" w:rsidRDefault="0022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22043F" w:rsidRPr="00D25D4E" w14:paraId="180A1233" w14:textId="77777777" w:rsidTr="00D25D4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7A240622" w14:textId="7EF79556" w:rsidR="0022043F" w:rsidRPr="00D25D4E" w:rsidRDefault="0022043F" w:rsidP="0022043F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Contralateral invasive breast cancer</w:t>
            </w:r>
          </w:p>
        </w:tc>
        <w:tc>
          <w:tcPr>
            <w:tcW w:w="1135" w:type="dxa"/>
          </w:tcPr>
          <w:p w14:paraId="530C4042" w14:textId="71740117" w:rsidR="0022043F" w:rsidRPr="00D25D4E" w:rsidRDefault="0022043F" w:rsidP="0022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  <w:tr w:rsidR="0022043F" w:rsidRPr="00D25D4E" w14:paraId="1D02AFD6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5568E96C" w14:textId="7DAD044E" w:rsidR="00BD3E64" w:rsidRPr="00D25D4E" w:rsidRDefault="0022043F" w:rsidP="0022043F">
            <w:pPr>
              <w:rPr>
                <w:rFonts w:ascii="Arial" w:eastAsia="Times" w:hAnsi="Arial" w:cs="Arial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="00BD3E64"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 xml:space="preserve"> clearance</w:t>
            </w:r>
          </w:p>
        </w:tc>
        <w:tc>
          <w:tcPr>
            <w:tcW w:w="1135" w:type="dxa"/>
          </w:tcPr>
          <w:p w14:paraId="34CFA53C" w14:textId="18ECBB79" w:rsidR="0022043F" w:rsidRPr="00D25D4E" w:rsidRDefault="0022043F" w:rsidP="0022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22043F" w:rsidRPr="00D25D4E" w14:paraId="52A7CBAB" w14:textId="77777777" w:rsidTr="00D25D4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0B2071B2" w14:textId="27B3E9EE" w:rsidR="0022043F" w:rsidRPr="00D25D4E" w:rsidRDefault="0022043F" w:rsidP="0022043F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Second primary non-breast invasive cancer</w:t>
            </w:r>
          </w:p>
        </w:tc>
        <w:tc>
          <w:tcPr>
            <w:tcW w:w="1135" w:type="dxa"/>
          </w:tcPr>
          <w:p w14:paraId="76B6820B" w14:textId="7ACC4128" w:rsidR="0022043F" w:rsidRPr="00D25D4E" w:rsidRDefault="0022043F" w:rsidP="00220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</w:tr>
      <w:tr w:rsidR="0022043F" w:rsidRPr="00D25D4E" w14:paraId="2F3E06EE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0A3D39B7" w14:textId="6C2EB855" w:rsidR="0022043F" w:rsidRPr="00D25D4E" w:rsidRDefault="0022043F" w:rsidP="0022043F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Death</w:t>
            </w:r>
          </w:p>
        </w:tc>
        <w:tc>
          <w:tcPr>
            <w:tcW w:w="1135" w:type="dxa"/>
          </w:tcPr>
          <w:p w14:paraId="69DBC5BE" w14:textId="2D3D18CF" w:rsidR="0022043F" w:rsidRPr="00D25D4E" w:rsidRDefault="00B20833" w:rsidP="00220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9D4B35" w:rsidRPr="00D25D4E" w14:paraId="150E7152" w14:textId="77777777" w:rsidTr="00D25D4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58B5D9AF" w14:textId="4B9350DE" w:rsidR="009D4B35" w:rsidRPr="00D25D4E" w:rsidRDefault="009D4B35" w:rsidP="00B2083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Distant recurrence</w:t>
            </w:r>
          </w:p>
        </w:tc>
        <w:tc>
          <w:tcPr>
            <w:tcW w:w="1135" w:type="dxa"/>
          </w:tcPr>
          <w:p w14:paraId="536CEEB5" w14:textId="2A3933DF" w:rsidR="009D4B35" w:rsidRPr="00D25D4E" w:rsidRDefault="004014C3" w:rsidP="009D4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B20833" w:rsidRPr="00D25D4E" w14:paraId="6CC75E3B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661E08EA" w14:textId="39AA7865" w:rsidR="00B20833" w:rsidRPr="00D25D4E" w:rsidRDefault="00B20833" w:rsidP="00B2083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Ipsilateral invasive breast tumor recurrence</w:t>
            </w:r>
          </w:p>
        </w:tc>
        <w:tc>
          <w:tcPr>
            <w:tcW w:w="1135" w:type="dxa"/>
          </w:tcPr>
          <w:p w14:paraId="2948E6B4" w14:textId="6F87CACD" w:rsidR="00B20833" w:rsidRPr="00D25D4E" w:rsidRDefault="004014C3" w:rsidP="00B20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B20833" w:rsidRPr="00D25D4E" w14:paraId="1DBCB1A5" w14:textId="77777777" w:rsidTr="00D25D4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3776EB48" w14:textId="0937DAFC" w:rsidR="00B20833" w:rsidRPr="00D25D4E" w:rsidRDefault="00B20833" w:rsidP="00B20833">
            <w:pPr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 xml:space="preserve">No </w:t>
            </w:r>
            <w:proofErr w:type="spellStart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ctDNA</w:t>
            </w:r>
            <w:proofErr w:type="spellEnd"/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 xml:space="preserve"> clearance</w:t>
            </w:r>
          </w:p>
        </w:tc>
        <w:tc>
          <w:tcPr>
            <w:tcW w:w="1135" w:type="dxa"/>
          </w:tcPr>
          <w:p w14:paraId="682CE792" w14:textId="7016D867" w:rsidR="00B20833" w:rsidRPr="00D25D4E" w:rsidRDefault="00B20833" w:rsidP="00B20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20833" w:rsidRPr="00D25D4E" w14:paraId="163CFF47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72048EAE" w14:textId="2AE1E6F6" w:rsidR="00B20833" w:rsidRPr="00D25D4E" w:rsidRDefault="00B20833" w:rsidP="00B2083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Distant recurrence</w:t>
            </w:r>
          </w:p>
        </w:tc>
        <w:tc>
          <w:tcPr>
            <w:tcW w:w="1135" w:type="dxa"/>
          </w:tcPr>
          <w:p w14:paraId="33E29363" w14:textId="3005026E" w:rsidR="00B20833" w:rsidRPr="00D25D4E" w:rsidRDefault="00A36B16" w:rsidP="00B20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B20833" w:rsidRPr="00D25D4E" w14:paraId="340C8C03" w14:textId="77777777" w:rsidTr="00D25D4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592EA05B" w14:textId="6629DA13" w:rsidR="00B20833" w:rsidRPr="00D25D4E" w:rsidRDefault="00B20833" w:rsidP="00B2083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Regional invasive breast cancer recurrence</w:t>
            </w:r>
          </w:p>
        </w:tc>
        <w:tc>
          <w:tcPr>
            <w:tcW w:w="1135" w:type="dxa"/>
          </w:tcPr>
          <w:p w14:paraId="6CCA9D97" w14:textId="6E9FFEBD" w:rsidR="00B20833" w:rsidRPr="00D25D4E" w:rsidRDefault="00B20833" w:rsidP="00B20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</w:tr>
      <w:tr w:rsidR="00B20833" w:rsidRPr="00D25D4E" w14:paraId="56FE7B5A" w14:textId="77777777" w:rsidTr="00D25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14:paraId="731BA495" w14:textId="0AFC91D3" w:rsidR="00B20833" w:rsidRPr="00D25D4E" w:rsidRDefault="00B20833" w:rsidP="00B20833">
            <w:pPr>
              <w:ind w:left="708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Second primary non-breast invasive cancer</w:t>
            </w:r>
          </w:p>
        </w:tc>
        <w:tc>
          <w:tcPr>
            <w:tcW w:w="1135" w:type="dxa"/>
          </w:tcPr>
          <w:p w14:paraId="0685D30E" w14:textId="1672F431" w:rsidR="00B20833" w:rsidRPr="00D25D4E" w:rsidRDefault="00B20833" w:rsidP="00B20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25D4E">
              <w:rPr>
                <w:rFonts w:ascii="Arial" w:eastAsia="Times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</w:tbl>
    <w:p w14:paraId="6E7C682C" w14:textId="77777777" w:rsidR="0022043F" w:rsidRPr="003F55E3" w:rsidRDefault="0022043F" w:rsidP="68F3C480">
      <w:pPr>
        <w:rPr>
          <w:rFonts w:ascii="Times" w:eastAsia="Times" w:hAnsi="Times" w:cs="Times"/>
          <w:color w:val="000000" w:themeColor="text1"/>
          <w:lang w:val="en-US"/>
        </w:rPr>
      </w:pPr>
    </w:p>
    <w:sectPr w:rsidR="0022043F" w:rsidRPr="003F55E3">
      <w:footerReference w:type="even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D27F3" w14:textId="77777777" w:rsidR="00082169" w:rsidRDefault="00082169" w:rsidP="008E1A1B">
      <w:pPr>
        <w:spacing w:after="0" w:line="240" w:lineRule="auto"/>
      </w:pPr>
      <w:r>
        <w:separator/>
      </w:r>
    </w:p>
  </w:endnote>
  <w:endnote w:type="continuationSeparator" w:id="0">
    <w:p w14:paraId="11B86036" w14:textId="77777777" w:rsidR="00082169" w:rsidRDefault="00082169" w:rsidP="008E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598015586"/>
      <w:docPartObj>
        <w:docPartGallery w:val="Page Numbers (Bottom of Page)"/>
        <w:docPartUnique/>
      </w:docPartObj>
    </w:sdtPr>
    <w:sdtContent>
      <w:p w14:paraId="1EAE6B32" w14:textId="233C0389" w:rsidR="008E1A1B" w:rsidRDefault="008E1A1B" w:rsidP="00541B3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C8252C7" w14:textId="77777777" w:rsidR="008E1A1B" w:rsidRDefault="008E1A1B" w:rsidP="008E1A1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182164662"/>
      <w:docPartObj>
        <w:docPartGallery w:val="Page Numbers (Bottom of Page)"/>
        <w:docPartUnique/>
      </w:docPartObj>
    </w:sdtPr>
    <w:sdtContent>
      <w:p w14:paraId="68C3BD6B" w14:textId="69802787" w:rsidR="008E1A1B" w:rsidRDefault="008E1A1B" w:rsidP="00541B3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0AC9B04" w14:textId="77777777" w:rsidR="008E1A1B" w:rsidRDefault="008E1A1B" w:rsidP="008E1A1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9B335" w14:textId="77777777" w:rsidR="00082169" w:rsidRDefault="00082169" w:rsidP="008E1A1B">
      <w:pPr>
        <w:spacing w:after="0" w:line="240" w:lineRule="auto"/>
      </w:pPr>
      <w:r>
        <w:separator/>
      </w:r>
    </w:p>
  </w:footnote>
  <w:footnote w:type="continuationSeparator" w:id="0">
    <w:p w14:paraId="5F47D493" w14:textId="77777777" w:rsidR="00082169" w:rsidRDefault="00082169" w:rsidP="008E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1969"/>
    <w:multiLevelType w:val="hybridMultilevel"/>
    <w:tmpl w:val="280497DC"/>
    <w:lvl w:ilvl="0" w:tplc="828CDA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120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46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5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8C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2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26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EF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07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24B0"/>
    <w:multiLevelType w:val="hybridMultilevel"/>
    <w:tmpl w:val="041C16B8"/>
    <w:lvl w:ilvl="0" w:tplc="F7EE2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6EAC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0840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F2F4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B0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2A35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B255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E895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B4EC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623667">
    <w:abstractNumId w:val="0"/>
  </w:num>
  <w:num w:numId="2" w16cid:durableId="45463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DE97CC"/>
    <w:rsid w:val="00001951"/>
    <w:rsid w:val="00047254"/>
    <w:rsid w:val="00070570"/>
    <w:rsid w:val="00082169"/>
    <w:rsid w:val="000C2243"/>
    <w:rsid w:val="00100B91"/>
    <w:rsid w:val="00105AE3"/>
    <w:rsid w:val="00164EB8"/>
    <w:rsid w:val="00166E86"/>
    <w:rsid w:val="00191CBA"/>
    <w:rsid w:val="001B77B3"/>
    <w:rsid w:val="001D59FC"/>
    <w:rsid w:val="00201627"/>
    <w:rsid w:val="0022043F"/>
    <w:rsid w:val="00262FA9"/>
    <w:rsid w:val="002A5E6D"/>
    <w:rsid w:val="002B79CD"/>
    <w:rsid w:val="002E054A"/>
    <w:rsid w:val="002E1468"/>
    <w:rsid w:val="00314C34"/>
    <w:rsid w:val="0033288E"/>
    <w:rsid w:val="003413EC"/>
    <w:rsid w:val="003A034A"/>
    <w:rsid w:val="003B1DB8"/>
    <w:rsid w:val="003C724F"/>
    <w:rsid w:val="003F55E3"/>
    <w:rsid w:val="004014C3"/>
    <w:rsid w:val="00405631"/>
    <w:rsid w:val="00444ABE"/>
    <w:rsid w:val="00465B3E"/>
    <w:rsid w:val="004A05A6"/>
    <w:rsid w:val="004C01A9"/>
    <w:rsid w:val="004C1744"/>
    <w:rsid w:val="004E40BA"/>
    <w:rsid w:val="0050318B"/>
    <w:rsid w:val="005611D5"/>
    <w:rsid w:val="00561212"/>
    <w:rsid w:val="00561385"/>
    <w:rsid w:val="00563759"/>
    <w:rsid w:val="005E15F2"/>
    <w:rsid w:val="005F2943"/>
    <w:rsid w:val="006D05B9"/>
    <w:rsid w:val="00700567"/>
    <w:rsid w:val="007016AB"/>
    <w:rsid w:val="007105B1"/>
    <w:rsid w:val="007131E2"/>
    <w:rsid w:val="00740C7B"/>
    <w:rsid w:val="0074745B"/>
    <w:rsid w:val="00757FF0"/>
    <w:rsid w:val="007945DD"/>
    <w:rsid w:val="007B7742"/>
    <w:rsid w:val="007E5C45"/>
    <w:rsid w:val="00803CC2"/>
    <w:rsid w:val="008167E9"/>
    <w:rsid w:val="00832266"/>
    <w:rsid w:val="008505D0"/>
    <w:rsid w:val="00852E88"/>
    <w:rsid w:val="00855C5D"/>
    <w:rsid w:val="0089759C"/>
    <w:rsid w:val="008A2A81"/>
    <w:rsid w:val="008D2E43"/>
    <w:rsid w:val="008D670B"/>
    <w:rsid w:val="008E1A1B"/>
    <w:rsid w:val="00903321"/>
    <w:rsid w:val="0090455C"/>
    <w:rsid w:val="009142CA"/>
    <w:rsid w:val="009226F8"/>
    <w:rsid w:val="00933E03"/>
    <w:rsid w:val="00934A21"/>
    <w:rsid w:val="0093772B"/>
    <w:rsid w:val="009A4703"/>
    <w:rsid w:val="009D4B35"/>
    <w:rsid w:val="00A36B16"/>
    <w:rsid w:val="00A467D1"/>
    <w:rsid w:val="00A76AEE"/>
    <w:rsid w:val="00AB1DD2"/>
    <w:rsid w:val="00AC0A3F"/>
    <w:rsid w:val="00AD6825"/>
    <w:rsid w:val="00AF42ED"/>
    <w:rsid w:val="00B20833"/>
    <w:rsid w:val="00B259F2"/>
    <w:rsid w:val="00BA3FD2"/>
    <w:rsid w:val="00BB3EA8"/>
    <w:rsid w:val="00BD3E64"/>
    <w:rsid w:val="00C44363"/>
    <w:rsid w:val="00C87628"/>
    <w:rsid w:val="00C944E5"/>
    <w:rsid w:val="00CE2D79"/>
    <w:rsid w:val="00D25D4E"/>
    <w:rsid w:val="00D75ACD"/>
    <w:rsid w:val="00D86765"/>
    <w:rsid w:val="00D872C3"/>
    <w:rsid w:val="00D942E2"/>
    <w:rsid w:val="00DA7C17"/>
    <w:rsid w:val="00DD110E"/>
    <w:rsid w:val="00DD1267"/>
    <w:rsid w:val="00DE689C"/>
    <w:rsid w:val="00E01EA9"/>
    <w:rsid w:val="00E35511"/>
    <w:rsid w:val="00E76054"/>
    <w:rsid w:val="00E77A20"/>
    <w:rsid w:val="00E8515E"/>
    <w:rsid w:val="00EA2918"/>
    <w:rsid w:val="00EB6876"/>
    <w:rsid w:val="00EF709B"/>
    <w:rsid w:val="00F12875"/>
    <w:rsid w:val="00F366D0"/>
    <w:rsid w:val="00FA4024"/>
    <w:rsid w:val="00FE393B"/>
    <w:rsid w:val="02271FB3"/>
    <w:rsid w:val="03E1E808"/>
    <w:rsid w:val="0544D005"/>
    <w:rsid w:val="09CAD54E"/>
    <w:rsid w:val="1408EF1A"/>
    <w:rsid w:val="15CEF1A5"/>
    <w:rsid w:val="17C444BF"/>
    <w:rsid w:val="2DDE97CC"/>
    <w:rsid w:val="335B27F7"/>
    <w:rsid w:val="363743B0"/>
    <w:rsid w:val="39AE5ACB"/>
    <w:rsid w:val="420B8798"/>
    <w:rsid w:val="4663AC00"/>
    <w:rsid w:val="469F1482"/>
    <w:rsid w:val="4EA9E75B"/>
    <w:rsid w:val="5D7CCC17"/>
    <w:rsid w:val="5E9BF657"/>
    <w:rsid w:val="60E9DBB2"/>
    <w:rsid w:val="68F3C480"/>
    <w:rsid w:val="6DE21BCE"/>
    <w:rsid w:val="6F67EF3F"/>
    <w:rsid w:val="73F153FF"/>
    <w:rsid w:val="751EB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EA84"/>
  <w15:chartTrackingRefBased/>
  <w15:docId w15:val="{BD86330A-7874-45F7-8D87-FB283FFE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4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4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4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anormal1">
    <w:name w:val="Plain Table 1"/>
    <w:basedOn w:val="Tablanormal"/>
    <w:uiPriority w:val="41"/>
    <w:rsid w:val="004E4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E4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E4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E4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E4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9226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3413EC"/>
    <w:pPr>
      <w:suppressAutoHyphens/>
      <w:spacing w:before="120" w:after="120" w:line="240" w:lineRule="auto"/>
      <w:ind w:left="567"/>
      <w:jc w:val="both"/>
    </w:pPr>
    <w:rPr>
      <w:rFonts w:ascii="Arial" w:eastAsia="MS Mincho" w:hAnsi="Arial" w:cs="Times New Roman"/>
      <w:sz w:val="22"/>
      <w:lang w:eastAsia="ja-JP"/>
    </w:rPr>
  </w:style>
  <w:style w:type="character" w:customStyle="1" w:styleId="PrrafodelistaCar">
    <w:name w:val="Párrafo de lista Car"/>
    <w:link w:val="Prrafodelista"/>
    <w:uiPriority w:val="1"/>
    <w:rsid w:val="003413EC"/>
    <w:rPr>
      <w:rFonts w:ascii="Arial" w:eastAsia="MS Mincho" w:hAnsi="Arial" w:cs="Times New Roman"/>
      <w:sz w:val="2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9A470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167E9"/>
    <w:pPr>
      <w:spacing w:before="480" w:line="276" w:lineRule="auto"/>
      <w:outlineLvl w:val="9"/>
    </w:pPr>
    <w:rPr>
      <w:b/>
      <w:bCs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8167E9"/>
    <w:pPr>
      <w:spacing w:before="120" w:after="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8167E9"/>
    <w:pPr>
      <w:spacing w:before="120" w:after="0"/>
      <w:ind w:left="240"/>
    </w:pPr>
    <w:rPr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8167E9"/>
    <w:rPr>
      <w:color w:val="467886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167E9"/>
    <w:pPr>
      <w:spacing w:after="0"/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8167E9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167E9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167E9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8167E9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8167E9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8167E9"/>
    <w:pPr>
      <w:spacing w:after="0"/>
      <w:ind w:left="1920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166E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6E86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66E86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E1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A1B"/>
  </w:style>
  <w:style w:type="character" w:styleId="Nmerodepgina">
    <w:name w:val="page number"/>
    <w:basedOn w:val="Fuentedeprrafopredeter"/>
    <w:uiPriority w:val="99"/>
    <w:semiHidden/>
    <w:unhideWhenUsed/>
    <w:rsid w:val="008E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757B38BECF544830A0E9C40CB35BF" ma:contentTypeVersion="16" ma:contentTypeDescription="Crear nuevo documento." ma:contentTypeScope="" ma:versionID="1afda9790da9e6f14b5c5c6d53d1a1c5">
  <xsd:schema xmlns:xsd="http://www.w3.org/2001/XMLSchema" xmlns:xs="http://www.w3.org/2001/XMLSchema" xmlns:p="http://schemas.microsoft.com/office/2006/metadata/properties" xmlns:ns2="fd7fb9cb-dfdd-4172-b6d9-1dbb8cfb6d07" xmlns:ns3="58c3a94d-c527-4f69-8499-96957d1b96af" targetNamespace="http://schemas.microsoft.com/office/2006/metadata/properties" ma:root="true" ma:fieldsID="d308aa438bf9539ccd1f04803166009a" ns2:_="" ns3:_="">
    <xsd:import namespace="fd7fb9cb-dfdd-4172-b6d9-1dbb8cfb6d07"/>
    <xsd:import namespace="58c3a94d-c527-4f69-8499-96957d1b9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b9cb-dfdd-4172-b6d9-1dbb8cfb6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efb4cea-2114-429a-a8db-23eb7a4a6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a94d-c527-4f69-8499-96957d1b96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19b10-5186-408b-af02-528349ab7fd0}" ma:internalName="TaxCatchAll" ma:showField="CatchAllData" ma:web="58c3a94d-c527-4f69-8499-96957d1b9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fd7fb9cb-dfdd-4172-b6d9-1dbb8cfb6d07">
      <Url xsi:nil="true"/>
      <Description xsi:nil="true"/>
    </Link>
    <TaxCatchAll xmlns="58c3a94d-c527-4f69-8499-96957d1b96af" xsi:nil="true"/>
    <lcf76f155ced4ddcb4097134ff3c332f xmlns="fd7fb9cb-dfdd-4172-b6d9-1dbb8cfb6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8F8A75-4C1C-4057-B4A3-470AAA42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fb9cb-dfdd-4172-b6d9-1dbb8cfb6d07"/>
    <ds:schemaRef ds:uri="58c3a94d-c527-4f69-8499-96957d1b9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DE46C-2508-42DA-9E20-AF94DE9FD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31CC0-5132-554A-94C5-5017ABA5B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A27A0C-EC2E-4F28-BA58-0AEDA02516AA}">
  <ds:schemaRefs>
    <ds:schemaRef ds:uri="http://schemas.microsoft.com/office/2006/metadata/properties"/>
    <ds:schemaRef ds:uri="http://schemas.microsoft.com/office/infopath/2007/PartnerControls"/>
    <ds:schemaRef ds:uri="fd7fb9cb-dfdd-4172-b6d9-1dbb8cfb6d07"/>
    <ds:schemaRef ds:uri="58c3a94d-c527-4f69-8499-96957d1b9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1445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Links>
    <vt:vector size="66" baseType="variant"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_Toc223340242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_Toc223340241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_Toc223340240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_Toc223340239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_Toc223340238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_Toc223340237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_Toc223340236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_Toc223340235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_Toc223340234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_Toc223340233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_Toc223340232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Amaya Garrido</dc:creator>
  <cp:keywords/>
  <dc:description/>
  <cp:lastModifiedBy>Ana Amaya Garrido</cp:lastModifiedBy>
  <cp:revision>103</cp:revision>
  <dcterms:created xsi:type="dcterms:W3CDTF">2026-01-30T00:42:00Z</dcterms:created>
  <dcterms:modified xsi:type="dcterms:W3CDTF">2026-04-17T15:16:00Z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0x010100D1C757B38BECF544830A0E9C40CB35BF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