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26E852" w14:textId="2FCD9E01" w:rsidR="00FF5358" w:rsidRPr="00FE058F" w:rsidRDefault="00A65A69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4434E1"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14:ligatures w14:val="none"/>
        </w:rPr>
        <w:t>Information flow causality reveals evolving land–atmosphere coupling dynamics</w:t>
      </w:r>
      <w:r w:rsidRPr="00FE058F" w:rsidDel="00A65A69"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14:ligatures w14:val="none"/>
        </w:rPr>
        <w:t xml:space="preserve"> </w:t>
      </w:r>
      <w:r w:rsidR="00FF5358" w:rsidRPr="00FE058F">
        <w:rPr>
          <w:rFonts w:ascii="Times New Roman" w:eastAsia="Times New Roman" w:hAnsi="Times New Roman" w:cs="Times New Roman"/>
          <w:color w:val="000000"/>
          <w:kern w:val="0"/>
          <w:sz w:val="40"/>
          <w:szCs w:val="40"/>
          <w14:ligatures w14:val="none"/>
        </w:rPr>
        <w:t>during compound dry–hot events</w:t>
      </w:r>
    </w:p>
    <w:p w14:paraId="76AB6C13" w14:textId="77777777" w:rsidR="00FF5358" w:rsidRPr="00FE058F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6627330" w14:textId="43C856BB" w:rsidR="00D650E0" w:rsidRPr="00C130F6" w:rsidRDefault="00D650E0" w:rsidP="00D650E0">
      <w:pPr>
        <w:spacing w:after="0" w:line="240" w:lineRule="auto"/>
        <w:rPr>
          <w:rFonts w:ascii="SimSun" w:eastAsia="SimSun" w:hAnsi="SimSun" w:cs="SimSun"/>
          <w:kern w:val="0"/>
          <w:lang w:val="de-DE"/>
          <w14:ligatures w14:val="none"/>
        </w:rPr>
      </w:pPr>
      <w:proofErr w:type="spellStart"/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>Yikui</w:t>
      </w:r>
      <w:proofErr w:type="spellEnd"/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 xml:space="preserve"> Zhang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1,2</w:t>
      </w:r>
      <w:r w:rsidR="00C130F6" w:rsidRPr="00FE058F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,</w:t>
      </w:r>
      <w:r w:rsidR="00B83925">
        <w:rPr>
          <w:rFonts w:ascii="Times New Roman" w:eastAsia="Times New Roman" w:hAnsi="Times New Roman" w:cs="Times New Roman" w:hint="eastAsia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3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*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>, Daniel Hagan</w:t>
      </w:r>
      <w:r w:rsidR="00491059">
        <w:rPr>
          <w:rFonts w:ascii="Times New Roman" w:eastAsia="Times New Roman" w:hAnsi="Times New Roman" w:cs="Times New Roman" w:hint="eastAsia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4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>, Diego G. Miralles</w:t>
      </w:r>
      <w:r w:rsidR="00491059">
        <w:rPr>
          <w:rFonts w:ascii="Times New Roman" w:eastAsia="Times New Roman" w:hAnsi="Times New Roman" w:cs="Times New Roman" w:hint="eastAsia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4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>, Klaus Goergen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1,2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lang w:val="de-DE"/>
          <w14:ligatures w14:val="none"/>
        </w:rPr>
        <w:t>, Stefan Kollet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1,2</w:t>
      </w:r>
      <w:r w:rsidR="00B83925">
        <w:rPr>
          <w:rFonts w:ascii="Times New Roman" w:eastAsia="Times New Roman" w:hAnsi="Times New Roman" w:cs="Times New Roman"/>
          <w:color w:val="000000"/>
          <w:kern w:val="0"/>
          <w:sz w:val="18"/>
          <w:szCs w:val="18"/>
          <w:vertAlign w:val="superscript"/>
          <w:lang w:val="de-DE"/>
          <w14:ligatures w14:val="none"/>
        </w:rPr>
        <w:t>,3</w:t>
      </w:r>
    </w:p>
    <w:p w14:paraId="18A766A1" w14:textId="77777777" w:rsidR="00FF5358" w:rsidRPr="00FE058F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:lang w:val="de-DE"/>
          <w14:ligatures w14:val="none"/>
        </w:rPr>
      </w:pPr>
    </w:p>
    <w:p w14:paraId="6918FEF6" w14:textId="77777777" w:rsidR="00FF5358" w:rsidRPr="00FE058F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(1) </w:t>
      </w:r>
      <w:proofErr w:type="spellStart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Agrosphäre</w:t>
      </w:r>
      <w:proofErr w:type="spellEnd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(IBG-3), Institute of Bio- and Geosciences, </w:t>
      </w:r>
      <w:proofErr w:type="spellStart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Forschungszentrum</w:t>
      </w:r>
      <w:proofErr w:type="spellEnd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Jülich, Germany</w:t>
      </w:r>
    </w:p>
    <w:p w14:paraId="7EFA005A" w14:textId="77777777" w:rsidR="00FF5358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(2) Centre for High-Performance Scientific Computing in Terrestrial Systems, </w:t>
      </w:r>
      <w:proofErr w:type="spellStart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Geoverbund</w:t>
      </w:r>
      <w:proofErr w:type="spellEnd"/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ABC/J, Jülich, Germany</w:t>
      </w:r>
    </w:p>
    <w:p w14:paraId="2E3B87D1" w14:textId="4471DEEC" w:rsidR="00491059" w:rsidRPr="00FE058F" w:rsidRDefault="00491059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(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3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)</w:t>
      </w:r>
      <w:r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B92E4B" w:rsidRPr="00B92E4B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Meteorological Institute, University of Bonn, Bonn, Germany</w:t>
      </w:r>
    </w:p>
    <w:p w14:paraId="57EC667E" w14:textId="03F4F706" w:rsidR="00FF5358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(</w:t>
      </w:r>
      <w:r w:rsidR="00491059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4</w:t>
      </w: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) Hydro-Climate Extremes Lab (H-CEL), Ghent University, Ghent 9000, Belgium</w:t>
      </w:r>
    </w:p>
    <w:p w14:paraId="46DC5364" w14:textId="77777777" w:rsidR="00491059" w:rsidRPr="00FE058F" w:rsidRDefault="00491059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324DBE6" w14:textId="77777777" w:rsidR="00FF5358" w:rsidRPr="00FE058F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814BE26" w14:textId="77777777" w:rsidR="00FF5358" w:rsidRPr="00FE058F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E058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*Correspondence: yik.zhang@fz-juelich.de.</w:t>
      </w:r>
    </w:p>
    <w:p w14:paraId="1F7202F8" w14:textId="77777777" w:rsidR="00FF5358" w:rsidRDefault="00FF5358" w:rsidP="00FF5358">
      <w:pPr>
        <w:rPr>
          <w:rFonts w:ascii="Arial" w:hAnsi="Arial" w:cs="Arial"/>
          <w:b/>
          <w:bCs/>
          <w:color w:val="000000"/>
          <w:sz w:val="26"/>
          <w:szCs w:val="26"/>
        </w:rPr>
      </w:pPr>
    </w:p>
    <w:p w14:paraId="7BA9378E" w14:textId="3861EA9B" w:rsidR="00FF5358" w:rsidRPr="00FF5358" w:rsidRDefault="00FF5358" w:rsidP="00FF5358">
      <w:pPr>
        <w:rPr>
          <w:rFonts w:ascii="Times New Roman" w:hAnsi="Times New Roman" w:cs="Times New Roman"/>
          <w:b/>
          <w:bCs/>
          <w:color w:val="000000"/>
          <w:sz w:val="26"/>
          <w:szCs w:val="26"/>
        </w:rPr>
      </w:pPr>
      <w:r w:rsidRPr="00FF5358">
        <w:rPr>
          <w:rFonts w:ascii="Times New Roman" w:hAnsi="Times New Roman" w:cs="Times New Roman"/>
          <w:b/>
          <w:bCs/>
          <w:color w:val="000000"/>
          <w:sz w:val="26"/>
          <w:szCs w:val="26"/>
        </w:rPr>
        <w:t>Supplementary Information</w:t>
      </w:r>
    </w:p>
    <w:p w14:paraId="25C54092" w14:textId="6F62C159" w:rsidR="00FF5358" w:rsidRPr="00FF5358" w:rsidRDefault="00FF5358" w:rsidP="00FF5358">
      <w:pPr>
        <w:rPr>
          <w:rFonts w:ascii="Times New Roman" w:hAnsi="Times New Roman" w:cs="Times New Roman"/>
          <w:b/>
          <w:bCs/>
          <w:sz w:val="22"/>
          <w:szCs w:val="22"/>
        </w:rPr>
      </w:pPr>
      <w:r w:rsidRPr="00FF5358">
        <w:rPr>
          <w:rFonts w:ascii="Times New Roman" w:hAnsi="Times New Roman" w:cs="Times New Roman"/>
          <w:b/>
          <w:bCs/>
          <w:color w:val="000000"/>
        </w:rPr>
        <w:t xml:space="preserve">A. </w:t>
      </w:r>
      <w:r w:rsidR="0098342F">
        <w:rPr>
          <w:rFonts w:ascii="Times New Roman" w:hAnsi="Times New Roman" w:cs="Times New Roman"/>
          <w:b/>
          <w:bCs/>
          <w:color w:val="000000"/>
        </w:rPr>
        <w:t xml:space="preserve">Liang-Kleeman </w:t>
      </w:r>
      <w:r w:rsidRPr="00FF5358">
        <w:rPr>
          <w:rFonts w:ascii="Times New Roman" w:hAnsi="Times New Roman" w:cs="Times New Roman"/>
          <w:b/>
          <w:bCs/>
          <w:color w:val="000000"/>
        </w:rPr>
        <w:t>Information flow rate calculation</w:t>
      </w:r>
    </w:p>
    <w:p w14:paraId="25FD619F" w14:textId="0EAE42B2" w:rsidR="00FF5358" w:rsidRPr="00FF5358" w:rsidRDefault="00FF5358" w:rsidP="00FF5358">
      <w:pPr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</w:pPr>
      <w:r w:rsidRPr="00FF5358">
        <w:rPr>
          <w:rFonts w:ascii="Times New Roman" w:hAnsi="Times New Roman" w:cs="Times New Roman"/>
          <w:color w:val="000000"/>
          <w:sz w:val="22"/>
          <w:szCs w:val="22"/>
        </w:rPr>
        <w:t xml:space="preserve">Explanations on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Cov(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,</m:t>
            </m:r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14:ligatures w14:val="none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)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  <m:t>1</m:t>
                    </m:r>
                  </m:sub>
                </m:sSub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2</m:t>
                </m:r>
              </m:sup>
            </m:sSubSup>
          </m:den>
        </m:f>
      </m:oMath>
      <w:r w:rsidRPr="00FF535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in Eq. 1 and Eq. 2:</w:t>
      </w:r>
    </w:p>
    <w:p w14:paraId="0496C9C9" w14:textId="7EA09075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Given a linear relationship between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1</m:t>
            </m:r>
          </m:sub>
        </m:sSub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and </w:t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14:ligatures w14:val="none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1</m:t>
                </m:r>
              </m:sub>
            </m:sSub>
          </m:e>
        </m:acc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:</w:t>
      </w:r>
    </w:p>
    <w:p w14:paraId="27C7E044" w14:textId="6FC72F3C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F5358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drawing>
          <wp:inline distT="0" distB="0" distL="0" distR="0" wp14:anchorId="40A487A5" wp14:editId="02F4A3E1">
            <wp:extent cx="1017905" cy="191135"/>
            <wp:effectExtent l="0" t="0" r="0" b="0"/>
            <wp:docPr id="6763279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7905" cy="191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CD3">
        <w:rPr>
          <w:rFonts w:ascii="Times New Roman" w:eastAsia="Times New Roman" w:hAnsi="Times New Roman" w:cs="Times New Roman"/>
          <w:kern w:val="0"/>
          <w14:ligatures w14:val="none"/>
        </w:rPr>
        <w:t xml:space="preserve">   (1)</w:t>
      </w:r>
    </w:p>
    <w:p w14:paraId="39F345AE" w14:textId="77777777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4C4E7CC" w14:textId="7780E4CB" w:rsidR="00FF5358" w:rsidRPr="00373A1E" w:rsidRDefault="009146F3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W</w:t>
      </w:r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here</w:t>
      </w:r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:</w:t>
      </w:r>
    </w:p>
    <w:p w14:paraId="50FD50CE" w14:textId="03321407" w:rsidR="00FF5358" w:rsidRPr="00373A1E" w:rsidRDefault="00000000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1</m:t>
            </m:r>
          </m:sub>
        </m:sSub>
      </m:oMath>
      <w:r w:rsidR="001E7CD3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is the independent variable </w:t>
      </w:r>
    </w:p>
    <w:p w14:paraId="2111C48E" w14:textId="45BC8602" w:rsidR="00FF5358" w:rsidRPr="00373A1E" w:rsidRDefault="00000000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14:ligatures w14:val="none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1</m:t>
                </m:r>
              </m:sub>
            </m:sSub>
          </m:e>
        </m:acc>
      </m:oMath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is the dependent variable (tendency)</w:t>
      </w:r>
    </w:p>
    <w:p w14:paraId="41AE4DA2" w14:textId="2856B131" w:rsidR="00FF5358" w:rsidRPr="00373A1E" w:rsidRDefault="001E7CD3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β</m:t>
        </m:r>
      </m:oMath>
      <w:r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is the regression coefficient </w:t>
      </w:r>
    </w:p>
    <w:p w14:paraId="56E515B8" w14:textId="47DB11AF" w:rsidR="00FF5358" w:rsidRPr="00373A1E" w:rsidRDefault="001E7CD3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m:oMath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ε</m:t>
        </m:r>
      </m:oMath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is the residual, assumed to satisfy</w:t>
      </w:r>
      <w:r w:rsidR="00066581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</w:t>
      </w:r>
      <m:oMath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E</m:t>
        </m:r>
        <m:d>
          <m:dPr>
            <m:begChr m:val="["/>
            <m:endChr m:val="]"/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d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1</m:t>
                </m:r>
              </m:sub>
            </m:s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ε</m:t>
            </m:r>
          </m:e>
        </m:d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=0</m:t>
        </m:r>
      </m:oMath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 (uncorrelated with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1</m:t>
            </m:r>
          </m:sub>
        </m:sSub>
      </m:oMath>
      <w:r w:rsidR="00FF5358"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) </w:t>
      </w:r>
    </w:p>
    <w:p w14:paraId="2D7F13D4" w14:textId="77777777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2879A3" w14:textId="77777777" w:rsidR="00FF5358" w:rsidRPr="00373A1E" w:rsidRDefault="00FF5358" w:rsidP="00FF53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The least-squares estimate minimizes the mean-squared residual:</w:t>
      </w:r>
    </w:p>
    <w:p w14:paraId="4ECF694F" w14:textId="7F56A475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F5358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drawing>
          <wp:inline distT="0" distB="0" distL="0" distR="0" wp14:anchorId="256008E1" wp14:editId="7041571C">
            <wp:extent cx="1438910" cy="286385"/>
            <wp:effectExtent l="0" t="0" r="0" b="5715"/>
            <wp:docPr id="146971713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910" cy="286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CD3">
        <w:rPr>
          <w:rFonts w:ascii="Times New Roman" w:eastAsia="Times New Roman" w:hAnsi="Times New Roman" w:cs="Times New Roman"/>
          <w:kern w:val="0"/>
          <w14:ligatures w14:val="none"/>
        </w:rPr>
        <w:t xml:space="preserve">  (2)</w:t>
      </w:r>
    </w:p>
    <w:p w14:paraId="0607E8B9" w14:textId="1C5B63DC" w:rsidR="00FF5358" w:rsidRPr="00373A1E" w:rsidRDefault="00FF5358" w:rsidP="00FF53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Taking the derivative with respect to </w:t>
      </w:r>
      <m:oMath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β</m:t>
        </m:r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and setting it to zero:</w:t>
      </w:r>
    </w:p>
    <w:p w14:paraId="7877BFB2" w14:textId="515D1BE2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F5358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drawing>
          <wp:inline distT="0" distB="0" distL="0" distR="0" wp14:anchorId="664C1E37" wp14:editId="11301ECB">
            <wp:extent cx="3450590" cy="389890"/>
            <wp:effectExtent l="0" t="0" r="3810" b="3810"/>
            <wp:docPr id="143569515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0590" cy="3898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CD3">
        <w:rPr>
          <w:rFonts w:ascii="Times New Roman" w:eastAsia="Times New Roman" w:hAnsi="Times New Roman" w:cs="Times New Roman"/>
          <w:kern w:val="0"/>
          <w14:ligatures w14:val="none"/>
        </w:rPr>
        <w:t xml:space="preserve">  (3)</w:t>
      </w:r>
    </w:p>
    <w:p w14:paraId="2501FC3D" w14:textId="11482F0B" w:rsidR="00FF5358" w:rsidRPr="00373A1E" w:rsidRDefault="00FF5358" w:rsidP="00FF53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Solving for </w:t>
      </w:r>
      <m:oMath>
        <m:r>
          <w:rPr>
            <w:rFonts w:ascii="Cambria Math" w:eastAsia="Times New Roman" w:hAnsi="Cambria Math" w:cs="Times New Roman"/>
            <w:color w:val="000000"/>
            <w:kern w:val="0"/>
            <w:sz w:val="22"/>
            <w:szCs w:val="22"/>
            <w:shd w:val="clear" w:color="auto" w:fill="FFFFFF"/>
            <w14:ligatures w14:val="none"/>
          </w:rPr>
          <m:t>β</m:t>
        </m:r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:</w:t>
      </w:r>
    </w:p>
    <w:p w14:paraId="58366B47" w14:textId="4C5EEDAF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F5358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drawing>
          <wp:inline distT="0" distB="0" distL="0" distR="0" wp14:anchorId="61A919FE" wp14:editId="2F570F60">
            <wp:extent cx="1693545" cy="198755"/>
            <wp:effectExtent l="0" t="0" r="0" b="4445"/>
            <wp:docPr id="1029366254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3545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CD3">
        <w:rPr>
          <w:rFonts w:ascii="Times New Roman" w:eastAsia="Times New Roman" w:hAnsi="Times New Roman" w:cs="Times New Roman"/>
          <w:kern w:val="0"/>
          <w14:ligatures w14:val="none"/>
        </w:rPr>
        <w:t xml:space="preserve">  (4)</w:t>
      </w:r>
    </w:p>
    <w:p w14:paraId="3ABE68B2" w14:textId="77777777" w:rsidR="00FF5358" w:rsidRPr="00373A1E" w:rsidRDefault="00FF5358" w:rsidP="00FF53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Rearranging:</w:t>
      </w:r>
    </w:p>
    <w:p w14:paraId="35C34FB4" w14:textId="2F00A154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FF5358"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  <w:bdr w:val="none" w:sz="0" w:space="0" w:color="auto" w:frame="1"/>
          <w:shd w:val="clear" w:color="auto" w:fill="FFFFFF"/>
          <w14:ligatures w14:val="none"/>
        </w:rPr>
        <w:lastRenderedPageBreak/>
        <w:drawing>
          <wp:inline distT="0" distB="0" distL="0" distR="0" wp14:anchorId="39F59125" wp14:editId="1CCE05EB">
            <wp:extent cx="3133090" cy="413385"/>
            <wp:effectExtent l="0" t="0" r="3810" b="5715"/>
            <wp:docPr id="1528297223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3090" cy="413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E7CD3">
        <w:rPr>
          <w:rFonts w:ascii="Times New Roman" w:eastAsia="Times New Roman" w:hAnsi="Times New Roman" w:cs="Times New Roman"/>
          <w:kern w:val="0"/>
          <w14:ligatures w14:val="none"/>
        </w:rPr>
        <w:t xml:space="preserve">  (5)</w:t>
      </w:r>
    </w:p>
    <w:p w14:paraId="20D57A78" w14:textId="52B4CA72" w:rsidR="00FF5358" w:rsidRPr="00373A1E" w:rsidRDefault="00FF5358" w:rsidP="00FF5358">
      <w:pPr>
        <w:spacing w:before="240"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Thus, the ratio </w:t>
      </w:r>
      <m:oMath>
        <m:f>
          <m:fPr>
            <m:ctrlPr>
              <w:rPr>
                <w:rFonts w:ascii="Cambria Math" w:hAnsi="Cambria Math" w:cs="Times New Roman"/>
                <w:i/>
                <w:color w:val="000000"/>
                <w:sz w:val="22"/>
                <w:szCs w:val="22"/>
              </w:rPr>
            </m:ctrlPr>
          </m:fPr>
          <m:num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Cov(</m:t>
            </m:r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1</m:t>
                </m:r>
              </m:sub>
            </m:sSub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,</m:t>
            </m:r>
            <m:acc>
              <m:accPr>
                <m:chr m:val="̇"/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14:ligatures w14:val="none"/>
                  </w:rPr>
                </m:ctrlPr>
              </m:accPr>
              <m:e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14:ligatures w14:val="none"/>
                      </w:rPr>
                      <m:t>1</m:t>
                    </m:r>
                  </m:sub>
                </m:sSub>
              </m:e>
            </m:acc>
            <m:r>
              <w:rPr>
                <w:rFonts w:ascii="Cambria Math" w:hAnsi="Cambria Math" w:cs="Times New Roman"/>
                <w:color w:val="000000"/>
                <w:sz w:val="22"/>
                <w:szCs w:val="22"/>
              </w:rPr>
              <m:t>)</m:t>
            </m:r>
          </m:num>
          <m:den>
            <m:sSubSup>
              <m:sSubSup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</m:ctrlPr>
              </m:sSubSup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σ</m:t>
                </m:r>
              </m:e>
              <m:sub>
                <m:sSub>
                  <m:sSubPr>
                    <m:ctrlPr>
                      <w:rPr>
                        <w:rFonts w:ascii="Cambria Math" w:eastAsia="Times New Roman" w:hAnsi="Cambria Math" w:cs="Times New Roman"/>
                        <w:i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</m:ctrlPr>
                  </m:sSubPr>
                  <m:e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  <m:t>X</m:t>
                    </m:r>
                  </m:e>
                  <m:sub>
                    <m:r>
                      <w:rPr>
                        <w:rFonts w:ascii="Cambria Math" w:eastAsia="Times New Roman" w:hAnsi="Cambria Math" w:cs="Times New Roman"/>
                        <w:color w:val="000000"/>
                        <w:kern w:val="0"/>
                        <w:sz w:val="22"/>
                        <w:szCs w:val="22"/>
                        <w:shd w:val="clear" w:color="auto" w:fill="FFFFFF"/>
                        <w14:ligatures w14:val="none"/>
                      </w:rPr>
                      <m:t>1</m:t>
                    </m:r>
                  </m:sub>
                </m:sSub>
              </m:sub>
              <m:sup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:shd w:val="clear" w:color="auto" w:fill="FFFFFF"/>
                    <w14:ligatures w14:val="none"/>
                  </w:rPr>
                  <m:t>2</m:t>
                </m:r>
              </m:sup>
            </m:sSubSup>
          </m:den>
        </m:f>
      </m:oMath>
      <w:r w:rsidR="001E7CD3" w:rsidRPr="00FF5358">
        <w:rPr>
          <w:rFonts w:ascii="Times New Roman" w:hAnsi="Times New Roman" w:cs="Times New Roman"/>
          <w:color w:val="000000"/>
          <w:sz w:val="22"/>
          <w:szCs w:val="22"/>
          <w:shd w:val="clear" w:color="auto" w:fill="FFFFFF"/>
        </w:rPr>
        <w:t xml:space="preserve"> </w:t>
      </w:r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is simply the regression slope of </w:t>
      </w:r>
      <m:oMath>
        <m:acc>
          <m:accPr>
            <m:chr m:val="̇"/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14:ligatures w14:val="none"/>
              </w:rPr>
            </m:ctrlPr>
          </m:accPr>
          <m:e>
            <m:sSub>
              <m:sSubPr>
                <m:ctrlPr>
                  <w:rPr>
                    <w:rFonts w:ascii="Cambria Math" w:eastAsia="Times New Roman" w:hAnsi="Cambria Math" w:cs="Times New Roman"/>
                    <w:i/>
                    <w:color w:val="000000"/>
                    <w:kern w:val="0"/>
                    <w:sz w:val="22"/>
                    <w:szCs w:val="22"/>
                    <w14:ligatures w14:val="none"/>
                  </w:rPr>
                </m:ctrlPr>
              </m:sSubPr>
              <m:e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X</m:t>
                </m:r>
              </m:e>
              <m:sub>
                <m:r>
                  <w:rPr>
                    <w:rFonts w:ascii="Cambria Math" w:eastAsia="Times New Roman" w:hAnsi="Cambria Math" w:cs="Times New Roman"/>
                    <w:color w:val="000000"/>
                    <w:kern w:val="0"/>
                    <w:sz w:val="22"/>
                    <w:szCs w:val="22"/>
                    <w14:ligatures w14:val="none"/>
                  </w:rPr>
                  <m:t>1</m:t>
                </m:r>
              </m:sub>
            </m:sSub>
          </m:e>
        </m:acc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 on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1</m:t>
            </m:r>
          </m:sub>
        </m:sSub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 xml:space="preserve">, which represents how much </w:t>
      </w:r>
      <m:oMath>
        <m:sSub>
          <m:sSubPr>
            <m:ctrlPr>
              <w:rPr>
                <w:rFonts w:ascii="Cambria Math" w:eastAsia="Times New Roman" w:hAnsi="Cambria Math" w:cs="Times New Roman"/>
                <w:i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</m:ctrlPr>
          </m:sSubPr>
          <m:e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X</m:t>
            </m:r>
          </m:e>
          <m:sub>
            <m:r>
              <w:rPr>
                <w:rFonts w:ascii="Cambria Math" w:eastAsia="Times New Roman" w:hAnsi="Cambria Math" w:cs="Times New Roman"/>
                <w:color w:val="000000"/>
                <w:kern w:val="0"/>
                <w:sz w:val="22"/>
                <w:szCs w:val="22"/>
                <w:shd w:val="clear" w:color="auto" w:fill="FFFFFF"/>
                <w14:ligatures w14:val="none"/>
              </w:rPr>
              <m:t>1</m:t>
            </m:r>
          </m:sub>
        </m:sSub>
      </m:oMath>
      <w:r w:rsidRPr="00373A1E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:shd w:val="clear" w:color="auto" w:fill="FFFFFF"/>
          <w14:ligatures w14:val="none"/>
        </w:rPr>
        <w:t>’s current deviation explains its future rate of change</w:t>
      </w:r>
    </w:p>
    <w:p w14:paraId="38C80B69" w14:textId="77777777" w:rsidR="00FF5358" w:rsidRPr="00373A1E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6202652F" w14:textId="77777777" w:rsidR="00FF5358" w:rsidRDefault="00FF5358" w:rsidP="00FF5358">
      <w:pPr>
        <w:rPr>
          <w:rFonts w:ascii="Times New Roman" w:hAnsi="Times New Roman" w:cs="Times New Roman"/>
        </w:rPr>
      </w:pPr>
    </w:p>
    <w:p w14:paraId="2768B27F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36A642B9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64F5CA9D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52A5704D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28467022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49C54C02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2C05012D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58A6D88B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66680580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2612E73A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53D3607E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2B745A00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7F902328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71360582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45A36806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63F70A19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3D4E13D4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0B7EA781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57A32289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090513E6" w14:textId="77777777" w:rsidR="00517377" w:rsidRDefault="00517377" w:rsidP="00FF5358">
      <w:pPr>
        <w:rPr>
          <w:rFonts w:ascii="Times New Roman" w:hAnsi="Times New Roman" w:cs="Times New Roman"/>
        </w:rPr>
      </w:pPr>
    </w:p>
    <w:p w14:paraId="7C16391C" w14:textId="77777777" w:rsidR="00C130F6" w:rsidRPr="00FF5358" w:rsidRDefault="00C130F6" w:rsidP="00FF5358">
      <w:pPr>
        <w:rPr>
          <w:rFonts w:ascii="Times New Roman" w:hAnsi="Times New Roman" w:cs="Times New Roman"/>
        </w:rPr>
      </w:pPr>
    </w:p>
    <w:p w14:paraId="10F0A5A7" w14:textId="77777777" w:rsidR="00FF5358" w:rsidRPr="002733D3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b/>
          <w:bCs/>
          <w:kern w:val="0"/>
          <w:sz w:val="28"/>
          <w:szCs w:val="28"/>
          <w14:ligatures w14:val="none"/>
        </w:rPr>
      </w:pPr>
      <w:r w:rsidRPr="002733D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lastRenderedPageBreak/>
        <w:t>B</w:t>
      </w:r>
      <w:r w:rsidRPr="00FF5358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.</w:t>
      </w:r>
      <w:r w:rsidRPr="002733D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 xml:space="preserve"> </w:t>
      </w:r>
      <w:r w:rsidRPr="00FF5358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Additional i</w:t>
      </w:r>
      <w:r w:rsidRPr="002733D3">
        <w:rPr>
          <w:rFonts w:ascii="Times New Roman" w:eastAsia="Times New Roman" w:hAnsi="Times New Roman" w:cs="Times New Roman"/>
          <w:b/>
          <w:bCs/>
          <w:color w:val="000000"/>
          <w:kern w:val="0"/>
          <w14:ligatures w14:val="none"/>
        </w:rPr>
        <w:t>nformation flow analysis results</w:t>
      </w:r>
    </w:p>
    <w:p w14:paraId="7B0FA885" w14:textId="77777777" w:rsidR="00FF5358" w:rsidRPr="002733D3" w:rsidRDefault="00FF5358" w:rsidP="00FF5358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2C0E0A4" w14:textId="1F02D7A5" w:rsidR="00FF5358" w:rsidRPr="002733D3" w:rsidRDefault="00AD2504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4B17918F" wp14:editId="4A78FCA6">
            <wp:extent cx="5753100" cy="3416300"/>
            <wp:effectExtent l="0" t="0" r="0" b="0"/>
            <wp:docPr id="94906216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9062167" name="Picture 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53100" cy="3416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76C3D3" w14:textId="054778AD" w:rsidR="00FF5358" w:rsidRPr="00C130F6" w:rsidRDefault="00FF5358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Figure B1. Maps for </w:t>
      </w:r>
      <w:r w:rsidR="00C130F6"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time averaged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t>IF(</w:t>
      </w:r>
      <w:r w:rsidR="00C130F6"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t>SM</w:t>
      </w:r>
      <w:r w:rsidR="00C130F6" w:rsidRPr="004434E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→</w:t>
      </w:r>
      <w:r w:rsidR="00C130F6" w:rsidRPr="00FE058F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t>T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t>)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over the entire analysis domain in 2003 summer (</w:t>
      </w:r>
      <w:r w:rsidR="00AD2504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a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) and over 1990-2022 (</w:t>
      </w:r>
      <w:r w:rsidR="00AD2504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b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). The two black boxes indicate the two selected domains in FR and BI. The Unit of IF is in </w:t>
      </w:r>
      <w:proofErr w:type="spellStart"/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nats</w:t>
      </w:r>
      <w:proofErr w:type="spellEnd"/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/h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  <w:t>.</w:t>
      </w:r>
    </w:p>
    <w:p w14:paraId="53436419" w14:textId="77777777" w:rsidR="00FF5358" w:rsidRPr="002733D3" w:rsidRDefault="00FF5358" w:rsidP="00FF5358">
      <w:pPr>
        <w:spacing w:after="24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 w:rsidRPr="002733D3">
        <w:rPr>
          <w:rFonts w:ascii="Times New Roman" w:eastAsia="Times New Roman" w:hAnsi="Times New Roman" w:cs="Times New Roman"/>
          <w:kern w:val="0"/>
          <w14:ligatures w14:val="none"/>
        </w:rPr>
        <w:br/>
      </w:r>
    </w:p>
    <w:p w14:paraId="5B63E2E1" w14:textId="054CA62B" w:rsidR="00FF5358" w:rsidRPr="002733D3" w:rsidRDefault="00DE07E5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688F7C89" wp14:editId="621B4027">
            <wp:extent cx="5943600" cy="1979001"/>
            <wp:effectExtent l="0" t="0" r="0" b="2540"/>
            <wp:docPr id="8502287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022872" name="Picture 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97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8E583" w14:textId="332246CC" w:rsidR="00C130F6" w:rsidRDefault="00FF5358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Figure B2. </w:t>
      </w:r>
      <w:r w:rsidR="00C130F6" w:rsidRP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Scatter plots of daily SM→T (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a</w:t>
      </w:r>
      <w:r w:rsidR="00C130F6" w:rsidRP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) and R→T (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b</w:t>
      </w:r>
      <w:r w:rsidR="00C130F6" w:rsidRP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) from 1990 to 2022 within the domains of Iberian Peninsula (IP). The x- and y-axes represent soil moisture (SM) and temperature (T) percentiles, respectively. For better visualization, only top 50% percentile of T and lower percentile of SM are plotted. Each marker represents the average value at a daily time scale and the </w:t>
      </w:r>
      <w:proofErr w:type="spellStart"/>
      <w:r w:rsidR="00C130F6" w:rsidRP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colorbar</w:t>
      </w:r>
      <w:proofErr w:type="spellEnd"/>
      <w:r w:rsidR="00C130F6" w:rsidRP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 represents the magnitude of SM→T. Squares, triangles, and diamonds represent the same CDHE days as in France dur</w:t>
      </w:r>
      <w:r w:rsidR="00C130F6" w:rsidRP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ing the 2003, 2006, and 2015 CDHEs. All other days are shown as small dots. Dashed lines mark the SM &lt; 10th percentile and T &gt; 90th percentile thresholds. The unit of IF is in </w:t>
      </w:r>
      <w:proofErr w:type="spellStart"/>
      <w:r w:rsidR="00C130F6" w:rsidRP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nats</w:t>
      </w:r>
      <w:proofErr w:type="spellEnd"/>
      <w:r w:rsidR="00C130F6" w:rsidRP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/h.</w:t>
      </w:r>
    </w:p>
    <w:p w14:paraId="046C60D3" w14:textId="77777777" w:rsidR="00FF5358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1A4077D" w14:textId="77777777" w:rsidR="002E5F37" w:rsidRDefault="002E5F37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7F3524DA" w14:textId="77777777" w:rsidR="002E5F37" w:rsidRDefault="002E5F37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3B7C3121" w14:textId="77777777" w:rsidR="002E5F37" w:rsidRDefault="002E5F37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666C65C" w14:textId="77777777" w:rsidR="002E5F37" w:rsidRPr="002733D3" w:rsidRDefault="002E5F37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CCB410A" w14:textId="51921BF6" w:rsidR="00FF5358" w:rsidRPr="002733D3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C8AF3ED" w14:textId="1346CE98" w:rsidR="00FF5358" w:rsidRPr="002733D3" w:rsidRDefault="00AD2504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drawing>
          <wp:inline distT="0" distB="0" distL="0" distR="0" wp14:anchorId="1E705498" wp14:editId="458A34E0">
            <wp:extent cx="5892800" cy="3209695"/>
            <wp:effectExtent l="0" t="0" r="0" b="3810"/>
            <wp:docPr id="163717737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37177370" name="Picture 1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92800" cy="32096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BC9606" w14:textId="77777777" w:rsidR="00FF5358" w:rsidRPr="002733D3" w:rsidRDefault="00FF5358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2D45699" w14:textId="5173A37E" w:rsidR="00FF5358" w:rsidRDefault="00FF5358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Figure B3. Domain-averaged hourly time series of 2-meter temperature (T) in a 10*10 grid domain in as in 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3, in 2003 (blue) and 2004 (orange) summer. 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(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a). France (FR); 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(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b). British Isle (BI). The red dashed box highlights the 2003 CDHE period and the shaded area represents the confidence interval over the 10*10 domain.</w:t>
      </w:r>
    </w:p>
    <w:p w14:paraId="2253C606" w14:textId="77777777" w:rsidR="002E5F37" w:rsidRDefault="002E5F37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</w:p>
    <w:p w14:paraId="78A3F092" w14:textId="16AE7C2A" w:rsidR="002E5F37" w:rsidRDefault="002E16CD" w:rsidP="00FF5358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0"/>
          <w:szCs w:val="20"/>
        </w:rPr>
        <w:lastRenderedPageBreak/>
        <w:drawing>
          <wp:inline distT="0" distB="0" distL="0" distR="0" wp14:anchorId="3EDE1260" wp14:editId="5BFDD395">
            <wp:extent cx="5943600" cy="4572000"/>
            <wp:effectExtent l="0" t="0" r="0" b="0"/>
            <wp:docPr id="170262121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2621219" name="Picture 1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AA3F7B" w14:textId="77777777" w:rsidR="002E5F37" w:rsidRPr="002733D3" w:rsidRDefault="002E5F37" w:rsidP="002E5F37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2A7B9E8" w14:textId="77777777" w:rsidR="002E5F37" w:rsidRPr="002733D3" w:rsidRDefault="002E5F37" w:rsidP="00FF5358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F885D2A" w14:textId="0DCF36FB" w:rsidR="002E16CD" w:rsidRPr="002733D3" w:rsidRDefault="002E16CD" w:rsidP="002E16C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 B</w:t>
      </w:r>
      <w:r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4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Maps for time-averaged information flow rate over the entire analysis domain. The CDHE period ranges from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July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19th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to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July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27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th, </w:t>
      </w:r>
      <w:proofErr w:type="gramStart"/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200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6</w:t>
      </w:r>
      <w:proofErr w:type="gramEnd"/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over France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The `before CDHE` period ranges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one week before July 19</w:t>
      </w:r>
      <w:r w:rsidR="0025722F" w:rsidRPr="00525907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:vertAlign w:val="superscript"/>
          <w14:ligatures w14:val="none"/>
        </w:rPr>
        <w:t>th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, 2006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The `after CDHE` period ranges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one week after July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27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th, 200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6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The first row represents the changes in SM–&gt;T and the second row </w:t>
      </w:r>
      <w:r w:rsidR="00C130F6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show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the variability of R–&gt;T over the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2006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CDHE. The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unit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of IF is in </w:t>
      </w:r>
      <w:proofErr w:type="spellStart"/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nats</w:t>
      </w:r>
      <w:proofErr w:type="spellEnd"/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/h. Note that the information flow is calculated at the grid-cell level, and the resulting IF rate maps are shown only for the eight PRUDENCE regions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.</w:t>
      </w:r>
    </w:p>
    <w:p w14:paraId="3D6AE495" w14:textId="77777777" w:rsidR="002E16CD" w:rsidRDefault="002E16CD" w:rsidP="002E16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48CFF72E" w14:textId="7A52B699" w:rsidR="002E16CD" w:rsidRDefault="002E16CD" w:rsidP="002E16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52340E7B" wp14:editId="13AFD7FD">
            <wp:extent cx="5943600" cy="4572000"/>
            <wp:effectExtent l="0" t="0" r="0" b="0"/>
            <wp:docPr id="12609805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98054" name="Picture 2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57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E0E5A2" w14:textId="75EDE31B" w:rsidR="0025722F" w:rsidRPr="002733D3" w:rsidRDefault="002E16CD" w:rsidP="0025722F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 B</w:t>
      </w:r>
      <w:r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5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Maps for time-averaged information flow rate over the entire analysis domain. The CDHE period ranges from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August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4th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to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14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th, 20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15 over France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The `before CDHE` period ranges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one week before August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4th, 2015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The `after CDHE` period ranges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one week after August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14th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, 20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15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. The first row represents the changes in SM</w:t>
      </w:r>
      <w:r w:rsidR="00C130F6" w:rsidRPr="004434E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→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T and the second row </w:t>
      </w:r>
      <w:r w:rsidR="00C130F6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show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the variability of R</w:t>
      </w:r>
      <w:r w:rsidR="00C130F6" w:rsidRPr="004434E1">
        <w:rPr>
          <w:rFonts w:ascii="Times New Roman" w:eastAsia="Times New Roman" w:hAnsi="Times New Roman" w:cs="Times New Roman"/>
          <w:kern w:val="0"/>
          <w:sz w:val="22"/>
          <w:szCs w:val="22"/>
          <w14:ligatures w14:val="none"/>
        </w:rPr>
        <w:t>→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T over the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2015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CDHE. The 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unit</w:t>
      </w:r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of IF is in </w:t>
      </w:r>
      <w:proofErr w:type="spellStart"/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nats</w:t>
      </w:r>
      <w:proofErr w:type="spellEnd"/>
      <w:r w:rsidR="0025722F" w:rsidRP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/h. Note that the information flow is calculated at the grid-cell level, and the resulting IF rate maps are shown only for the eight PRUDENCE regions</w:t>
      </w:r>
      <w:r w:rsidR="0025722F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.</w:t>
      </w:r>
    </w:p>
    <w:p w14:paraId="6D4A6B63" w14:textId="09D66553" w:rsidR="002E16CD" w:rsidRPr="002733D3" w:rsidRDefault="002E16CD" w:rsidP="002E16CD">
      <w:pPr>
        <w:spacing w:after="0" w:line="240" w:lineRule="auto"/>
        <w:jc w:val="both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5B06A056" w14:textId="77777777" w:rsidR="002E16CD" w:rsidRDefault="002E16CD" w:rsidP="002E16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2841E852" w14:textId="77777777" w:rsidR="002E16CD" w:rsidRDefault="002E16CD" w:rsidP="002E16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</w:p>
    <w:p w14:paraId="037A6CE8" w14:textId="7CFF46F0" w:rsidR="002E16CD" w:rsidRDefault="00DE07E5" w:rsidP="002E16CD">
      <w:pPr>
        <w:spacing w:after="0" w:line="240" w:lineRule="auto"/>
        <w:rPr>
          <w:rFonts w:ascii="Times New Roman" w:eastAsia="Times New Roman" w:hAnsi="Times New Roman" w:cs="Times New Roman"/>
          <w:kern w:val="0"/>
          <w14:ligatures w14:val="none"/>
        </w:rPr>
      </w:pPr>
      <w:r>
        <w:rPr>
          <w:rFonts w:ascii="Times New Roman" w:eastAsia="Times New Roman" w:hAnsi="Times New Roman" w:cs="Times New Roman"/>
          <w:noProof/>
          <w:kern w:val="0"/>
        </w:rPr>
        <w:lastRenderedPageBreak/>
        <w:drawing>
          <wp:inline distT="0" distB="0" distL="0" distR="0" wp14:anchorId="6851555A" wp14:editId="3CEF53B5">
            <wp:extent cx="5930683" cy="4754771"/>
            <wp:effectExtent l="0" t="0" r="635" b="0"/>
            <wp:docPr id="29025084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250848" name="Picture 2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0683" cy="4754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AB0AEF7" w14:textId="0DF00BF9" w:rsidR="002E16CD" w:rsidRPr="00525907" w:rsidRDefault="002E16CD" w:rsidP="008A575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 B</w:t>
      </w:r>
      <w:r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6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</w:t>
      </w:r>
      <w:r w:rsidR="008A575E" w:rsidRPr="008A575E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 xml:space="preserve">Time series of information flow and hydroclimatic variables over France </w:t>
      </w:r>
      <w:r w:rsid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(FR) </w:t>
      </w:r>
      <w:r w:rsidR="008A575E" w:rsidRPr="008A575E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during summer for 2003 and 2004. The top panel shows IF(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SM</w:t>
      </w:r>
      <w:r w:rsidR="008A575E" w:rsidRPr="008A575E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→T), and the middle panel shows IF(R→T). Solid lines represent the estimated information flow rates, while shaded envelo</w:t>
      </w:r>
      <w:r w:rsidR="008A575E" w:rsidRP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pes indicate the associated uncertainty range derived from the Fisher information matrix. Dashed lines denote statistically significant </w:t>
      </w:r>
      <w:r w:rsidR="003B2102" w:rsidRPr="008A575E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information flow</w:t>
      </w:r>
      <w:r w:rsidR="003B2102" w:rsidRP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8A575E" w:rsidRP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values based on the significance test, indicating periods when the inferred information flow is significantly different from zero.</w:t>
      </w:r>
      <w:r w:rsid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</w:t>
      </w:r>
      <w:r w:rsidR="008A575E" w:rsidRP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The bottom panel shows domain-averaged surface soil water content (</w:t>
      </w:r>
      <w:r w:rsid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SM</w:t>
      </w:r>
      <w:r w:rsidR="008A575E" w:rsidRPr="008A575E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; left axis) and total precipitation (P; right axis) for the same years. This figure highlights the temporal evolution and statistical significance of the diagnosed land–atmosphere coupling pathways during contrasting hydroclimatic conditions.</w:t>
      </w:r>
    </w:p>
    <w:p w14:paraId="3734F36D" w14:textId="77777777" w:rsidR="002E16CD" w:rsidRDefault="002E16CD" w:rsidP="002E16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</w:pPr>
    </w:p>
    <w:p w14:paraId="056B7132" w14:textId="3AFC2E91" w:rsidR="002E16CD" w:rsidRDefault="002E16CD" w:rsidP="002E16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</w:pPr>
    </w:p>
    <w:p w14:paraId="05E2416B" w14:textId="64F565C9" w:rsidR="002E16CD" w:rsidRDefault="00DE07E5" w:rsidP="002E16CD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kern w:val="0"/>
          <w:sz w:val="22"/>
          <w:szCs w:val="22"/>
          <w14:ligatures w14:val="none"/>
        </w:rPr>
      </w:pPr>
      <w:r>
        <w:rPr>
          <w:rFonts w:ascii="Times New Roman" w:eastAsia="Times New Roman" w:hAnsi="Times New Roman" w:cs="Times New Roman"/>
          <w:noProof/>
          <w:color w:val="000000"/>
          <w:kern w:val="0"/>
          <w:sz w:val="22"/>
          <w:szCs w:val="22"/>
        </w:rPr>
        <w:lastRenderedPageBreak/>
        <w:drawing>
          <wp:inline distT="0" distB="0" distL="0" distR="0" wp14:anchorId="354EAA29" wp14:editId="2201DFB1">
            <wp:extent cx="5943549" cy="4700995"/>
            <wp:effectExtent l="0" t="0" r="635" b="0"/>
            <wp:docPr id="113105621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056210" name="Picture 3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549" cy="4700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E461B5" w14:textId="1C29CC66" w:rsidR="00FF5358" w:rsidRDefault="002E16CD" w:rsidP="00C130F6">
      <w:pPr>
        <w:spacing w:after="0" w:line="240" w:lineRule="auto"/>
        <w:jc w:val="both"/>
      </w:pP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 B</w:t>
      </w:r>
      <w:r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7</w:t>
      </w:r>
      <w:r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. 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Same as </w:t>
      </w:r>
      <w:r w:rsidR="00C130F6" w:rsidRPr="002733D3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>Figure B</w:t>
      </w:r>
      <w:r w:rsidR="00C130F6">
        <w:rPr>
          <w:rFonts w:ascii="Times New Roman" w:eastAsia="Times New Roman" w:hAnsi="Times New Roman" w:cs="Times New Roman" w:hint="eastAsia"/>
          <w:color w:val="000000"/>
          <w:kern w:val="0"/>
          <w:sz w:val="20"/>
          <w:szCs w:val="20"/>
          <w14:ligatures w14:val="none"/>
        </w:rPr>
        <w:t>6</w:t>
      </w:r>
      <w:r w:rsidR="00C130F6">
        <w:rPr>
          <w:rFonts w:ascii="Times New Roman" w:eastAsia="Times New Roman" w:hAnsi="Times New Roman" w:cs="Times New Roman"/>
          <w:color w:val="000000"/>
          <w:kern w:val="0"/>
          <w:sz w:val="20"/>
          <w:szCs w:val="20"/>
          <w14:ligatures w14:val="none"/>
        </w:rPr>
        <w:t xml:space="preserve"> but for BI.</w:t>
      </w:r>
    </w:p>
    <w:sectPr w:rsidR="00FF535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1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F5358"/>
    <w:rsid w:val="0000588B"/>
    <w:rsid w:val="0005016C"/>
    <w:rsid w:val="00066581"/>
    <w:rsid w:val="001E7CD3"/>
    <w:rsid w:val="00236C3A"/>
    <w:rsid w:val="0025722F"/>
    <w:rsid w:val="002E16CD"/>
    <w:rsid w:val="002E5F37"/>
    <w:rsid w:val="003B2102"/>
    <w:rsid w:val="003D7201"/>
    <w:rsid w:val="00454F20"/>
    <w:rsid w:val="00466A0C"/>
    <w:rsid w:val="00491059"/>
    <w:rsid w:val="00517377"/>
    <w:rsid w:val="00525907"/>
    <w:rsid w:val="00551928"/>
    <w:rsid w:val="00586BBE"/>
    <w:rsid w:val="005C50ED"/>
    <w:rsid w:val="00680B40"/>
    <w:rsid w:val="00691C28"/>
    <w:rsid w:val="007B2C8D"/>
    <w:rsid w:val="008A575E"/>
    <w:rsid w:val="009146F3"/>
    <w:rsid w:val="00921E87"/>
    <w:rsid w:val="0098342F"/>
    <w:rsid w:val="009C77D8"/>
    <w:rsid w:val="00A20283"/>
    <w:rsid w:val="00A65A69"/>
    <w:rsid w:val="00AD2504"/>
    <w:rsid w:val="00AF32B7"/>
    <w:rsid w:val="00B302AF"/>
    <w:rsid w:val="00B448BA"/>
    <w:rsid w:val="00B83925"/>
    <w:rsid w:val="00B92E4B"/>
    <w:rsid w:val="00C130F6"/>
    <w:rsid w:val="00CB0F15"/>
    <w:rsid w:val="00CB3831"/>
    <w:rsid w:val="00D650E0"/>
    <w:rsid w:val="00DE07E5"/>
    <w:rsid w:val="00F930E6"/>
    <w:rsid w:val="00FF53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57123F6"/>
  <w15:chartTrackingRefBased/>
  <w15:docId w15:val="{E00814F9-6110-3242-B60C-8996AEF49C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US" w:eastAsia="zh-CN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F5358"/>
  </w:style>
  <w:style w:type="paragraph" w:styleId="Heading1">
    <w:name w:val="heading 1"/>
    <w:basedOn w:val="Normal"/>
    <w:next w:val="Normal"/>
    <w:link w:val="Heading1Char"/>
    <w:uiPriority w:val="9"/>
    <w:qFormat/>
    <w:rsid w:val="00FF535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FF535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FF535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FF535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FF535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FF535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F535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F535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F535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F535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FF535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F535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F535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F535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F535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F535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F535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F535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FF535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FF535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FF535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FF535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FF535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FF535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FF535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FF535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F535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F535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FF5358"/>
    <w:rPr>
      <w:b/>
      <w:bCs/>
      <w:smallCaps/>
      <w:color w:val="0F4761" w:themeColor="accent1" w:themeShade="BF"/>
      <w:spacing w:val="5"/>
    </w:rPr>
  </w:style>
  <w:style w:type="character" w:styleId="PlaceholderText">
    <w:name w:val="Placeholder Text"/>
    <w:basedOn w:val="DefaultParagraphFont"/>
    <w:uiPriority w:val="99"/>
    <w:semiHidden/>
    <w:rsid w:val="001E7CD3"/>
    <w:rPr>
      <w:color w:val="666666"/>
    </w:rPr>
  </w:style>
  <w:style w:type="paragraph" w:styleId="Revision">
    <w:name w:val="Revision"/>
    <w:hidden/>
    <w:uiPriority w:val="99"/>
    <w:semiHidden/>
    <w:rsid w:val="002E16CD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921E8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921E87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921E87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21E8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21E87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103</TotalTime>
  <Pages>8</Pages>
  <Words>678</Words>
  <Characters>4112</Characters>
  <Application>Microsoft Office Word</Application>
  <DocSecurity>0</DocSecurity>
  <Lines>60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4778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t62172</dc:creator>
  <cp:keywords/>
  <dc:description/>
  <cp:lastModifiedBy>yk.zhang0321</cp:lastModifiedBy>
  <cp:revision>27</cp:revision>
  <dcterms:created xsi:type="dcterms:W3CDTF">2026-01-24T23:34:00Z</dcterms:created>
  <dcterms:modified xsi:type="dcterms:W3CDTF">2026-04-17T05:26:00Z</dcterms:modified>
</cp:coreProperties>
</file>