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55ED5" w14:textId="77777777" w:rsidR="003018DD" w:rsidRDefault="003018DD" w:rsidP="00D338F9">
      <w:pPr>
        <w:jc w:val="both"/>
        <w:rPr>
          <w:rFonts w:asciiTheme="majorBidi" w:hAnsiTheme="majorBidi" w:cstheme="majorBidi"/>
        </w:rPr>
      </w:pPr>
      <w:r w:rsidRPr="003018DD">
        <w:rPr>
          <w:rFonts w:asciiTheme="majorBidi" w:eastAsiaTheme="majorEastAsia" w:hAnsiTheme="majorBidi" w:cstheme="majorBidi"/>
          <w:b/>
          <w:bCs/>
          <w:sz w:val="28"/>
          <w:szCs w:val="28"/>
        </w:rPr>
        <w:t xml:space="preserve">Online Resource 1 </w:t>
      </w:r>
    </w:p>
    <w:p w14:paraId="2E64C6A0" w14:textId="44D32D15"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Assessing Short-term Social Learning Effects of Participatory Scenario Planning in Tehran Basin, Iran: </w:t>
      </w:r>
      <w:r w:rsidR="00692822" w:rsidRPr="00D338F9">
        <w:rPr>
          <w:rFonts w:asciiTheme="majorBidi" w:hAnsiTheme="majorBidi" w:cstheme="majorBidi"/>
        </w:rPr>
        <w:t>An</w:t>
      </w:r>
      <w:r w:rsidRPr="00D338F9">
        <w:rPr>
          <w:rFonts w:asciiTheme="majorBidi" w:hAnsiTheme="majorBidi" w:cstheme="majorBidi"/>
        </w:rPr>
        <w:t xml:space="preserve"> Exploratory Study</w:t>
      </w:r>
    </w:p>
    <w:p w14:paraId="6B24C063" w14:textId="77777777" w:rsidR="00D338F9" w:rsidRPr="00D338F9" w:rsidRDefault="00D338F9" w:rsidP="00D338F9">
      <w:pPr>
        <w:jc w:val="both"/>
        <w:rPr>
          <w:rFonts w:asciiTheme="majorBidi" w:hAnsiTheme="majorBidi" w:cstheme="majorBidi"/>
        </w:rPr>
      </w:pPr>
    </w:p>
    <w:p w14:paraId="7BF5951D" w14:textId="0846296E" w:rsidR="00D338F9" w:rsidRPr="00D338F9" w:rsidRDefault="00D338F9" w:rsidP="00D338F9">
      <w:pPr>
        <w:jc w:val="both"/>
        <w:rPr>
          <w:rFonts w:asciiTheme="majorBidi" w:hAnsiTheme="majorBidi" w:cstheme="majorBidi"/>
        </w:rPr>
      </w:pPr>
      <w:r w:rsidRPr="00D338F9">
        <w:rPr>
          <w:rFonts w:asciiTheme="majorBidi" w:hAnsiTheme="majorBidi" w:cstheme="majorBidi"/>
        </w:rPr>
        <w:t>Contents</w:t>
      </w:r>
    </w:p>
    <w:p w14:paraId="1766832E" w14:textId="6CD7370C" w:rsidR="00D338F9" w:rsidRPr="00D338F9" w:rsidRDefault="003018DD" w:rsidP="00D338F9">
      <w:pPr>
        <w:pStyle w:val="ListParagraph"/>
        <w:numPr>
          <w:ilvl w:val="0"/>
          <w:numId w:val="5"/>
        </w:numPr>
        <w:jc w:val="both"/>
        <w:rPr>
          <w:rFonts w:asciiTheme="majorBidi" w:hAnsiTheme="majorBidi" w:cstheme="majorBidi"/>
        </w:rPr>
      </w:pPr>
      <w:r>
        <w:rPr>
          <w:rFonts w:asciiTheme="majorBidi" w:hAnsiTheme="majorBidi" w:cstheme="majorBidi"/>
        </w:rPr>
        <w:t>OR</w:t>
      </w:r>
      <w:r w:rsidR="00D338F9" w:rsidRPr="00D338F9">
        <w:rPr>
          <w:rFonts w:asciiTheme="majorBidi" w:hAnsiTheme="majorBidi" w:cstheme="majorBidi"/>
        </w:rPr>
        <w:t>1.1 Detailed Conceptual Framework Operationalization</w:t>
      </w:r>
    </w:p>
    <w:p w14:paraId="52C3491C" w14:textId="01C7836D" w:rsidR="00D338F9" w:rsidRPr="00D338F9" w:rsidRDefault="003018DD" w:rsidP="00D338F9">
      <w:pPr>
        <w:pStyle w:val="ListParagraph"/>
        <w:numPr>
          <w:ilvl w:val="0"/>
          <w:numId w:val="5"/>
        </w:numPr>
        <w:jc w:val="both"/>
        <w:rPr>
          <w:rFonts w:asciiTheme="majorBidi" w:hAnsiTheme="majorBidi" w:cstheme="majorBidi"/>
        </w:rPr>
      </w:pPr>
      <w:r>
        <w:rPr>
          <w:rFonts w:asciiTheme="majorBidi" w:hAnsiTheme="majorBidi" w:cstheme="majorBidi"/>
        </w:rPr>
        <w:t>OR1</w:t>
      </w:r>
      <w:r w:rsidR="00D338F9" w:rsidRPr="00D338F9">
        <w:rPr>
          <w:rFonts w:asciiTheme="majorBidi" w:hAnsiTheme="majorBidi" w:cstheme="majorBidi"/>
        </w:rPr>
        <w:t>.2 Methodological Supplement: Quantitative Measures and Statistical Procedures</w:t>
      </w:r>
    </w:p>
    <w:p w14:paraId="28D8A95D" w14:textId="34BE8E84" w:rsidR="00D338F9" w:rsidRPr="00D338F9" w:rsidRDefault="003018DD" w:rsidP="00D338F9">
      <w:pPr>
        <w:pStyle w:val="ListParagraph"/>
        <w:numPr>
          <w:ilvl w:val="0"/>
          <w:numId w:val="5"/>
        </w:numPr>
        <w:jc w:val="both"/>
        <w:rPr>
          <w:rFonts w:asciiTheme="majorBidi" w:hAnsiTheme="majorBidi" w:cstheme="majorBidi"/>
        </w:rPr>
      </w:pPr>
      <w:r>
        <w:rPr>
          <w:rFonts w:asciiTheme="majorBidi" w:hAnsiTheme="majorBidi" w:cstheme="majorBidi"/>
        </w:rPr>
        <w:t>OR1</w:t>
      </w:r>
      <w:r w:rsidR="00D338F9" w:rsidRPr="00D338F9">
        <w:rPr>
          <w:rFonts w:asciiTheme="majorBidi" w:hAnsiTheme="majorBidi" w:cstheme="majorBidi"/>
        </w:rPr>
        <w:t>.3 Thematic Coding Framework for Environmental Aspirations (Normative Learning)</w:t>
      </w:r>
    </w:p>
    <w:p w14:paraId="1AE627BC" w14:textId="5437A845" w:rsidR="00D338F9" w:rsidRPr="00D338F9" w:rsidRDefault="003018DD" w:rsidP="00D338F9">
      <w:pPr>
        <w:pStyle w:val="ListParagraph"/>
        <w:numPr>
          <w:ilvl w:val="0"/>
          <w:numId w:val="5"/>
        </w:numPr>
        <w:jc w:val="both"/>
        <w:rPr>
          <w:rFonts w:asciiTheme="majorBidi" w:hAnsiTheme="majorBidi" w:cstheme="majorBidi"/>
        </w:rPr>
      </w:pPr>
      <w:r>
        <w:rPr>
          <w:rFonts w:asciiTheme="majorBidi" w:hAnsiTheme="majorBidi" w:cstheme="majorBidi"/>
        </w:rPr>
        <w:t>OR1</w:t>
      </w:r>
      <w:r w:rsidR="00D338F9" w:rsidRPr="00D338F9">
        <w:rPr>
          <w:rFonts w:asciiTheme="majorBidi" w:hAnsiTheme="majorBidi" w:cstheme="majorBidi"/>
        </w:rPr>
        <w:t>.4 Supplementary Results: Distribution of Landscape Components (Cognitive Learning)</w:t>
      </w:r>
    </w:p>
    <w:p w14:paraId="0A8F0DB3" w14:textId="70EFFF8A" w:rsidR="00D338F9" w:rsidRPr="00D338F9" w:rsidRDefault="003018DD" w:rsidP="00D338F9">
      <w:pPr>
        <w:pStyle w:val="ListParagraph"/>
        <w:numPr>
          <w:ilvl w:val="0"/>
          <w:numId w:val="5"/>
        </w:numPr>
        <w:jc w:val="both"/>
        <w:rPr>
          <w:rFonts w:asciiTheme="majorBidi" w:hAnsiTheme="majorBidi" w:cstheme="majorBidi"/>
        </w:rPr>
      </w:pPr>
      <w:r>
        <w:rPr>
          <w:rFonts w:asciiTheme="majorBidi" w:hAnsiTheme="majorBidi" w:cstheme="majorBidi"/>
        </w:rPr>
        <w:t>OR1</w:t>
      </w:r>
      <w:r w:rsidR="00D338F9" w:rsidRPr="00D338F9">
        <w:rPr>
          <w:rFonts w:asciiTheme="majorBidi" w:hAnsiTheme="majorBidi" w:cstheme="majorBidi"/>
        </w:rPr>
        <w:t>.5 Qualitative Interview Protocol (Translated Excerpts)</w:t>
      </w:r>
    </w:p>
    <w:p w14:paraId="2D0D3A8F" w14:textId="1091BC60" w:rsidR="00D338F9" w:rsidRPr="00D338F9" w:rsidRDefault="003018DD" w:rsidP="00D338F9">
      <w:pPr>
        <w:pStyle w:val="ListParagraph"/>
        <w:numPr>
          <w:ilvl w:val="0"/>
          <w:numId w:val="5"/>
        </w:numPr>
        <w:jc w:val="both"/>
        <w:rPr>
          <w:rFonts w:asciiTheme="majorBidi" w:hAnsiTheme="majorBidi" w:cstheme="majorBidi"/>
        </w:rPr>
      </w:pPr>
      <w:r>
        <w:rPr>
          <w:rFonts w:asciiTheme="majorBidi" w:hAnsiTheme="majorBidi" w:cstheme="majorBidi"/>
        </w:rPr>
        <w:t>OR1</w:t>
      </w:r>
      <w:r w:rsidR="00D338F9" w:rsidRPr="00D338F9">
        <w:rPr>
          <w:rFonts w:asciiTheme="majorBidi" w:hAnsiTheme="majorBidi" w:cstheme="majorBidi"/>
        </w:rPr>
        <w:t>.6 Ethical Approval and Informed Consent Statement</w:t>
      </w:r>
    </w:p>
    <w:p w14:paraId="6F8C5211" w14:textId="77777777" w:rsidR="00D338F9" w:rsidRPr="00D338F9" w:rsidRDefault="00D338F9" w:rsidP="00D338F9">
      <w:pPr>
        <w:jc w:val="both"/>
        <w:rPr>
          <w:rFonts w:asciiTheme="majorBidi" w:hAnsiTheme="majorBidi" w:cstheme="majorBidi"/>
        </w:rPr>
      </w:pPr>
    </w:p>
    <w:p w14:paraId="4FDD679B" w14:textId="57E982CE" w:rsidR="00D338F9" w:rsidRPr="00D338F9" w:rsidRDefault="003018DD" w:rsidP="00D338F9">
      <w:pPr>
        <w:pStyle w:val="Heading2"/>
        <w:spacing w:line="276" w:lineRule="auto"/>
        <w:jc w:val="both"/>
        <w:rPr>
          <w:rFonts w:asciiTheme="majorBidi" w:hAnsiTheme="majorBidi"/>
          <w:b/>
          <w:bCs/>
          <w:sz w:val="28"/>
          <w:szCs w:val="28"/>
        </w:rPr>
      </w:pPr>
      <w:r>
        <w:rPr>
          <w:rFonts w:asciiTheme="majorBidi" w:hAnsiTheme="majorBidi"/>
          <w:b/>
          <w:bCs/>
          <w:sz w:val="28"/>
          <w:szCs w:val="28"/>
        </w:rPr>
        <w:t>OR1</w:t>
      </w:r>
      <w:r w:rsidR="00D338F9" w:rsidRPr="00D338F9">
        <w:rPr>
          <w:rFonts w:asciiTheme="majorBidi" w:hAnsiTheme="majorBidi"/>
          <w:b/>
          <w:bCs/>
          <w:sz w:val="28"/>
          <w:szCs w:val="28"/>
        </w:rPr>
        <w:t>. 1. Detailed Conceptual Framework Operationalization</w:t>
      </w:r>
    </w:p>
    <w:p w14:paraId="55F53BBE"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This section elaborates on the operationalization of the conceptual framework presented in Fig. 1 of the main manuscript.</w:t>
      </w:r>
    </w:p>
    <w:p w14:paraId="2AE4480B" w14:textId="62C8F013"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Table </w:t>
      </w:r>
      <w:r w:rsidR="003018DD">
        <w:rPr>
          <w:rFonts w:asciiTheme="majorBidi" w:hAnsiTheme="majorBidi" w:cstheme="majorBidi"/>
        </w:rPr>
        <w:t>OR1</w:t>
      </w:r>
      <w:r w:rsidRPr="00D338F9">
        <w:rPr>
          <w:rFonts w:asciiTheme="majorBidi" w:hAnsiTheme="majorBidi" w:cstheme="majorBidi"/>
        </w:rPr>
        <w:t>.1.1: Operational Definitions and Indicators for Social Learning Dimensions</w:t>
      </w:r>
    </w:p>
    <w:tbl>
      <w:tblPr>
        <w:tblStyle w:val="PlainTable2"/>
        <w:tblW w:w="0" w:type="auto"/>
        <w:tblLook w:val="04A0" w:firstRow="1" w:lastRow="0" w:firstColumn="1" w:lastColumn="0" w:noHBand="0" w:noVBand="1"/>
      </w:tblPr>
      <w:tblGrid>
        <w:gridCol w:w="1128"/>
        <w:gridCol w:w="1507"/>
        <w:gridCol w:w="2265"/>
        <w:gridCol w:w="1816"/>
        <w:gridCol w:w="2644"/>
      </w:tblGrid>
      <w:tr w:rsidR="00692822" w:rsidRPr="00692822" w14:paraId="15C62203" w14:textId="77777777" w:rsidTr="00692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46A9D2"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Dimension</w:t>
            </w:r>
          </w:p>
        </w:tc>
        <w:tc>
          <w:tcPr>
            <w:tcW w:w="0" w:type="auto"/>
            <w:hideMark/>
          </w:tcPr>
          <w:p w14:paraId="5DEDAD3C" w14:textId="77777777" w:rsidR="00692822" w:rsidRPr="00692822" w:rsidRDefault="00692822" w:rsidP="00692822">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Construct</w:t>
            </w:r>
          </w:p>
        </w:tc>
        <w:tc>
          <w:tcPr>
            <w:tcW w:w="0" w:type="auto"/>
            <w:hideMark/>
          </w:tcPr>
          <w:p w14:paraId="021BCFBC" w14:textId="77777777" w:rsidR="00692822" w:rsidRPr="00692822" w:rsidRDefault="00692822" w:rsidP="00692822">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Operational Definition</w:t>
            </w:r>
          </w:p>
        </w:tc>
        <w:tc>
          <w:tcPr>
            <w:tcW w:w="0" w:type="auto"/>
            <w:hideMark/>
          </w:tcPr>
          <w:p w14:paraId="7FFD1936" w14:textId="77777777" w:rsidR="00692822" w:rsidRPr="00692822" w:rsidRDefault="00692822" w:rsidP="00692822">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Indicator</w:t>
            </w:r>
          </w:p>
        </w:tc>
        <w:tc>
          <w:tcPr>
            <w:tcW w:w="0" w:type="auto"/>
            <w:hideMark/>
          </w:tcPr>
          <w:p w14:paraId="2BBD3C7C" w14:textId="77777777" w:rsidR="00692822" w:rsidRPr="00692822" w:rsidRDefault="00692822" w:rsidP="00692822">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Measurement Method</w:t>
            </w:r>
          </w:p>
        </w:tc>
      </w:tr>
      <w:tr w:rsidR="00692822" w:rsidRPr="00692822" w14:paraId="3C595556" w14:textId="77777777" w:rsidTr="00692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139312"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Cognitive</w:t>
            </w:r>
          </w:p>
        </w:tc>
        <w:tc>
          <w:tcPr>
            <w:tcW w:w="0" w:type="auto"/>
            <w:hideMark/>
          </w:tcPr>
          <w:p w14:paraId="22FE0C68"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Systems Thinking</w:t>
            </w:r>
          </w:p>
        </w:tc>
        <w:tc>
          <w:tcPr>
            <w:tcW w:w="0" w:type="auto"/>
            <w:hideMark/>
          </w:tcPr>
          <w:p w14:paraId="072EB6CB"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Mental representation of components and interconnections within the Tehran Basin’s social-ecological system</w:t>
            </w:r>
          </w:p>
        </w:tc>
        <w:tc>
          <w:tcPr>
            <w:tcW w:w="0" w:type="auto"/>
            <w:hideMark/>
          </w:tcPr>
          <w:p w14:paraId="26274863"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Number and diversity of landscape components identified as relevant for decision-making</w:t>
            </w:r>
          </w:p>
        </w:tc>
        <w:tc>
          <w:tcPr>
            <w:tcW w:w="0" w:type="auto"/>
            <w:hideMark/>
          </w:tcPr>
          <w:p w14:paraId="4C10D21C"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Open-ended elicitation (“What elements of the Tehran Basin system do you consider important for future governance?”); summative content analysis</w:t>
            </w:r>
          </w:p>
        </w:tc>
      </w:tr>
      <w:tr w:rsidR="00692822" w:rsidRPr="00692822" w14:paraId="66431D25" w14:textId="77777777" w:rsidTr="00692822">
        <w:tc>
          <w:tcPr>
            <w:cnfStyle w:val="001000000000" w:firstRow="0" w:lastRow="0" w:firstColumn="1" w:lastColumn="0" w:oddVBand="0" w:evenVBand="0" w:oddHBand="0" w:evenHBand="0" w:firstRowFirstColumn="0" w:firstRowLastColumn="0" w:lastRowFirstColumn="0" w:lastRowLastColumn="0"/>
            <w:tcW w:w="0" w:type="auto"/>
            <w:hideMark/>
          </w:tcPr>
          <w:p w14:paraId="4A2BA3ED"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Relational</w:t>
            </w:r>
          </w:p>
        </w:tc>
        <w:tc>
          <w:tcPr>
            <w:tcW w:w="0" w:type="auto"/>
            <w:hideMark/>
          </w:tcPr>
          <w:p w14:paraId="073C9338" w14:textId="77777777" w:rsidR="00692822" w:rsidRPr="00692822" w:rsidRDefault="00692822" w:rsidP="00692822">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Rational (Calculative) Trust</w:t>
            </w:r>
          </w:p>
        </w:tc>
        <w:tc>
          <w:tcPr>
            <w:tcW w:w="0" w:type="auto"/>
            <w:hideMark/>
          </w:tcPr>
          <w:p w14:paraId="39E86FD6" w14:textId="77777777" w:rsidR="00692822" w:rsidRPr="00692822" w:rsidRDefault="00692822" w:rsidP="00692822">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Perceived likelihood of achieving organizational goals through collaboration with another actor</w:t>
            </w:r>
          </w:p>
        </w:tc>
        <w:tc>
          <w:tcPr>
            <w:tcW w:w="0" w:type="auto"/>
            <w:hideMark/>
          </w:tcPr>
          <w:p w14:paraId="251729D4" w14:textId="77777777" w:rsidR="00692822" w:rsidRPr="00692822" w:rsidRDefault="00692822" w:rsidP="00692822">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Likelihood rating (1–5 scale) for each represented organization</w:t>
            </w:r>
          </w:p>
        </w:tc>
        <w:tc>
          <w:tcPr>
            <w:tcW w:w="0" w:type="auto"/>
            <w:hideMark/>
          </w:tcPr>
          <w:p w14:paraId="04AC6FA1" w14:textId="77777777" w:rsidR="00692822" w:rsidRPr="00692822" w:rsidRDefault="00692822" w:rsidP="00692822">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“How likely is it that collaborating with [Organization X] would help your organization achieve its goals related to the Tehran Basin?” (1 = Very unlikely, 5 = Very likely)</w:t>
            </w:r>
          </w:p>
        </w:tc>
      </w:tr>
      <w:tr w:rsidR="00692822" w:rsidRPr="00692822" w14:paraId="4EBF3222" w14:textId="77777777" w:rsidTr="00692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C21458"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Normative</w:t>
            </w:r>
          </w:p>
        </w:tc>
        <w:tc>
          <w:tcPr>
            <w:tcW w:w="0" w:type="auto"/>
            <w:hideMark/>
          </w:tcPr>
          <w:p w14:paraId="2B935022"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Environmental Aspirations</w:t>
            </w:r>
          </w:p>
        </w:tc>
        <w:tc>
          <w:tcPr>
            <w:tcW w:w="0" w:type="auto"/>
            <w:hideMark/>
          </w:tcPr>
          <w:p w14:paraId="4D75EBDD"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Desired future conditions for the Tehran Basin over a 25–30-year horizon</w:t>
            </w:r>
          </w:p>
        </w:tc>
        <w:tc>
          <w:tcPr>
            <w:tcW w:w="0" w:type="auto"/>
            <w:hideMark/>
          </w:tcPr>
          <w:p w14:paraId="3FE64A03"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Thematic categories of aspirational statements</w:t>
            </w:r>
          </w:p>
        </w:tc>
        <w:tc>
          <w:tcPr>
            <w:tcW w:w="0" w:type="auto"/>
            <w:hideMark/>
          </w:tcPr>
          <w:p w14:paraId="00B22EEF"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Open-ended prompt: “What future conditions for the Tehran Basin do you most hope to see by 2050?”; inductive thematic analysis</w:t>
            </w:r>
          </w:p>
        </w:tc>
      </w:tr>
    </w:tbl>
    <w:p w14:paraId="6D5744BA" w14:textId="77777777" w:rsidR="00D338F9" w:rsidRPr="00D338F9" w:rsidRDefault="00D338F9" w:rsidP="00D338F9">
      <w:pPr>
        <w:jc w:val="both"/>
        <w:rPr>
          <w:rFonts w:asciiTheme="majorBidi" w:hAnsiTheme="majorBidi" w:cstheme="majorBidi"/>
        </w:rPr>
      </w:pPr>
    </w:p>
    <w:p w14:paraId="47F48FA7" w14:textId="412E574D"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Table </w:t>
      </w:r>
      <w:r w:rsidR="003018DD">
        <w:rPr>
          <w:rFonts w:asciiTheme="majorBidi" w:hAnsiTheme="majorBidi" w:cstheme="majorBidi"/>
        </w:rPr>
        <w:t>OR1</w:t>
      </w:r>
      <w:r w:rsidRPr="00D338F9">
        <w:rPr>
          <w:rFonts w:asciiTheme="majorBidi" w:hAnsiTheme="majorBidi" w:cstheme="majorBidi"/>
        </w:rPr>
        <w:t>.1.2: PSP Operational Attributes and Enabling Mechanisms</w:t>
      </w:r>
    </w:p>
    <w:tbl>
      <w:tblPr>
        <w:tblStyle w:val="PlainTable2"/>
        <w:tblW w:w="0" w:type="auto"/>
        <w:tblLook w:val="04A0" w:firstRow="1" w:lastRow="0" w:firstColumn="1" w:lastColumn="0" w:noHBand="0" w:noVBand="1"/>
      </w:tblPr>
      <w:tblGrid>
        <w:gridCol w:w="1306"/>
        <w:gridCol w:w="3932"/>
        <w:gridCol w:w="4122"/>
      </w:tblGrid>
      <w:tr w:rsidR="00692822" w:rsidRPr="00692822" w14:paraId="224B6BA0" w14:textId="77777777" w:rsidTr="00692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52D49B"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Attribute</w:t>
            </w:r>
          </w:p>
        </w:tc>
        <w:tc>
          <w:tcPr>
            <w:tcW w:w="0" w:type="auto"/>
            <w:hideMark/>
          </w:tcPr>
          <w:p w14:paraId="3DB2EA4B" w14:textId="77777777" w:rsidR="00692822" w:rsidRPr="00692822" w:rsidRDefault="00692822" w:rsidP="00692822">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Definition</w:t>
            </w:r>
          </w:p>
        </w:tc>
        <w:tc>
          <w:tcPr>
            <w:tcW w:w="0" w:type="auto"/>
            <w:hideMark/>
          </w:tcPr>
          <w:p w14:paraId="13D30AA1" w14:textId="77777777" w:rsidR="00692822" w:rsidRPr="00692822" w:rsidRDefault="00692822" w:rsidP="00692822">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Enabling Mechanisms (as per participant reports)</w:t>
            </w:r>
          </w:p>
        </w:tc>
      </w:tr>
      <w:tr w:rsidR="00692822" w:rsidRPr="00692822" w14:paraId="4C11E56E" w14:textId="77777777" w:rsidTr="00692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6CA840"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Composition</w:t>
            </w:r>
          </w:p>
        </w:tc>
        <w:tc>
          <w:tcPr>
            <w:tcW w:w="0" w:type="auto"/>
            <w:hideMark/>
          </w:tcPr>
          <w:p w14:paraId="5D7F71E5"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Diversity of participants across sectors, governance levels, and knowledge systems</w:t>
            </w:r>
          </w:p>
        </w:tc>
        <w:tc>
          <w:tcPr>
            <w:tcW w:w="0" w:type="auto"/>
            <w:hideMark/>
          </w:tcPr>
          <w:p w14:paraId="7D414570"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Perspective-taking; empathy-building; reduction of informational asymmetries; legitimation of marginalized voices</w:t>
            </w:r>
          </w:p>
        </w:tc>
      </w:tr>
      <w:tr w:rsidR="00692822" w:rsidRPr="00692822" w14:paraId="781FCCDD" w14:textId="77777777" w:rsidTr="00692822">
        <w:tc>
          <w:tcPr>
            <w:cnfStyle w:val="001000000000" w:firstRow="0" w:lastRow="0" w:firstColumn="1" w:lastColumn="0" w:oddVBand="0" w:evenVBand="0" w:oddHBand="0" w:evenHBand="0" w:firstRowFirstColumn="0" w:firstRowLastColumn="0" w:lastRowFirstColumn="0" w:lastRowLastColumn="0"/>
            <w:tcW w:w="0" w:type="auto"/>
            <w:hideMark/>
          </w:tcPr>
          <w:p w14:paraId="659B7DA8"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Process</w:t>
            </w:r>
          </w:p>
        </w:tc>
        <w:tc>
          <w:tcPr>
            <w:tcW w:w="0" w:type="auto"/>
            <w:hideMark/>
          </w:tcPr>
          <w:p w14:paraId="193087ED" w14:textId="77777777" w:rsidR="00692822" w:rsidRPr="00692822" w:rsidRDefault="00692822" w:rsidP="00692822">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Design and sequencing of workshop activities (mapping, scenario development, storytelling, small-group/plenary formats)</w:t>
            </w:r>
          </w:p>
        </w:tc>
        <w:tc>
          <w:tcPr>
            <w:tcW w:w="0" w:type="auto"/>
            <w:hideMark/>
          </w:tcPr>
          <w:p w14:paraId="75DB462B" w14:textId="77777777" w:rsidR="00692822" w:rsidRPr="00692822" w:rsidRDefault="00692822" w:rsidP="00692822">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Egalitarian communication; psychological safety; creative exploration; reduction of defensiveness; informal relational spaces</w:t>
            </w:r>
          </w:p>
        </w:tc>
      </w:tr>
      <w:tr w:rsidR="00692822" w:rsidRPr="00692822" w14:paraId="193500C6" w14:textId="77777777" w:rsidTr="00692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033431" w14:textId="77777777" w:rsidR="00692822" w:rsidRPr="00692822" w:rsidRDefault="00692822" w:rsidP="00692822">
            <w:pPr>
              <w:spacing w:after="160" w:line="278" w:lineRule="auto"/>
              <w:jc w:val="both"/>
              <w:rPr>
                <w:rFonts w:asciiTheme="majorBidi" w:hAnsiTheme="majorBidi" w:cstheme="majorBidi"/>
                <w:sz w:val="20"/>
                <w:szCs w:val="20"/>
              </w:rPr>
            </w:pPr>
            <w:r w:rsidRPr="00692822">
              <w:rPr>
                <w:rFonts w:asciiTheme="majorBidi" w:hAnsiTheme="majorBidi" w:cstheme="majorBidi"/>
                <w:sz w:val="20"/>
                <w:szCs w:val="20"/>
              </w:rPr>
              <w:t>Facilitation</w:t>
            </w:r>
          </w:p>
        </w:tc>
        <w:tc>
          <w:tcPr>
            <w:tcW w:w="0" w:type="auto"/>
            <w:hideMark/>
          </w:tcPr>
          <w:p w14:paraId="50F62A05"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Active and passive guidance of discussions, power asymmetry management, cultural sensitivity</w:t>
            </w:r>
          </w:p>
        </w:tc>
        <w:tc>
          <w:tcPr>
            <w:tcW w:w="0" w:type="auto"/>
            <w:hideMark/>
          </w:tcPr>
          <w:p w14:paraId="0EB6E327" w14:textId="77777777" w:rsidR="00692822" w:rsidRPr="00692822" w:rsidRDefault="00692822" w:rsidP="0069282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92822">
              <w:rPr>
                <w:rFonts w:asciiTheme="majorBidi" w:hAnsiTheme="majorBidi" w:cstheme="majorBidi"/>
                <w:sz w:val="20"/>
                <w:szCs w:val="20"/>
              </w:rPr>
              <w:t>Balanced turn-taking; probing questions; de-escalation; culturally competent neutrality</w:t>
            </w:r>
          </w:p>
        </w:tc>
      </w:tr>
    </w:tbl>
    <w:p w14:paraId="18111E36" w14:textId="77777777" w:rsidR="00D338F9" w:rsidRPr="00D338F9" w:rsidRDefault="00D338F9" w:rsidP="00D338F9">
      <w:pPr>
        <w:jc w:val="both"/>
        <w:rPr>
          <w:rFonts w:asciiTheme="majorBidi" w:hAnsiTheme="majorBidi" w:cstheme="majorBidi"/>
        </w:rPr>
      </w:pPr>
    </w:p>
    <w:p w14:paraId="63C0B9B5" w14:textId="5FF8107B" w:rsidR="00D338F9" w:rsidRPr="00D338F9" w:rsidRDefault="003018DD" w:rsidP="00D338F9">
      <w:pPr>
        <w:pStyle w:val="Heading2"/>
        <w:spacing w:line="276" w:lineRule="auto"/>
        <w:jc w:val="both"/>
        <w:rPr>
          <w:rFonts w:asciiTheme="majorBidi" w:hAnsiTheme="majorBidi"/>
          <w:b/>
          <w:bCs/>
          <w:sz w:val="28"/>
          <w:szCs w:val="28"/>
        </w:rPr>
      </w:pPr>
      <w:r>
        <w:rPr>
          <w:rFonts w:asciiTheme="majorBidi" w:hAnsiTheme="majorBidi"/>
          <w:b/>
          <w:bCs/>
          <w:sz w:val="28"/>
          <w:szCs w:val="28"/>
        </w:rPr>
        <w:t>OR1</w:t>
      </w:r>
      <w:r w:rsidR="00D338F9" w:rsidRPr="00D338F9">
        <w:rPr>
          <w:rFonts w:asciiTheme="majorBidi" w:hAnsiTheme="majorBidi"/>
          <w:b/>
          <w:bCs/>
          <w:sz w:val="28"/>
          <w:szCs w:val="28"/>
        </w:rPr>
        <w:t>.</w:t>
      </w:r>
      <w:r w:rsidR="00D338F9">
        <w:rPr>
          <w:rFonts w:asciiTheme="majorBidi" w:hAnsiTheme="majorBidi"/>
          <w:b/>
          <w:bCs/>
          <w:sz w:val="28"/>
          <w:szCs w:val="28"/>
        </w:rPr>
        <w:t xml:space="preserve"> </w:t>
      </w:r>
      <w:r w:rsidR="00D338F9" w:rsidRPr="00D338F9">
        <w:rPr>
          <w:rFonts w:asciiTheme="majorBidi" w:hAnsiTheme="majorBidi"/>
          <w:b/>
          <w:bCs/>
          <w:sz w:val="28"/>
          <w:szCs w:val="28"/>
        </w:rPr>
        <w:t>2</w:t>
      </w:r>
      <w:r w:rsidR="00D338F9">
        <w:rPr>
          <w:rFonts w:asciiTheme="majorBidi" w:hAnsiTheme="majorBidi"/>
          <w:b/>
          <w:bCs/>
          <w:sz w:val="28"/>
          <w:szCs w:val="28"/>
        </w:rPr>
        <w:t>.</w:t>
      </w:r>
      <w:r w:rsidR="00D338F9" w:rsidRPr="00D338F9">
        <w:rPr>
          <w:rFonts w:asciiTheme="majorBidi" w:hAnsiTheme="majorBidi"/>
          <w:b/>
          <w:bCs/>
          <w:sz w:val="28"/>
          <w:szCs w:val="28"/>
        </w:rPr>
        <w:t xml:space="preserve"> Methodological Supplement: Quantitative Measures and Statistical Procedures</w:t>
      </w:r>
    </w:p>
    <w:p w14:paraId="0D67E226" w14:textId="0A212311"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 </w:t>
      </w:r>
      <w:r w:rsidR="003018DD">
        <w:rPr>
          <w:rFonts w:asciiTheme="majorBidi" w:hAnsiTheme="majorBidi" w:cstheme="majorBidi"/>
        </w:rPr>
        <w:t>OR1</w:t>
      </w:r>
      <w:r w:rsidRPr="00D338F9">
        <w:rPr>
          <w:rFonts w:asciiTheme="majorBidi" w:hAnsiTheme="majorBidi" w:cstheme="majorBidi"/>
        </w:rPr>
        <w:t>.2.1 Systems Thinking (Cognitive Learning) – Detailed Elicitation and Coding Protocol</w:t>
      </w:r>
    </w:p>
    <w:p w14:paraId="01264ABB" w14:textId="01834355" w:rsidR="00D338F9" w:rsidRPr="00D338F9" w:rsidRDefault="00D338F9" w:rsidP="00D338F9">
      <w:pPr>
        <w:jc w:val="both"/>
        <w:rPr>
          <w:rFonts w:asciiTheme="majorBidi" w:hAnsiTheme="majorBidi" w:cstheme="majorBidi"/>
        </w:rPr>
      </w:pPr>
      <w:r w:rsidRPr="00D338F9">
        <w:rPr>
          <w:rFonts w:asciiTheme="majorBidi" w:hAnsiTheme="majorBidi" w:cstheme="majorBidi"/>
        </w:rPr>
        <w:t>Prompt administered at T1, T2, and T3 (translated from Persian):</w:t>
      </w:r>
    </w:p>
    <w:p w14:paraId="6552255A" w14:textId="231AF651" w:rsidR="00D338F9" w:rsidRPr="00692822" w:rsidRDefault="00D338F9" w:rsidP="00692822">
      <w:pPr>
        <w:pStyle w:val="ListParagraph"/>
        <w:numPr>
          <w:ilvl w:val="0"/>
          <w:numId w:val="11"/>
        </w:numPr>
        <w:jc w:val="both"/>
        <w:rPr>
          <w:rFonts w:asciiTheme="majorBidi" w:hAnsiTheme="majorBidi" w:cstheme="majorBidi"/>
        </w:rPr>
      </w:pPr>
      <w:r w:rsidRPr="00692822">
        <w:rPr>
          <w:rFonts w:asciiTheme="majorBidi" w:hAnsiTheme="majorBidi" w:cstheme="majorBidi"/>
        </w:rPr>
        <w:t>“Please list or diagram all the elements of the Tehran Basin’s environment, economy, and society that you believe are important to consider when making decisions about the future of this region. There are no right or wrong answers. Please include as many elements as you wish.”</w:t>
      </w:r>
    </w:p>
    <w:p w14:paraId="1B6FD609" w14:textId="121D2092" w:rsidR="00D338F9" w:rsidRPr="00692822" w:rsidRDefault="00D338F9" w:rsidP="00D338F9">
      <w:pPr>
        <w:jc w:val="both"/>
        <w:rPr>
          <w:rFonts w:asciiTheme="majorBidi" w:hAnsiTheme="majorBidi" w:cstheme="majorBidi"/>
          <w:b/>
          <w:bCs/>
          <w:i/>
          <w:iCs/>
        </w:rPr>
      </w:pPr>
      <w:r w:rsidRPr="00692822">
        <w:rPr>
          <w:rFonts w:asciiTheme="majorBidi" w:hAnsiTheme="majorBidi" w:cstheme="majorBidi"/>
          <w:b/>
          <w:bCs/>
          <w:i/>
          <w:iCs/>
        </w:rPr>
        <w:t>Standardization procedure:</w:t>
      </w:r>
    </w:p>
    <w:p w14:paraId="2C72DB75"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1. All responses (textual lists, written descriptions, hand-drawn diagrams) were transcribed and digitized.</w:t>
      </w:r>
    </w:p>
    <w:p w14:paraId="4D59D638"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2. Two researchers independently extracted unique component keywords (e.g., “groundwater,” “aquifer,” “underground water” → normalized to “groundwater”).</w:t>
      </w:r>
    </w:p>
    <w:p w14:paraId="0A7BFD76"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3. Synonyms and semantically equivalent terms were collapsed into unified categories (e.g., “Urmia-like condition” → “lake/wetland drying”).</w:t>
      </w:r>
    </w:p>
    <w:p w14:paraId="51B7468C" w14:textId="3CBF8100"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4. Final coding dictionary comprised 14 mutually exclusive categories (see Table </w:t>
      </w:r>
      <w:r w:rsidR="003018DD">
        <w:rPr>
          <w:rFonts w:asciiTheme="majorBidi" w:hAnsiTheme="majorBidi" w:cstheme="majorBidi"/>
        </w:rPr>
        <w:t>OR1</w:t>
      </w:r>
      <w:r w:rsidRPr="00D338F9">
        <w:rPr>
          <w:rFonts w:asciiTheme="majorBidi" w:hAnsiTheme="majorBidi" w:cstheme="majorBidi"/>
        </w:rPr>
        <w:t>.4.1).</w:t>
      </w:r>
    </w:p>
    <w:p w14:paraId="7F1A48EA"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5. Inter-coder reliability: Cohen’s κ = 0.87 (substantial agreement).</w:t>
      </w:r>
    </w:p>
    <w:p w14:paraId="2E6C33F7"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6. For each participant at each time point, we computed:</w:t>
      </w:r>
    </w:p>
    <w:p w14:paraId="0812676C"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   - Total count of unique categories identified</w:t>
      </w:r>
    </w:p>
    <w:p w14:paraId="01E7055B" w14:textId="5C683B7E" w:rsidR="00D338F9" w:rsidRPr="00D338F9" w:rsidRDefault="00D338F9" w:rsidP="00692822">
      <w:pPr>
        <w:jc w:val="both"/>
        <w:rPr>
          <w:rFonts w:asciiTheme="majorBidi" w:hAnsiTheme="majorBidi" w:cstheme="majorBidi"/>
        </w:rPr>
      </w:pPr>
      <w:r w:rsidRPr="00D338F9">
        <w:rPr>
          <w:rFonts w:asciiTheme="majorBidi" w:hAnsiTheme="majorBidi" w:cstheme="majorBidi"/>
        </w:rPr>
        <w:lastRenderedPageBreak/>
        <w:t xml:space="preserve">   - Presence/absence of each category (for diversity analysis)</w:t>
      </w:r>
    </w:p>
    <w:p w14:paraId="16C52A29" w14:textId="2C8CBC69" w:rsidR="00D338F9" w:rsidRPr="00D338F9" w:rsidRDefault="00D338F9" w:rsidP="00D338F9">
      <w:pPr>
        <w:jc w:val="both"/>
        <w:rPr>
          <w:rFonts w:asciiTheme="majorBidi" w:hAnsiTheme="majorBidi" w:cstheme="majorBidi"/>
          <w:b/>
          <w:bCs/>
          <w:i/>
          <w:iCs/>
        </w:rPr>
      </w:pPr>
      <w:r w:rsidRPr="00D338F9">
        <w:rPr>
          <w:rFonts w:asciiTheme="majorBidi" w:hAnsiTheme="majorBidi" w:cstheme="majorBidi"/>
          <w:b/>
          <w:bCs/>
          <w:i/>
          <w:iCs/>
        </w:rPr>
        <w:t>Statistical analysis:</w:t>
      </w:r>
    </w:p>
    <w:p w14:paraId="24EF1FEB"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Changes over time: Friedman test (non-parametric repeated measures ANOVA) with post-hoc Wilcoxon signed-rank tests (Bonferroni-corrected α = 0.017)</w:t>
      </w:r>
    </w:p>
    <w:p w14:paraId="47B678AB" w14:textId="25BF4836" w:rsidR="00D338F9" w:rsidRPr="00D338F9" w:rsidRDefault="00D338F9" w:rsidP="00692822">
      <w:pPr>
        <w:jc w:val="both"/>
        <w:rPr>
          <w:rFonts w:asciiTheme="majorBidi" w:hAnsiTheme="majorBidi" w:cstheme="majorBidi"/>
        </w:rPr>
      </w:pPr>
      <w:r w:rsidRPr="00D338F9">
        <w:rPr>
          <w:rFonts w:asciiTheme="majorBidi" w:hAnsiTheme="majorBidi" w:cstheme="majorBidi"/>
        </w:rPr>
        <w:t>- Effect size: r = Z/√N</w:t>
      </w:r>
    </w:p>
    <w:p w14:paraId="3D877ED0" w14:textId="2C2B3652" w:rsidR="00D338F9" w:rsidRPr="00D338F9" w:rsidRDefault="00D338F9" w:rsidP="00692822">
      <w:pPr>
        <w:jc w:val="both"/>
        <w:rPr>
          <w:rFonts w:asciiTheme="majorBidi" w:hAnsiTheme="majorBidi" w:cstheme="majorBidi"/>
        </w:rPr>
      </w:pPr>
      <w:r w:rsidRPr="00D338F9">
        <w:rPr>
          <w:rFonts w:asciiTheme="majorBidi" w:hAnsiTheme="majorBidi" w:cstheme="majorBidi"/>
        </w:rPr>
        <w:t xml:space="preserve"> </w:t>
      </w:r>
      <w:r w:rsidR="003018DD">
        <w:rPr>
          <w:rFonts w:asciiTheme="majorBidi" w:hAnsiTheme="majorBidi" w:cstheme="majorBidi"/>
        </w:rPr>
        <w:t>OR1</w:t>
      </w:r>
      <w:r w:rsidRPr="00D338F9">
        <w:rPr>
          <w:rFonts w:asciiTheme="majorBidi" w:hAnsiTheme="majorBidi" w:cstheme="majorBidi"/>
        </w:rPr>
        <w:t>.2.2 Rational Trust (Relational Learning) – Instrument Details</w:t>
      </w:r>
    </w:p>
    <w:p w14:paraId="1218C051" w14:textId="36F2F05C" w:rsidR="00D338F9" w:rsidRPr="00D338F9" w:rsidRDefault="00D338F9" w:rsidP="00D338F9">
      <w:pPr>
        <w:jc w:val="both"/>
        <w:rPr>
          <w:rFonts w:asciiTheme="majorBidi" w:hAnsiTheme="majorBidi" w:cstheme="majorBidi"/>
        </w:rPr>
      </w:pPr>
      <w:r w:rsidRPr="00D338F9">
        <w:rPr>
          <w:rFonts w:asciiTheme="majorBidi" w:hAnsiTheme="majorBidi" w:cstheme="majorBidi"/>
        </w:rPr>
        <w:t>Prompt administered at T1, T2, and T3:</w:t>
      </w:r>
    </w:p>
    <w:p w14:paraId="5D9B13ED" w14:textId="6836B17C" w:rsidR="00D338F9" w:rsidRPr="00692822" w:rsidRDefault="00D338F9" w:rsidP="00692822">
      <w:pPr>
        <w:pStyle w:val="ListParagraph"/>
        <w:numPr>
          <w:ilvl w:val="0"/>
          <w:numId w:val="11"/>
        </w:numPr>
        <w:jc w:val="both"/>
        <w:rPr>
          <w:rFonts w:asciiTheme="majorBidi" w:hAnsiTheme="majorBidi" w:cstheme="majorBidi"/>
        </w:rPr>
      </w:pPr>
      <w:r w:rsidRPr="00692822">
        <w:rPr>
          <w:rFonts w:asciiTheme="majorBidi" w:hAnsiTheme="majorBidi" w:cstheme="majorBidi"/>
        </w:rPr>
        <w:t>“Please indicate how likely you think it is that collaborating with each of the following organizations would help your organization achieve its goals related to the Tehran Basin’s environmental future. If you do not know an organization well enough to rate it, please select ‘Insufficient information.’”</w:t>
      </w:r>
    </w:p>
    <w:p w14:paraId="21584E9B" w14:textId="04D01ED1" w:rsidR="00D338F9" w:rsidRPr="00D338F9" w:rsidRDefault="00D338F9" w:rsidP="00D338F9">
      <w:pPr>
        <w:jc w:val="both"/>
        <w:rPr>
          <w:rFonts w:asciiTheme="majorBidi" w:hAnsiTheme="majorBidi" w:cstheme="majorBidi"/>
        </w:rPr>
      </w:pPr>
      <w:r w:rsidRPr="00D338F9">
        <w:rPr>
          <w:rFonts w:asciiTheme="majorBidi" w:hAnsiTheme="majorBidi" w:cstheme="majorBidi"/>
        </w:rPr>
        <w:t>Rating scale:</w:t>
      </w:r>
    </w:p>
    <w:p w14:paraId="53CC4C2D"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- 1 = Very unlikely</w:t>
      </w:r>
    </w:p>
    <w:p w14:paraId="5F933935"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- 2 = Unlikely</w:t>
      </w:r>
    </w:p>
    <w:p w14:paraId="2E067E72"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- 3 = Neutral</w:t>
      </w:r>
    </w:p>
    <w:p w14:paraId="4A2DAD3C"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- 4 = Likely</w:t>
      </w:r>
    </w:p>
    <w:p w14:paraId="555BBE1F"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- 5 = Very likely</w:t>
      </w:r>
    </w:p>
    <w:p w14:paraId="0E5A082D" w14:textId="317935C7" w:rsidR="00D338F9" w:rsidRPr="00D338F9" w:rsidRDefault="00D338F9" w:rsidP="00D338F9">
      <w:pPr>
        <w:jc w:val="both"/>
        <w:rPr>
          <w:rFonts w:asciiTheme="majorBidi" w:hAnsiTheme="majorBidi" w:cstheme="majorBidi"/>
        </w:rPr>
      </w:pPr>
      <w:r w:rsidRPr="00D338F9">
        <w:rPr>
          <w:rFonts w:asciiTheme="majorBidi" w:hAnsiTheme="majorBidi" w:cstheme="majorBidi"/>
        </w:rPr>
        <w:t>- 0 = Insufficient information (excluded from mean calculations)</w:t>
      </w:r>
    </w:p>
    <w:p w14:paraId="0B388732" w14:textId="3F761E67" w:rsidR="00D338F9" w:rsidRPr="00D338F9" w:rsidRDefault="00D338F9" w:rsidP="00D338F9">
      <w:pPr>
        <w:jc w:val="both"/>
        <w:rPr>
          <w:rFonts w:asciiTheme="majorBidi" w:hAnsiTheme="majorBidi" w:cstheme="majorBidi"/>
        </w:rPr>
      </w:pPr>
      <w:r w:rsidRPr="00D338F9">
        <w:rPr>
          <w:rFonts w:asciiTheme="majorBidi" w:hAnsiTheme="majorBidi" w:cstheme="majorBidi"/>
        </w:rPr>
        <w:t>Organizations rated (as presented to participants): See Table 1 in main manuscript (Organizations A–R).</w:t>
      </w:r>
    </w:p>
    <w:p w14:paraId="12A73B12" w14:textId="561654AA" w:rsidR="00D338F9" w:rsidRPr="00D338F9" w:rsidRDefault="00D338F9" w:rsidP="00D338F9">
      <w:pPr>
        <w:jc w:val="both"/>
        <w:rPr>
          <w:rFonts w:asciiTheme="majorBidi" w:hAnsiTheme="majorBidi" w:cstheme="majorBidi"/>
          <w:b/>
          <w:bCs/>
          <w:i/>
          <w:iCs/>
        </w:rPr>
      </w:pPr>
      <w:r w:rsidRPr="00D338F9">
        <w:rPr>
          <w:rFonts w:asciiTheme="majorBidi" w:hAnsiTheme="majorBidi" w:cstheme="majorBidi"/>
          <w:b/>
          <w:bCs/>
          <w:i/>
          <w:iCs/>
        </w:rPr>
        <w:t>Statistical analysis:</w:t>
      </w:r>
    </w:p>
    <w:p w14:paraId="3491D3F8"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Paired comparisons: Wilcoxon signed-rank test for each organization between T1–T2 and T2–T3</w:t>
      </w:r>
    </w:p>
    <w:p w14:paraId="597D8DEF" w14:textId="248A8B47" w:rsidR="00D338F9" w:rsidRPr="00D338F9" w:rsidRDefault="00D338F9" w:rsidP="00D338F9">
      <w:pPr>
        <w:jc w:val="both"/>
        <w:rPr>
          <w:rFonts w:asciiTheme="majorBidi" w:hAnsiTheme="majorBidi" w:cstheme="majorBidi"/>
        </w:rPr>
      </w:pPr>
      <w:r w:rsidRPr="00D338F9">
        <w:rPr>
          <w:rFonts w:asciiTheme="majorBidi" w:hAnsiTheme="majorBidi" w:cstheme="majorBidi"/>
        </w:rPr>
        <w:t>- Significance thresholds: p &lt; 0.10 (exploratory), p &lt; 0.05 (confirmatory)</w:t>
      </w:r>
    </w:p>
    <w:p w14:paraId="5F9121D7" w14:textId="179B64C9" w:rsidR="00D338F9" w:rsidRPr="00D338F9" w:rsidRDefault="00D338F9" w:rsidP="00D338F9">
      <w:pPr>
        <w:jc w:val="both"/>
        <w:rPr>
          <w:rFonts w:asciiTheme="majorBidi" w:hAnsiTheme="majorBidi" w:cstheme="majorBidi"/>
        </w:rPr>
      </w:pPr>
      <w:r w:rsidRPr="00D338F9">
        <w:rPr>
          <w:rFonts w:asciiTheme="majorBidi" w:hAnsiTheme="majorBidi" w:cstheme="majorBidi"/>
        </w:rPr>
        <w:t>- Missing data handled pairwise (only participants with valid ratings at both time points included)</w:t>
      </w:r>
    </w:p>
    <w:p w14:paraId="77ED7104" w14:textId="0A50112D" w:rsidR="00D338F9" w:rsidRPr="00D338F9" w:rsidRDefault="00D338F9" w:rsidP="00692822">
      <w:pPr>
        <w:jc w:val="both"/>
        <w:rPr>
          <w:rFonts w:asciiTheme="majorBidi" w:hAnsiTheme="majorBidi" w:cstheme="majorBidi"/>
        </w:rPr>
      </w:pPr>
      <w:r w:rsidRPr="00D338F9">
        <w:rPr>
          <w:rFonts w:asciiTheme="majorBidi" w:hAnsiTheme="majorBidi" w:cstheme="majorBidi"/>
        </w:rPr>
        <w:t xml:space="preserve"> </w:t>
      </w:r>
      <w:r w:rsidR="003018DD">
        <w:rPr>
          <w:rFonts w:asciiTheme="majorBidi" w:hAnsiTheme="majorBidi" w:cstheme="majorBidi"/>
        </w:rPr>
        <w:t>OR1</w:t>
      </w:r>
      <w:r w:rsidRPr="00D338F9">
        <w:rPr>
          <w:rFonts w:asciiTheme="majorBidi" w:hAnsiTheme="majorBidi" w:cstheme="majorBidi"/>
        </w:rPr>
        <w:t>.2.3 Environmental Aspirations (Normative Learning) – Coding Protocol</w:t>
      </w:r>
    </w:p>
    <w:p w14:paraId="6B159379" w14:textId="195247B5" w:rsidR="00D338F9" w:rsidRPr="00D338F9" w:rsidRDefault="00D338F9" w:rsidP="00D338F9">
      <w:pPr>
        <w:jc w:val="both"/>
        <w:rPr>
          <w:rFonts w:asciiTheme="majorBidi" w:hAnsiTheme="majorBidi" w:cstheme="majorBidi"/>
        </w:rPr>
      </w:pPr>
      <w:r w:rsidRPr="00D338F9">
        <w:rPr>
          <w:rFonts w:asciiTheme="majorBidi" w:hAnsiTheme="majorBidi" w:cstheme="majorBidi"/>
        </w:rPr>
        <w:t>Prompt administered at T1, T2, and T3:</w:t>
      </w:r>
    </w:p>
    <w:p w14:paraId="3ECF6AB7" w14:textId="4C7F5A64" w:rsidR="00D338F9" w:rsidRPr="00692822" w:rsidRDefault="00D338F9" w:rsidP="00692822">
      <w:pPr>
        <w:pStyle w:val="ListParagraph"/>
        <w:numPr>
          <w:ilvl w:val="0"/>
          <w:numId w:val="11"/>
        </w:numPr>
        <w:jc w:val="both"/>
        <w:rPr>
          <w:rFonts w:asciiTheme="majorBidi" w:hAnsiTheme="majorBidi" w:cstheme="majorBidi"/>
        </w:rPr>
      </w:pPr>
      <w:r w:rsidRPr="00692822">
        <w:rPr>
          <w:rFonts w:asciiTheme="majorBidi" w:hAnsiTheme="majorBidi" w:cstheme="majorBidi"/>
        </w:rPr>
        <w:t>“Looking ahead to the Tehran Basin in the year 2050, what future conditions do you most hope to see? Please describe as specifically as you wish.”</w:t>
      </w:r>
    </w:p>
    <w:p w14:paraId="363DD2BC" w14:textId="56FA34FA" w:rsidR="00D338F9" w:rsidRPr="00D338F9" w:rsidRDefault="00D338F9" w:rsidP="00D338F9">
      <w:pPr>
        <w:jc w:val="both"/>
        <w:rPr>
          <w:rFonts w:asciiTheme="majorBidi" w:hAnsiTheme="majorBidi" w:cstheme="majorBidi"/>
          <w:b/>
          <w:bCs/>
          <w:i/>
          <w:iCs/>
        </w:rPr>
      </w:pPr>
      <w:r w:rsidRPr="00D338F9">
        <w:rPr>
          <w:rFonts w:asciiTheme="majorBidi" w:hAnsiTheme="majorBidi" w:cstheme="majorBidi"/>
          <w:b/>
          <w:bCs/>
          <w:i/>
          <w:iCs/>
        </w:rPr>
        <w:lastRenderedPageBreak/>
        <w:t>Two-cycle coding process:</w:t>
      </w:r>
    </w:p>
    <w:p w14:paraId="7CCA517B" w14:textId="4762982E" w:rsidR="00D338F9" w:rsidRPr="00D338F9" w:rsidRDefault="00D338F9" w:rsidP="00D338F9">
      <w:pPr>
        <w:jc w:val="both"/>
        <w:rPr>
          <w:rFonts w:asciiTheme="majorBidi" w:hAnsiTheme="majorBidi" w:cstheme="majorBidi"/>
        </w:rPr>
      </w:pPr>
      <w:r w:rsidRPr="00D338F9">
        <w:rPr>
          <w:rFonts w:asciiTheme="majorBidi" w:hAnsiTheme="majorBidi" w:cstheme="majorBidi"/>
        </w:rPr>
        <w:t>- Cycle 1 (Initial coding): Each distinct aspiration statement coded as a separate response. Example: “I hope to see Lake Tehran restored with higher water levels” → Code: Lake/wetland restoration.</w:t>
      </w:r>
    </w:p>
    <w:p w14:paraId="78A4DE0E" w14:textId="39CE666B"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 Cycle 2 (Pattern coding): Aggregation of initial codes into nine higher-order themes (see Section </w:t>
      </w:r>
      <w:r w:rsidR="003018DD">
        <w:rPr>
          <w:rFonts w:asciiTheme="majorBidi" w:hAnsiTheme="majorBidi" w:cstheme="majorBidi"/>
        </w:rPr>
        <w:t>OR1</w:t>
      </w:r>
      <w:r w:rsidRPr="00D338F9">
        <w:rPr>
          <w:rFonts w:asciiTheme="majorBidi" w:hAnsiTheme="majorBidi" w:cstheme="majorBidi"/>
        </w:rPr>
        <w:t>.3 for full thematic framework with definitions and examples).</w:t>
      </w:r>
    </w:p>
    <w:p w14:paraId="67E7C162"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Multiple codes per participant permitted (if participant expressed distinct aspirations).</w:t>
      </w:r>
    </w:p>
    <w:p w14:paraId="3CEFD4C9" w14:textId="4CBB7E5A" w:rsidR="00D338F9" w:rsidRPr="00D338F9" w:rsidRDefault="00D338F9" w:rsidP="00692822">
      <w:pPr>
        <w:jc w:val="both"/>
        <w:rPr>
          <w:rFonts w:asciiTheme="majorBidi" w:hAnsiTheme="majorBidi" w:cstheme="majorBidi"/>
        </w:rPr>
      </w:pPr>
      <w:r w:rsidRPr="00D338F9">
        <w:rPr>
          <w:rFonts w:asciiTheme="majorBidi" w:hAnsiTheme="majorBidi" w:cstheme="majorBidi"/>
        </w:rPr>
        <w:t>- Inter-coder reliability: Cohen’s κ = 0.83 (substantial agreement).</w:t>
      </w:r>
    </w:p>
    <w:p w14:paraId="57C2F79D" w14:textId="39D4FB47" w:rsidR="00D338F9" w:rsidRPr="00D338F9" w:rsidRDefault="00D338F9" w:rsidP="00D338F9">
      <w:pPr>
        <w:jc w:val="both"/>
        <w:rPr>
          <w:rFonts w:asciiTheme="majorBidi" w:hAnsiTheme="majorBidi" w:cstheme="majorBidi"/>
          <w:b/>
          <w:bCs/>
          <w:i/>
          <w:iCs/>
        </w:rPr>
      </w:pPr>
      <w:r w:rsidRPr="00D338F9">
        <w:rPr>
          <w:rFonts w:asciiTheme="majorBidi" w:hAnsiTheme="majorBidi" w:cstheme="majorBidi"/>
          <w:b/>
          <w:bCs/>
          <w:i/>
          <w:iCs/>
        </w:rPr>
        <w:t>Statistical analysis:</w:t>
      </w:r>
    </w:p>
    <w:p w14:paraId="6DA21EA5"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Fisher’s Exact Test (2 × k contingency table) comparing distribution of thematic proportions across three time points</w:t>
      </w:r>
    </w:p>
    <w:p w14:paraId="7F7E8D42"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 Post-hoc pairwise comparisons with Bonferroni correction (α = 0.017)</w:t>
      </w:r>
    </w:p>
    <w:p w14:paraId="2A6C9AFD" w14:textId="77777777" w:rsidR="00D338F9" w:rsidRPr="00D338F9" w:rsidRDefault="00D338F9" w:rsidP="00D338F9">
      <w:pPr>
        <w:jc w:val="both"/>
        <w:rPr>
          <w:rFonts w:asciiTheme="majorBidi" w:hAnsiTheme="majorBidi" w:cstheme="majorBidi"/>
        </w:rPr>
      </w:pPr>
    </w:p>
    <w:p w14:paraId="2382A903" w14:textId="1B43B6AA" w:rsidR="00D338F9" w:rsidRPr="00D338F9" w:rsidRDefault="003018DD" w:rsidP="00D338F9">
      <w:pPr>
        <w:pStyle w:val="Heading2"/>
        <w:spacing w:line="276" w:lineRule="auto"/>
        <w:jc w:val="both"/>
        <w:rPr>
          <w:rFonts w:asciiTheme="majorBidi" w:hAnsiTheme="majorBidi"/>
          <w:b/>
          <w:bCs/>
          <w:sz w:val="28"/>
          <w:szCs w:val="28"/>
        </w:rPr>
      </w:pPr>
      <w:r>
        <w:rPr>
          <w:rFonts w:asciiTheme="majorBidi" w:hAnsiTheme="majorBidi"/>
          <w:b/>
          <w:bCs/>
          <w:sz w:val="28"/>
          <w:szCs w:val="28"/>
        </w:rPr>
        <w:t>OR1</w:t>
      </w:r>
      <w:r w:rsidR="00D338F9" w:rsidRPr="00D338F9">
        <w:rPr>
          <w:rFonts w:asciiTheme="majorBidi" w:hAnsiTheme="majorBidi"/>
          <w:b/>
          <w:bCs/>
          <w:sz w:val="28"/>
          <w:szCs w:val="28"/>
        </w:rPr>
        <w:t>.</w:t>
      </w:r>
      <w:r w:rsidR="00D338F9">
        <w:rPr>
          <w:rFonts w:asciiTheme="majorBidi" w:hAnsiTheme="majorBidi"/>
          <w:b/>
          <w:bCs/>
          <w:sz w:val="28"/>
          <w:szCs w:val="28"/>
        </w:rPr>
        <w:t xml:space="preserve"> </w:t>
      </w:r>
      <w:r w:rsidR="00D338F9" w:rsidRPr="00D338F9">
        <w:rPr>
          <w:rFonts w:asciiTheme="majorBidi" w:hAnsiTheme="majorBidi"/>
          <w:b/>
          <w:bCs/>
          <w:sz w:val="28"/>
          <w:szCs w:val="28"/>
        </w:rPr>
        <w:t>3</w:t>
      </w:r>
      <w:r w:rsidR="00D338F9">
        <w:rPr>
          <w:rFonts w:asciiTheme="majorBidi" w:hAnsiTheme="majorBidi"/>
          <w:b/>
          <w:bCs/>
          <w:sz w:val="28"/>
          <w:szCs w:val="28"/>
        </w:rPr>
        <w:t>.</w:t>
      </w:r>
      <w:r w:rsidR="00D338F9" w:rsidRPr="00D338F9">
        <w:rPr>
          <w:rFonts w:asciiTheme="majorBidi" w:hAnsiTheme="majorBidi"/>
          <w:b/>
          <w:bCs/>
          <w:sz w:val="28"/>
          <w:szCs w:val="28"/>
        </w:rPr>
        <w:t xml:space="preserve"> Thematic Coding Framework for Environmental Aspirations (Normative Learning)</w:t>
      </w:r>
    </w:p>
    <w:p w14:paraId="5721AF36" w14:textId="542117D6"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Table </w:t>
      </w:r>
      <w:r w:rsidR="003018DD">
        <w:rPr>
          <w:rFonts w:asciiTheme="majorBidi" w:hAnsiTheme="majorBidi" w:cstheme="majorBidi"/>
        </w:rPr>
        <w:t>OR1</w:t>
      </w:r>
      <w:r w:rsidRPr="00D338F9">
        <w:rPr>
          <w:rFonts w:asciiTheme="majorBidi" w:hAnsiTheme="majorBidi" w:cstheme="majorBidi"/>
        </w:rPr>
        <w:t>.3.1: Nine Aspiration Themes with Definitions and Representative Quotes</w:t>
      </w:r>
    </w:p>
    <w:tbl>
      <w:tblPr>
        <w:tblStyle w:val="PlainTable2"/>
        <w:tblW w:w="0" w:type="auto"/>
        <w:tblLook w:val="04A0" w:firstRow="1" w:lastRow="0" w:firstColumn="1" w:lastColumn="0" w:noHBand="0" w:noVBand="1"/>
      </w:tblPr>
      <w:tblGrid>
        <w:gridCol w:w="2057"/>
        <w:gridCol w:w="3772"/>
        <w:gridCol w:w="3531"/>
      </w:tblGrid>
      <w:tr w:rsidR="00D338F9" w:rsidRPr="00D338F9" w14:paraId="226631B5" w14:textId="77777777" w:rsidTr="00D338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6E6622"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Theme</w:t>
            </w:r>
          </w:p>
        </w:tc>
        <w:tc>
          <w:tcPr>
            <w:tcW w:w="0" w:type="auto"/>
            <w:hideMark/>
          </w:tcPr>
          <w:p w14:paraId="6F511D69"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Definition</w:t>
            </w:r>
          </w:p>
        </w:tc>
        <w:tc>
          <w:tcPr>
            <w:tcW w:w="0" w:type="auto"/>
            <w:hideMark/>
          </w:tcPr>
          <w:p w14:paraId="15E2370A"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Example Quote (translated from Persian)</w:t>
            </w:r>
          </w:p>
        </w:tc>
      </w:tr>
      <w:tr w:rsidR="00D338F9" w:rsidRPr="00D338F9" w14:paraId="01F59946"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8DB3A3"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Lake/wetland restoration</w:t>
            </w:r>
          </w:p>
        </w:tc>
        <w:tc>
          <w:tcPr>
            <w:tcW w:w="0" w:type="auto"/>
            <w:hideMark/>
          </w:tcPr>
          <w:p w14:paraId="6831479C"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Increased water levels, reduced salinity, improved ecological health of Tehran Basin’s water bodies</w:t>
            </w:r>
          </w:p>
        </w:tc>
        <w:tc>
          <w:tcPr>
            <w:tcW w:w="0" w:type="auto"/>
            <w:hideMark/>
          </w:tcPr>
          <w:p w14:paraId="45950BE1"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“I want to see Tehran’s wetlands full again, with migratory birds returning. Not just a puddle—real restoration.”</w:t>
            </w:r>
          </w:p>
        </w:tc>
      </w:tr>
      <w:tr w:rsidR="00D338F9" w:rsidRPr="00D338F9" w14:paraId="47CEF2A0"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4605C070"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Agricultural water management</w:t>
            </w:r>
          </w:p>
        </w:tc>
        <w:tc>
          <w:tcPr>
            <w:tcW w:w="0" w:type="auto"/>
            <w:hideMark/>
          </w:tcPr>
          <w:p w14:paraId="65B45065"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Reduced agricultural water use, improved irrigation efficiency, shifts in cropping patterns</w:t>
            </w:r>
          </w:p>
        </w:tc>
        <w:tc>
          <w:tcPr>
            <w:tcW w:w="0" w:type="auto"/>
            <w:hideMark/>
          </w:tcPr>
          <w:p w14:paraId="517D1D04"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“Farmers should use half the water they do now, but still earn a decent living. That means different crops, different methods.”</w:t>
            </w:r>
          </w:p>
        </w:tc>
      </w:tr>
      <w:tr w:rsidR="00D338F9" w:rsidRPr="00D338F9" w14:paraId="67A5EE53"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3ECB99"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Landscape multifunctionality</w:t>
            </w:r>
          </w:p>
        </w:tc>
        <w:tc>
          <w:tcPr>
            <w:tcW w:w="0" w:type="auto"/>
            <w:hideMark/>
          </w:tcPr>
          <w:p w14:paraId="2915A6DE"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Co-production of multiple ecosystem services for diverse users (farmers, pastoralists, urban residents, wildlife)</w:t>
            </w:r>
          </w:p>
        </w:tc>
        <w:tc>
          <w:tcPr>
            <w:tcW w:w="0" w:type="auto"/>
            <w:hideMark/>
          </w:tcPr>
          <w:p w14:paraId="3EAF56E9"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“The basin should support agriculture, grazing, tourism, and wildlife—not one at the expense of the others.”</w:t>
            </w:r>
          </w:p>
        </w:tc>
      </w:tr>
      <w:tr w:rsidR="00D338F9" w:rsidRPr="00D338F9" w14:paraId="4059EBAC"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63B4E381"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Organizational collaboration</w:t>
            </w:r>
          </w:p>
        </w:tc>
        <w:tc>
          <w:tcPr>
            <w:tcW w:w="0" w:type="auto"/>
            <w:hideMark/>
          </w:tcPr>
          <w:p w14:paraId="2D88C7A5"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Improved information sharing, resource coordination, joint decision-making across institutions</w:t>
            </w:r>
          </w:p>
        </w:tc>
        <w:tc>
          <w:tcPr>
            <w:tcW w:w="0" w:type="auto"/>
            <w:hideMark/>
          </w:tcPr>
          <w:p w14:paraId="735FE17A"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“I hope the Water Authority, Environment Department, and farmers’ associations actually plan together, not in separate rooms.”</w:t>
            </w:r>
          </w:p>
        </w:tc>
      </w:tr>
      <w:tr w:rsidR="00D338F9" w:rsidRPr="00D338F9" w14:paraId="7DA21D45"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B3041E"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lastRenderedPageBreak/>
              <w:t>Biodiversity</w:t>
            </w:r>
          </w:p>
        </w:tc>
        <w:tc>
          <w:tcPr>
            <w:tcW w:w="0" w:type="auto"/>
            <w:hideMark/>
          </w:tcPr>
          <w:p w14:paraId="72B1DC8B"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Protection or recovery of species, habitats, or ecological connectivity</w:t>
            </w:r>
          </w:p>
        </w:tc>
        <w:tc>
          <w:tcPr>
            <w:tcW w:w="0" w:type="auto"/>
            <w:hideMark/>
          </w:tcPr>
          <w:p w14:paraId="2C66C50C"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“The Asiatic cheetah should still have a home in the basin. That means connected habitats, not isolated patches.”</w:t>
            </w:r>
          </w:p>
        </w:tc>
      </w:tr>
      <w:tr w:rsidR="00D338F9" w:rsidRPr="00D338F9" w14:paraId="4875CEA9"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4F49DDF2"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Dust source mitigation</w:t>
            </w:r>
          </w:p>
        </w:tc>
        <w:tc>
          <w:tcPr>
            <w:tcW w:w="0" w:type="auto"/>
            <w:hideMark/>
          </w:tcPr>
          <w:p w14:paraId="5FD46CBF"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Stabilization of dust source areas (e.g., salt flats, dry lakebeds), reduction in dust storm frequency/intensity</w:t>
            </w:r>
          </w:p>
        </w:tc>
        <w:tc>
          <w:tcPr>
            <w:tcW w:w="0" w:type="auto"/>
            <w:hideMark/>
          </w:tcPr>
          <w:p w14:paraId="735CC170"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“No more dust days where you cannot see the mountains. That means fixing the salt flats before they become another source.”</w:t>
            </w:r>
          </w:p>
        </w:tc>
      </w:tr>
      <w:tr w:rsidR="00D338F9" w:rsidRPr="00D338F9" w14:paraId="431B3DA7"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8615AA"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Sustainable groundwater use</w:t>
            </w:r>
          </w:p>
        </w:tc>
        <w:tc>
          <w:tcPr>
            <w:tcW w:w="0" w:type="auto"/>
            <w:hideMark/>
          </w:tcPr>
          <w:p w14:paraId="34FA06A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Reduced overdraft, aquifer recharge, stabilization or recovery of water tables</w:t>
            </w:r>
          </w:p>
        </w:tc>
        <w:tc>
          <w:tcPr>
            <w:tcW w:w="0" w:type="auto"/>
            <w:hideMark/>
          </w:tcPr>
          <w:p w14:paraId="76DE2415"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“The water table should stop falling. Ideally, it starts rising again—but stopping the decline would already be a victory.”</w:t>
            </w:r>
          </w:p>
        </w:tc>
      </w:tr>
      <w:tr w:rsidR="00D338F9" w:rsidRPr="00D338F9" w14:paraId="5396C0D1"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07190B9C"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Culture and heritage</w:t>
            </w:r>
          </w:p>
        </w:tc>
        <w:tc>
          <w:tcPr>
            <w:tcW w:w="0" w:type="auto"/>
            <w:hideMark/>
          </w:tcPr>
          <w:p w14:paraId="66DF0E46"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Protection or revitalization of traditional knowledge, Persian cultural practices related to nature, community identity</w:t>
            </w:r>
          </w:p>
        </w:tc>
        <w:tc>
          <w:tcPr>
            <w:tcW w:w="0" w:type="auto"/>
            <w:hideMark/>
          </w:tcPr>
          <w:p w14:paraId="163392E3"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“Young people should still know what a qanat is. Not just as a museum piece—as living knowledge.”</w:t>
            </w:r>
          </w:p>
        </w:tc>
      </w:tr>
      <w:tr w:rsidR="00D338F9" w:rsidRPr="00D338F9" w14:paraId="71A3FCEA"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6FEE29"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Socio-economic resilience</w:t>
            </w:r>
          </w:p>
        </w:tc>
        <w:tc>
          <w:tcPr>
            <w:tcW w:w="0" w:type="auto"/>
            <w:hideMark/>
          </w:tcPr>
          <w:p w14:paraId="36108BBD"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Stable or improved livelihoods for local communities (farmers, pastoralists, rural residents) despite environmental change</w:t>
            </w:r>
          </w:p>
        </w:tc>
        <w:tc>
          <w:tcPr>
            <w:tcW w:w="0" w:type="auto"/>
            <w:hideMark/>
          </w:tcPr>
          <w:p w14:paraId="33CD9A44"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i/>
                <w:iCs/>
                <w:sz w:val="20"/>
                <w:szCs w:val="20"/>
              </w:rPr>
              <w:t>“A pastoralist family should be able to stay on their land, not move to the city because there is no grass left.”</w:t>
            </w:r>
          </w:p>
        </w:tc>
      </w:tr>
    </w:tbl>
    <w:p w14:paraId="1DE96433" w14:textId="77777777" w:rsidR="00D338F9" w:rsidRPr="00D338F9" w:rsidRDefault="00D338F9" w:rsidP="00D338F9">
      <w:pPr>
        <w:jc w:val="both"/>
        <w:rPr>
          <w:rFonts w:asciiTheme="majorBidi" w:hAnsiTheme="majorBidi" w:cstheme="majorBidi"/>
        </w:rPr>
      </w:pPr>
    </w:p>
    <w:p w14:paraId="1DB5AC74" w14:textId="4B636741" w:rsidR="00D338F9" w:rsidRPr="00D338F9" w:rsidRDefault="003018DD" w:rsidP="00D338F9">
      <w:pPr>
        <w:pStyle w:val="Heading2"/>
        <w:spacing w:line="276" w:lineRule="auto"/>
        <w:jc w:val="both"/>
        <w:rPr>
          <w:rFonts w:asciiTheme="majorBidi" w:hAnsiTheme="majorBidi"/>
          <w:b/>
          <w:bCs/>
          <w:sz w:val="28"/>
          <w:szCs w:val="28"/>
        </w:rPr>
      </w:pPr>
      <w:r>
        <w:rPr>
          <w:rFonts w:asciiTheme="majorBidi" w:hAnsiTheme="majorBidi"/>
          <w:b/>
          <w:bCs/>
          <w:sz w:val="28"/>
          <w:szCs w:val="28"/>
        </w:rPr>
        <w:t>OR1</w:t>
      </w:r>
      <w:r w:rsidR="00D338F9">
        <w:rPr>
          <w:rFonts w:asciiTheme="majorBidi" w:hAnsiTheme="majorBidi"/>
          <w:b/>
          <w:bCs/>
          <w:sz w:val="28"/>
          <w:szCs w:val="28"/>
        </w:rPr>
        <w:t xml:space="preserve">. </w:t>
      </w:r>
      <w:r w:rsidR="00D338F9" w:rsidRPr="00D338F9">
        <w:rPr>
          <w:rFonts w:asciiTheme="majorBidi" w:hAnsiTheme="majorBidi"/>
          <w:b/>
          <w:bCs/>
          <w:sz w:val="28"/>
          <w:szCs w:val="28"/>
        </w:rPr>
        <w:t>4</w:t>
      </w:r>
      <w:r w:rsidR="00D338F9">
        <w:rPr>
          <w:rFonts w:asciiTheme="majorBidi" w:hAnsiTheme="majorBidi"/>
          <w:b/>
          <w:bCs/>
          <w:sz w:val="28"/>
          <w:szCs w:val="28"/>
        </w:rPr>
        <w:t>.</w:t>
      </w:r>
      <w:r w:rsidR="00D338F9" w:rsidRPr="00D338F9">
        <w:rPr>
          <w:rFonts w:asciiTheme="majorBidi" w:hAnsiTheme="majorBidi"/>
          <w:b/>
          <w:bCs/>
          <w:sz w:val="28"/>
          <w:szCs w:val="28"/>
        </w:rPr>
        <w:t xml:space="preserve"> Supplementary Results: Distribution of Landscape Components (Cognitive Learning)</w:t>
      </w:r>
    </w:p>
    <w:p w14:paraId="4D8B400D" w14:textId="77777777" w:rsidR="00D338F9" w:rsidRDefault="00D338F9" w:rsidP="00D338F9">
      <w:pPr>
        <w:jc w:val="both"/>
        <w:rPr>
          <w:rFonts w:asciiTheme="majorBidi" w:hAnsiTheme="majorBidi" w:cstheme="majorBidi"/>
        </w:rPr>
      </w:pPr>
    </w:p>
    <w:p w14:paraId="38DAD201" w14:textId="3D18682E"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Table </w:t>
      </w:r>
      <w:r w:rsidR="003018DD">
        <w:rPr>
          <w:rFonts w:asciiTheme="majorBidi" w:hAnsiTheme="majorBidi" w:cstheme="majorBidi"/>
        </w:rPr>
        <w:t>OR1</w:t>
      </w:r>
      <w:r w:rsidRPr="00D338F9">
        <w:rPr>
          <w:rFonts w:asciiTheme="majorBidi" w:hAnsiTheme="majorBidi" w:cstheme="majorBidi"/>
        </w:rPr>
        <w:t xml:space="preserve">.4.1: Proportion of Participants Identifying Each Landscape Component at T1, T2, and T3 (n = 90 at </w:t>
      </w:r>
      <w:proofErr w:type="spellStart"/>
      <w:r w:rsidRPr="00D338F9">
        <w:rPr>
          <w:rFonts w:asciiTheme="majorBidi" w:hAnsiTheme="majorBidi" w:cstheme="majorBidi"/>
        </w:rPr>
        <w:t>all time</w:t>
      </w:r>
      <w:proofErr w:type="spellEnd"/>
      <w:r w:rsidRPr="00D338F9">
        <w:rPr>
          <w:rFonts w:asciiTheme="majorBidi" w:hAnsiTheme="majorBidi" w:cstheme="majorBidi"/>
        </w:rPr>
        <w:t xml:space="preserve"> points)</w:t>
      </w:r>
    </w:p>
    <w:tbl>
      <w:tblPr>
        <w:tblStyle w:val="PlainTable2"/>
        <w:tblW w:w="0" w:type="auto"/>
        <w:tblLook w:val="04A0" w:firstRow="1" w:lastRow="0" w:firstColumn="1" w:lastColumn="0" w:noHBand="0" w:noVBand="1"/>
      </w:tblPr>
      <w:tblGrid>
        <w:gridCol w:w="3256"/>
        <w:gridCol w:w="802"/>
        <w:gridCol w:w="801"/>
        <w:gridCol w:w="801"/>
        <w:gridCol w:w="1850"/>
        <w:gridCol w:w="1850"/>
      </w:tblGrid>
      <w:tr w:rsidR="00D338F9" w:rsidRPr="00D338F9" w14:paraId="6A30703A" w14:textId="77777777" w:rsidTr="00D338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61ADFD"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Landscape Component</w:t>
            </w:r>
          </w:p>
        </w:tc>
        <w:tc>
          <w:tcPr>
            <w:tcW w:w="0" w:type="auto"/>
            <w:hideMark/>
          </w:tcPr>
          <w:p w14:paraId="4F5C91F5"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T1 (%)</w:t>
            </w:r>
          </w:p>
        </w:tc>
        <w:tc>
          <w:tcPr>
            <w:tcW w:w="0" w:type="auto"/>
            <w:hideMark/>
          </w:tcPr>
          <w:p w14:paraId="2D58560C"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T2 (%)</w:t>
            </w:r>
          </w:p>
        </w:tc>
        <w:tc>
          <w:tcPr>
            <w:tcW w:w="0" w:type="auto"/>
            <w:hideMark/>
          </w:tcPr>
          <w:p w14:paraId="30E9CF5F"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T3 (%)</w:t>
            </w:r>
          </w:p>
        </w:tc>
        <w:tc>
          <w:tcPr>
            <w:tcW w:w="0" w:type="auto"/>
            <w:hideMark/>
          </w:tcPr>
          <w:p w14:paraId="14C52E28"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Change T1→T2 (p)*</w:t>
            </w:r>
          </w:p>
        </w:tc>
        <w:tc>
          <w:tcPr>
            <w:tcW w:w="0" w:type="auto"/>
            <w:hideMark/>
          </w:tcPr>
          <w:p w14:paraId="6B88624F"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Change T2→T3 (p)*</w:t>
            </w:r>
          </w:p>
        </w:tc>
      </w:tr>
      <w:tr w:rsidR="00D338F9" w:rsidRPr="00D338F9" w14:paraId="47DD255B"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4E40E7"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Ecosystem / natural environment</w:t>
            </w:r>
          </w:p>
        </w:tc>
        <w:tc>
          <w:tcPr>
            <w:tcW w:w="0" w:type="auto"/>
            <w:hideMark/>
          </w:tcPr>
          <w:p w14:paraId="581CC3F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85.6</w:t>
            </w:r>
          </w:p>
        </w:tc>
        <w:tc>
          <w:tcPr>
            <w:tcW w:w="0" w:type="auto"/>
            <w:hideMark/>
          </w:tcPr>
          <w:p w14:paraId="6296EA11"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88.9</w:t>
            </w:r>
          </w:p>
        </w:tc>
        <w:tc>
          <w:tcPr>
            <w:tcW w:w="0" w:type="auto"/>
            <w:hideMark/>
          </w:tcPr>
          <w:p w14:paraId="529E7A5F"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87.8</w:t>
            </w:r>
          </w:p>
        </w:tc>
        <w:tc>
          <w:tcPr>
            <w:tcW w:w="0" w:type="auto"/>
            <w:hideMark/>
          </w:tcPr>
          <w:p w14:paraId="24C97371"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0.480</w:t>
            </w:r>
          </w:p>
        </w:tc>
        <w:tc>
          <w:tcPr>
            <w:tcW w:w="0" w:type="auto"/>
            <w:hideMark/>
          </w:tcPr>
          <w:p w14:paraId="5F5E833A"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0.785</w:t>
            </w:r>
          </w:p>
        </w:tc>
      </w:tr>
      <w:tr w:rsidR="00D338F9" w:rsidRPr="00D338F9" w14:paraId="2D2538BF"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09EEF35F"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Agricultural land (irrigated farmland)</w:t>
            </w:r>
          </w:p>
        </w:tc>
        <w:tc>
          <w:tcPr>
            <w:tcW w:w="0" w:type="auto"/>
            <w:hideMark/>
          </w:tcPr>
          <w:p w14:paraId="2EFB38C9"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82.2</w:t>
            </w:r>
          </w:p>
        </w:tc>
        <w:tc>
          <w:tcPr>
            <w:tcW w:w="0" w:type="auto"/>
            <w:hideMark/>
          </w:tcPr>
          <w:p w14:paraId="76BE567A"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85.6</w:t>
            </w:r>
          </w:p>
        </w:tc>
        <w:tc>
          <w:tcPr>
            <w:tcW w:w="0" w:type="auto"/>
            <w:hideMark/>
          </w:tcPr>
          <w:p w14:paraId="7F086FE4"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84.4</w:t>
            </w:r>
          </w:p>
        </w:tc>
        <w:tc>
          <w:tcPr>
            <w:tcW w:w="0" w:type="auto"/>
            <w:hideMark/>
          </w:tcPr>
          <w:p w14:paraId="01B97B7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0.527</w:t>
            </w:r>
          </w:p>
        </w:tc>
        <w:tc>
          <w:tcPr>
            <w:tcW w:w="0" w:type="auto"/>
            <w:hideMark/>
          </w:tcPr>
          <w:p w14:paraId="43C30F0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0.826</w:t>
            </w:r>
          </w:p>
        </w:tc>
      </w:tr>
      <w:tr w:rsidR="00D338F9" w:rsidRPr="00D338F9" w14:paraId="4FEBCBB5"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FECBC2"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Groundwater / aquifers</w:t>
            </w:r>
          </w:p>
        </w:tc>
        <w:tc>
          <w:tcPr>
            <w:tcW w:w="0" w:type="auto"/>
            <w:hideMark/>
          </w:tcPr>
          <w:p w14:paraId="54DB992F"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57.8</w:t>
            </w:r>
          </w:p>
        </w:tc>
        <w:tc>
          <w:tcPr>
            <w:tcW w:w="0" w:type="auto"/>
            <w:hideMark/>
          </w:tcPr>
          <w:p w14:paraId="07907366"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74.4</w:t>
            </w:r>
          </w:p>
        </w:tc>
        <w:tc>
          <w:tcPr>
            <w:tcW w:w="0" w:type="auto"/>
            <w:hideMark/>
          </w:tcPr>
          <w:p w14:paraId="4BA7C2EE"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81.1</w:t>
            </w:r>
          </w:p>
        </w:tc>
        <w:tc>
          <w:tcPr>
            <w:tcW w:w="0" w:type="auto"/>
            <w:hideMark/>
          </w:tcPr>
          <w:p w14:paraId="7DEE0B1C"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0.018**</w:t>
            </w:r>
          </w:p>
        </w:tc>
        <w:tc>
          <w:tcPr>
            <w:tcW w:w="0" w:type="auto"/>
            <w:hideMark/>
          </w:tcPr>
          <w:p w14:paraId="302D2B8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0.283</w:t>
            </w:r>
          </w:p>
        </w:tc>
      </w:tr>
      <w:tr w:rsidR="00D338F9" w:rsidRPr="00D338F9" w14:paraId="7387E461"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23F2CDA6"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River / inflow systems</w:t>
            </w:r>
          </w:p>
        </w:tc>
        <w:tc>
          <w:tcPr>
            <w:tcW w:w="0" w:type="auto"/>
            <w:hideMark/>
          </w:tcPr>
          <w:p w14:paraId="34C82C8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71.1</w:t>
            </w:r>
          </w:p>
        </w:tc>
        <w:tc>
          <w:tcPr>
            <w:tcW w:w="0" w:type="auto"/>
            <w:hideMark/>
          </w:tcPr>
          <w:p w14:paraId="7E61EF7E"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73.3</w:t>
            </w:r>
          </w:p>
        </w:tc>
        <w:tc>
          <w:tcPr>
            <w:tcW w:w="0" w:type="auto"/>
            <w:hideMark/>
          </w:tcPr>
          <w:p w14:paraId="0E2D9F8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72.2</w:t>
            </w:r>
          </w:p>
        </w:tc>
        <w:tc>
          <w:tcPr>
            <w:tcW w:w="0" w:type="auto"/>
            <w:hideMark/>
          </w:tcPr>
          <w:p w14:paraId="074E918F"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0.739</w:t>
            </w:r>
          </w:p>
        </w:tc>
        <w:tc>
          <w:tcPr>
            <w:tcW w:w="0" w:type="auto"/>
            <w:hideMark/>
          </w:tcPr>
          <w:p w14:paraId="6C32CA4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0.866</w:t>
            </w:r>
          </w:p>
        </w:tc>
      </w:tr>
      <w:tr w:rsidR="00D338F9" w:rsidRPr="00D338F9" w14:paraId="56953328"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51598B"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Urban / built areas</w:t>
            </w:r>
          </w:p>
        </w:tc>
        <w:tc>
          <w:tcPr>
            <w:tcW w:w="0" w:type="auto"/>
            <w:hideMark/>
          </w:tcPr>
          <w:p w14:paraId="2EE51086"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65.6</w:t>
            </w:r>
          </w:p>
        </w:tc>
        <w:tc>
          <w:tcPr>
            <w:tcW w:w="0" w:type="auto"/>
            <w:hideMark/>
          </w:tcPr>
          <w:p w14:paraId="24B7B52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68.9</w:t>
            </w:r>
          </w:p>
        </w:tc>
        <w:tc>
          <w:tcPr>
            <w:tcW w:w="0" w:type="auto"/>
            <w:hideMark/>
          </w:tcPr>
          <w:p w14:paraId="36AD762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67.8</w:t>
            </w:r>
          </w:p>
        </w:tc>
        <w:tc>
          <w:tcPr>
            <w:tcW w:w="0" w:type="auto"/>
            <w:hideMark/>
          </w:tcPr>
          <w:p w14:paraId="379A9FF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0.633</w:t>
            </w:r>
          </w:p>
        </w:tc>
        <w:tc>
          <w:tcPr>
            <w:tcW w:w="0" w:type="auto"/>
            <w:hideMark/>
          </w:tcPr>
          <w:p w14:paraId="41F7B2DA"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0.878</w:t>
            </w:r>
          </w:p>
        </w:tc>
      </w:tr>
      <w:tr w:rsidR="00D338F9" w:rsidRPr="00D338F9" w14:paraId="701BD914"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34D856D4"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Dams / reservoirs</w:t>
            </w:r>
          </w:p>
        </w:tc>
        <w:tc>
          <w:tcPr>
            <w:tcW w:w="0" w:type="auto"/>
            <w:hideMark/>
          </w:tcPr>
          <w:p w14:paraId="6A87DFE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28.9</w:t>
            </w:r>
          </w:p>
        </w:tc>
        <w:tc>
          <w:tcPr>
            <w:tcW w:w="0" w:type="auto"/>
            <w:hideMark/>
          </w:tcPr>
          <w:p w14:paraId="79A669E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44.4</w:t>
            </w:r>
          </w:p>
        </w:tc>
        <w:tc>
          <w:tcPr>
            <w:tcW w:w="0" w:type="auto"/>
            <w:hideMark/>
          </w:tcPr>
          <w:p w14:paraId="003A9958"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42.2</w:t>
            </w:r>
          </w:p>
        </w:tc>
        <w:tc>
          <w:tcPr>
            <w:tcW w:w="0" w:type="auto"/>
            <w:hideMark/>
          </w:tcPr>
          <w:p w14:paraId="63197C57"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0.031**</w:t>
            </w:r>
          </w:p>
        </w:tc>
        <w:tc>
          <w:tcPr>
            <w:tcW w:w="0" w:type="auto"/>
            <w:hideMark/>
          </w:tcPr>
          <w:p w14:paraId="63C3F85C"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0.759</w:t>
            </w:r>
          </w:p>
        </w:tc>
      </w:tr>
      <w:tr w:rsidR="00D338F9" w:rsidRPr="00D338F9" w14:paraId="3082C58A"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63D789"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Salt flats (</w:t>
            </w:r>
            <w:proofErr w:type="spellStart"/>
            <w:r w:rsidRPr="00D338F9">
              <w:rPr>
                <w:rFonts w:asciiTheme="majorBidi" w:hAnsiTheme="majorBidi" w:cstheme="majorBidi"/>
                <w:sz w:val="20"/>
                <w:szCs w:val="20"/>
              </w:rPr>
              <w:t>namakzar</w:t>
            </w:r>
            <w:proofErr w:type="spellEnd"/>
            <w:r w:rsidRPr="00D338F9">
              <w:rPr>
                <w:rFonts w:asciiTheme="majorBidi" w:hAnsiTheme="majorBidi" w:cstheme="majorBidi"/>
                <w:sz w:val="20"/>
                <w:szCs w:val="20"/>
              </w:rPr>
              <w:t>)</w:t>
            </w:r>
          </w:p>
        </w:tc>
        <w:tc>
          <w:tcPr>
            <w:tcW w:w="0" w:type="auto"/>
            <w:hideMark/>
          </w:tcPr>
          <w:p w14:paraId="4C50ABF6"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23.3</w:t>
            </w:r>
          </w:p>
        </w:tc>
        <w:tc>
          <w:tcPr>
            <w:tcW w:w="0" w:type="auto"/>
            <w:hideMark/>
          </w:tcPr>
          <w:p w14:paraId="4DE1ECAF"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38.9</w:t>
            </w:r>
          </w:p>
        </w:tc>
        <w:tc>
          <w:tcPr>
            <w:tcW w:w="0" w:type="auto"/>
            <w:hideMark/>
          </w:tcPr>
          <w:p w14:paraId="6F41DA20"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41.1</w:t>
            </w:r>
          </w:p>
        </w:tc>
        <w:tc>
          <w:tcPr>
            <w:tcW w:w="0" w:type="auto"/>
            <w:hideMark/>
          </w:tcPr>
          <w:p w14:paraId="4C59F4B0"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0.022**</w:t>
            </w:r>
          </w:p>
        </w:tc>
        <w:tc>
          <w:tcPr>
            <w:tcW w:w="0" w:type="auto"/>
            <w:hideMark/>
          </w:tcPr>
          <w:p w14:paraId="320CCF8B"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0.756</w:t>
            </w:r>
          </w:p>
        </w:tc>
      </w:tr>
      <w:tr w:rsidR="00D338F9" w:rsidRPr="00D338F9" w14:paraId="64F1115C"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23E101E5"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Dust sources</w:t>
            </w:r>
          </w:p>
        </w:tc>
        <w:tc>
          <w:tcPr>
            <w:tcW w:w="0" w:type="auto"/>
            <w:hideMark/>
          </w:tcPr>
          <w:p w14:paraId="0A1281F7"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20.0</w:t>
            </w:r>
          </w:p>
        </w:tc>
        <w:tc>
          <w:tcPr>
            <w:tcW w:w="0" w:type="auto"/>
            <w:hideMark/>
          </w:tcPr>
          <w:p w14:paraId="0310970F"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36.7</w:t>
            </w:r>
          </w:p>
        </w:tc>
        <w:tc>
          <w:tcPr>
            <w:tcW w:w="0" w:type="auto"/>
            <w:hideMark/>
          </w:tcPr>
          <w:p w14:paraId="2E7FC203"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38.9</w:t>
            </w:r>
          </w:p>
        </w:tc>
        <w:tc>
          <w:tcPr>
            <w:tcW w:w="0" w:type="auto"/>
            <w:hideMark/>
          </w:tcPr>
          <w:p w14:paraId="7642C355"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0.012**</w:t>
            </w:r>
          </w:p>
        </w:tc>
        <w:tc>
          <w:tcPr>
            <w:tcW w:w="0" w:type="auto"/>
            <w:hideMark/>
          </w:tcPr>
          <w:p w14:paraId="7A4C8757"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0.752</w:t>
            </w:r>
          </w:p>
        </w:tc>
      </w:tr>
      <w:tr w:rsidR="00D338F9" w:rsidRPr="00D338F9" w14:paraId="13E67115"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33E0E6"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Protected areas</w:t>
            </w:r>
          </w:p>
        </w:tc>
        <w:tc>
          <w:tcPr>
            <w:tcW w:w="0" w:type="auto"/>
            <w:hideMark/>
          </w:tcPr>
          <w:p w14:paraId="54478F4D"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17.8</w:t>
            </w:r>
          </w:p>
        </w:tc>
        <w:tc>
          <w:tcPr>
            <w:tcW w:w="0" w:type="auto"/>
            <w:hideMark/>
          </w:tcPr>
          <w:p w14:paraId="58515C35"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32.2</w:t>
            </w:r>
          </w:p>
        </w:tc>
        <w:tc>
          <w:tcPr>
            <w:tcW w:w="0" w:type="auto"/>
            <w:hideMark/>
          </w:tcPr>
          <w:p w14:paraId="444B31EC"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35.6</w:t>
            </w:r>
          </w:p>
        </w:tc>
        <w:tc>
          <w:tcPr>
            <w:tcW w:w="0" w:type="auto"/>
            <w:hideMark/>
          </w:tcPr>
          <w:p w14:paraId="13C70E51"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0.024**</w:t>
            </w:r>
          </w:p>
        </w:tc>
        <w:tc>
          <w:tcPr>
            <w:tcW w:w="0" w:type="auto"/>
            <w:hideMark/>
          </w:tcPr>
          <w:p w14:paraId="567CFC43"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0.624</w:t>
            </w:r>
          </w:p>
        </w:tc>
      </w:tr>
      <w:tr w:rsidR="00D338F9" w:rsidRPr="00D338F9" w14:paraId="1231AE42"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0A8CE4D6"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lastRenderedPageBreak/>
              <w:t>Villages / rural settlements</w:t>
            </w:r>
          </w:p>
        </w:tc>
        <w:tc>
          <w:tcPr>
            <w:tcW w:w="0" w:type="auto"/>
            <w:hideMark/>
          </w:tcPr>
          <w:p w14:paraId="5A338DA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16.7</w:t>
            </w:r>
          </w:p>
        </w:tc>
        <w:tc>
          <w:tcPr>
            <w:tcW w:w="0" w:type="auto"/>
            <w:hideMark/>
          </w:tcPr>
          <w:p w14:paraId="06CF1EF0"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28.9</w:t>
            </w:r>
          </w:p>
        </w:tc>
        <w:tc>
          <w:tcPr>
            <w:tcW w:w="0" w:type="auto"/>
            <w:hideMark/>
          </w:tcPr>
          <w:p w14:paraId="52E27EAE"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31.1</w:t>
            </w:r>
          </w:p>
        </w:tc>
        <w:tc>
          <w:tcPr>
            <w:tcW w:w="0" w:type="auto"/>
            <w:hideMark/>
          </w:tcPr>
          <w:p w14:paraId="5622BA78"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0.047**</w:t>
            </w:r>
          </w:p>
        </w:tc>
        <w:tc>
          <w:tcPr>
            <w:tcW w:w="0" w:type="auto"/>
            <w:hideMark/>
          </w:tcPr>
          <w:p w14:paraId="0D585E98"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0.739</w:t>
            </w:r>
          </w:p>
        </w:tc>
      </w:tr>
      <w:tr w:rsidR="00D338F9" w:rsidRPr="00D338F9" w14:paraId="15AE8D18"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F6E6EE"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Pastoral lands (rangelands)</w:t>
            </w:r>
          </w:p>
        </w:tc>
        <w:tc>
          <w:tcPr>
            <w:tcW w:w="0" w:type="auto"/>
            <w:hideMark/>
          </w:tcPr>
          <w:p w14:paraId="190600D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45.6</w:t>
            </w:r>
          </w:p>
        </w:tc>
        <w:tc>
          <w:tcPr>
            <w:tcW w:w="0" w:type="auto"/>
            <w:hideMark/>
          </w:tcPr>
          <w:p w14:paraId="165B23C8"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48.9</w:t>
            </w:r>
          </w:p>
        </w:tc>
        <w:tc>
          <w:tcPr>
            <w:tcW w:w="0" w:type="auto"/>
            <w:hideMark/>
          </w:tcPr>
          <w:p w14:paraId="417863CE"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50.0</w:t>
            </w:r>
          </w:p>
        </w:tc>
        <w:tc>
          <w:tcPr>
            <w:tcW w:w="0" w:type="auto"/>
            <w:hideMark/>
          </w:tcPr>
          <w:p w14:paraId="4299BFDC"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0.655</w:t>
            </w:r>
          </w:p>
        </w:tc>
        <w:tc>
          <w:tcPr>
            <w:tcW w:w="0" w:type="auto"/>
            <w:hideMark/>
          </w:tcPr>
          <w:p w14:paraId="1F623596"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0.884</w:t>
            </w:r>
          </w:p>
        </w:tc>
      </w:tr>
      <w:tr w:rsidR="00D338F9" w:rsidRPr="00D338F9" w14:paraId="0EB3FB3F"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64677DC6"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Qanats (traditional water systems)</w:t>
            </w:r>
          </w:p>
        </w:tc>
        <w:tc>
          <w:tcPr>
            <w:tcW w:w="0" w:type="auto"/>
            <w:hideMark/>
          </w:tcPr>
          <w:p w14:paraId="71510DA3"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14.4</w:t>
            </w:r>
          </w:p>
        </w:tc>
        <w:tc>
          <w:tcPr>
            <w:tcW w:w="0" w:type="auto"/>
            <w:hideMark/>
          </w:tcPr>
          <w:p w14:paraId="4D8517F5"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21.1</w:t>
            </w:r>
          </w:p>
        </w:tc>
        <w:tc>
          <w:tcPr>
            <w:tcW w:w="0" w:type="auto"/>
            <w:hideMark/>
          </w:tcPr>
          <w:p w14:paraId="05F4E1A8"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23.3</w:t>
            </w:r>
          </w:p>
        </w:tc>
        <w:tc>
          <w:tcPr>
            <w:tcW w:w="0" w:type="auto"/>
            <w:hideMark/>
          </w:tcPr>
          <w:p w14:paraId="1E81A0BB"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0.236</w:t>
            </w:r>
          </w:p>
        </w:tc>
        <w:tc>
          <w:tcPr>
            <w:tcW w:w="0" w:type="auto"/>
            <w:hideMark/>
          </w:tcPr>
          <w:p w14:paraId="6DFFF056"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0.724</w:t>
            </w:r>
          </w:p>
        </w:tc>
      </w:tr>
      <w:tr w:rsidR="00D338F9" w:rsidRPr="00D338F9" w14:paraId="6A3B15CC"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BA57DC"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Wildlife / biodiversity</w:t>
            </w:r>
          </w:p>
        </w:tc>
        <w:tc>
          <w:tcPr>
            <w:tcW w:w="0" w:type="auto"/>
            <w:hideMark/>
          </w:tcPr>
          <w:p w14:paraId="6CC960B2"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41.1</w:t>
            </w:r>
          </w:p>
        </w:tc>
        <w:tc>
          <w:tcPr>
            <w:tcW w:w="0" w:type="auto"/>
            <w:hideMark/>
          </w:tcPr>
          <w:p w14:paraId="048F7B56"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43.3</w:t>
            </w:r>
          </w:p>
        </w:tc>
        <w:tc>
          <w:tcPr>
            <w:tcW w:w="0" w:type="auto"/>
            <w:hideMark/>
          </w:tcPr>
          <w:p w14:paraId="0F7B50A9"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42.2</w:t>
            </w:r>
          </w:p>
        </w:tc>
        <w:tc>
          <w:tcPr>
            <w:tcW w:w="0" w:type="auto"/>
            <w:hideMark/>
          </w:tcPr>
          <w:p w14:paraId="08D222A3"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0.759</w:t>
            </w:r>
          </w:p>
        </w:tc>
        <w:tc>
          <w:tcPr>
            <w:tcW w:w="0" w:type="auto"/>
            <w:hideMark/>
          </w:tcPr>
          <w:p w14:paraId="00878662"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0.882</w:t>
            </w:r>
          </w:p>
        </w:tc>
      </w:tr>
      <w:tr w:rsidR="00D338F9" w:rsidRPr="00D338F9" w14:paraId="4DA82268"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77C015CA"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Socio-economic infrastructure</w:t>
            </w:r>
          </w:p>
        </w:tc>
        <w:tc>
          <w:tcPr>
            <w:tcW w:w="0" w:type="auto"/>
            <w:hideMark/>
          </w:tcPr>
          <w:p w14:paraId="1F10D428"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34.4</w:t>
            </w:r>
          </w:p>
        </w:tc>
        <w:tc>
          <w:tcPr>
            <w:tcW w:w="0" w:type="auto"/>
            <w:hideMark/>
          </w:tcPr>
          <w:p w14:paraId="63A7BA0D"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37.8</w:t>
            </w:r>
          </w:p>
        </w:tc>
        <w:tc>
          <w:tcPr>
            <w:tcW w:w="0" w:type="auto"/>
            <w:hideMark/>
          </w:tcPr>
          <w:p w14:paraId="3499756A"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36.7</w:t>
            </w:r>
          </w:p>
        </w:tc>
        <w:tc>
          <w:tcPr>
            <w:tcW w:w="0" w:type="auto"/>
            <w:hideMark/>
          </w:tcPr>
          <w:p w14:paraId="7E3A4489"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0.633</w:t>
            </w:r>
          </w:p>
        </w:tc>
        <w:tc>
          <w:tcPr>
            <w:tcW w:w="0" w:type="auto"/>
            <w:hideMark/>
          </w:tcPr>
          <w:p w14:paraId="1C644497"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0.878</w:t>
            </w:r>
          </w:p>
        </w:tc>
      </w:tr>
    </w:tbl>
    <w:p w14:paraId="30AB3D4B" w14:textId="12ED181C" w:rsidR="00D338F9" w:rsidRPr="00D338F9" w:rsidRDefault="00D338F9" w:rsidP="00D338F9">
      <w:pPr>
        <w:jc w:val="both"/>
        <w:rPr>
          <w:rFonts w:asciiTheme="majorBidi" w:hAnsiTheme="majorBidi" w:cstheme="majorBidi"/>
        </w:rPr>
      </w:pPr>
      <w:r w:rsidRPr="00D338F9">
        <w:rPr>
          <w:rFonts w:asciiTheme="majorBidi" w:hAnsiTheme="majorBidi" w:cstheme="majorBidi"/>
        </w:rPr>
        <w:t>Wilcoxon signed-rank test (two-tailed). p &lt; 0.05 indicates statistically significant increase from previous time point. No significant decreases observed.</w:t>
      </w:r>
    </w:p>
    <w:p w14:paraId="29C5140A" w14:textId="4DEAB48B" w:rsidR="00D338F9" w:rsidRDefault="00D338F9" w:rsidP="00D338F9">
      <w:pPr>
        <w:jc w:val="both"/>
        <w:rPr>
          <w:rFonts w:asciiTheme="majorBidi" w:hAnsiTheme="majorBidi" w:cstheme="majorBidi"/>
        </w:rPr>
      </w:pPr>
      <w:r w:rsidRPr="00D338F9">
        <w:rPr>
          <w:rFonts w:asciiTheme="majorBidi" w:hAnsiTheme="majorBidi" w:cstheme="majorBidi"/>
        </w:rPr>
        <w:t>Key observation: Components that were less salient at baseline (dams, salt flats, dust sources, protected areas, villages) all showed statistically significant increases in prevalence from T1 to T2 and remained elevated at T3, indicating that PSP broadened participants’ mental models to include previously overlooked but functionally critical elements.</w:t>
      </w:r>
    </w:p>
    <w:p w14:paraId="09D6AD63" w14:textId="77777777" w:rsidR="00D338F9" w:rsidRPr="00D338F9" w:rsidRDefault="00D338F9" w:rsidP="00D338F9">
      <w:pPr>
        <w:jc w:val="both"/>
        <w:rPr>
          <w:rFonts w:asciiTheme="majorBidi" w:hAnsiTheme="majorBidi" w:cstheme="majorBidi"/>
        </w:rPr>
      </w:pPr>
    </w:p>
    <w:p w14:paraId="10BF3A90" w14:textId="72E412DE" w:rsidR="00D338F9" w:rsidRPr="00D338F9" w:rsidRDefault="003018DD" w:rsidP="00D338F9">
      <w:pPr>
        <w:pStyle w:val="Heading2"/>
        <w:spacing w:line="276" w:lineRule="auto"/>
        <w:jc w:val="both"/>
        <w:rPr>
          <w:rFonts w:asciiTheme="majorBidi" w:hAnsiTheme="majorBidi"/>
        </w:rPr>
      </w:pPr>
      <w:r>
        <w:rPr>
          <w:rFonts w:asciiTheme="majorBidi" w:hAnsiTheme="majorBidi"/>
          <w:b/>
          <w:bCs/>
          <w:sz w:val="28"/>
          <w:szCs w:val="28"/>
        </w:rPr>
        <w:t>OR1</w:t>
      </w:r>
      <w:r w:rsidR="00D338F9" w:rsidRPr="00D338F9">
        <w:rPr>
          <w:rFonts w:asciiTheme="majorBidi" w:hAnsiTheme="majorBidi"/>
          <w:b/>
          <w:bCs/>
          <w:sz w:val="28"/>
          <w:szCs w:val="28"/>
        </w:rPr>
        <w:t>.</w:t>
      </w:r>
      <w:r w:rsidR="00D338F9">
        <w:rPr>
          <w:rFonts w:asciiTheme="majorBidi" w:hAnsiTheme="majorBidi"/>
          <w:b/>
          <w:bCs/>
          <w:sz w:val="28"/>
          <w:szCs w:val="28"/>
        </w:rPr>
        <w:t xml:space="preserve"> </w:t>
      </w:r>
      <w:r w:rsidR="00D338F9" w:rsidRPr="00D338F9">
        <w:rPr>
          <w:rFonts w:asciiTheme="majorBidi" w:hAnsiTheme="majorBidi"/>
          <w:b/>
          <w:bCs/>
          <w:sz w:val="28"/>
          <w:szCs w:val="28"/>
        </w:rPr>
        <w:t>5</w:t>
      </w:r>
      <w:r w:rsidR="00D338F9">
        <w:rPr>
          <w:rFonts w:asciiTheme="majorBidi" w:hAnsiTheme="majorBidi"/>
          <w:b/>
          <w:bCs/>
          <w:sz w:val="28"/>
          <w:szCs w:val="28"/>
        </w:rPr>
        <w:t>.</w:t>
      </w:r>
      <w:r w:rsidR="00D338F9" w:rsidRPr="00D338F9">
        <w:rPr>
          <w:rFonts w:asciiTheme="majorBidi" w:hAnsiTheme="majorBidi"/>
          <w:b/>
          <w:bCs/>
          <w:sz w:val="28"/>
          <w:szCs w:val="28"/>
        </w:rPr>
        <w:t xml:space="preserve"> Qualitative Interview Protocol (Translated Excerpts)</w:t>
      </w:r>
    </w:p>
    <w:p w14:paraId="259B5D84"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The following questions were administered in Persian during semi-structured follow-up interviews (n = 30) conducted three months post-workshop.</w:t>
      </w:r>
    </w:p>
    <w:p w14:paraId="68A2812B" w14:textId="12EEE950" w:rsidR="00D338F9" w:rsidRPr="00D338F9" w:rsidRDefault="00D338F9" w:rsidP="00D338F9">
      <w:pPr>
        <w:jc w:val="both"/>
        <w:rPr>
          <w:rFonts w:asciiTheme="majorBidi" w:hAnsiTheme="majorBidi" w:cstheme="majorBidi"/>
        </w:rPr>
      </w:pPr>
      <w:r w:rsidRPr="00D338F9">
        <w:rPr>
          <w:rFonts w:asciiTheme="majorBidi" w:hAnsiTheme="majorBidi" w:cstheme="majorBidi"/>
        </w:rPr>
        <w:t>Member-checking prompt (presented with summarized quantitative results):</w:t>
      </w:r>
    </w:p>
    <w:p w14:paraId="3D424FCC" w14:textId="5607ABB8" w:rsidR="00D338F9" w:rsidRPr="00D338F9" w:rsidRDefault="00D338F9" w:rsidP="00D338F9">
      <w:pPr>
        <w:pStyle w:val="ListParagraph"/>
        <w:numPr>
          <w:ilvl w:val="0"/>
          <w:numId w:val="9"/>
        </w:numPr>
        <w:jc w:val="both"/>
        <w:rPr>
          <w:rFonts w:asciiTheme="majorBidi" w:hAnsiTheme="majorBidi" w:cstheme="majorBidi"/>
        </w:rPr>
      </w:pPr>
      <w:r w:rsidRPr="00D338F9">
        <w:rPr>
          <w:rFonts w:asciiTheme="majorBidi" w:hAnsiTheme="majorBidi" w:cstheme="majorBidi"/>
        </w:rPr>
        <w:t>“Here is a summary of what we found from the questionnaires. On average, participants listed more landscape elements after the workshop, and they expressed more hope for collaborative, multifunctional futures. Do these patterns match your own experience? Please explain.”</w:t>
      </w:r>
    </w:p>
    <w:p w14:paraId="6B16981E" w14:textId="5601153D" w:rsidR="00D338F9" w:rsidRPr="00D338F9" w:rsidRDefault="00D338F9" w:rsidP="00D338F9">
      <w:pPr>
        <w:jc w:val="both"/>
        <w:rPr>
          <w:rFonts w:asciiTheme="majorBidi" w:hAnsiTheme="majorBidi" w:cstheme="majorBidi"/>
          <w:b/>
          <w:bCs/>
        </w:rPr>
      </w:pPr>
      <w:r w:rsidRPr="00D338F9">
        <w:rPr>
          <w:rFonts w:asciiTheme="majorBidi" w:hAnsiTheme="majorBidi" w:cstheme="majorBidi"/>
          <w:b/>
          <w:bCs/>
        </w:rPr>
        <w:t>Core questions on operational attributes:</w:t>
      </w:r>
    </w:p>
    <w:p w14:paraId="33387DD5" w14:textId="34383340" w:rsidR="00D338F9" w:rsidRPr="00D338F9" w:rsidRDefault="00D338F9" w:rsidP="00D338F9">
      <w:pPr>
        <w:jc w:val="both"/>
        <w:rPr>
          <w:rFonts w:asciiTheme="majorBidi" w:hAnsiTheme="majorBidi" w:cstheme="majorBidi"/>
        </w:rPr>
      </w:pPr>
      <w:r w:rsidRPr="00D338F9">
        <w:rPr>
          <w:rFonts w:asciiTheme="majorBidi" w:hAnsiTheme="majorBidi" w:cstheme="majorBidi"/>
        </w:rPr>
        <w:t>Composition:</w:t>
      </w:r>
    </w:p>
    <w:p w14:paraId="19402800" w14:textId="540789DB" w:rsidR="00D338F9" w:rsidRPr="00D338F9" w:rsidRDefault="00D338F9" w:rsidP="00D338F9">
      <w:pPr>
        <w:pStyle w:val="ListParagraph"/>
        <w:numPr>
          <w:ilvl w:val="0"/>
          <w:numId w:val="8"/>
        </w:numPr>
        <w:jc w:val="both"/>
        <w:rPr>
          <w:rFonts w:asciiTheme="majorBidi" w:hAnsiTheme="majorBidi" w:cstheme="majorBidi"/>
        </w:rPr>
      </w:pPr>
      <w:r w:rsidRPr="00D338F9">
        <w:rPr>
          <w:rFonts w:asciiTheme="majorBidi" w:hAnsiTheme="majorBidi" w:cstheme="majorBidi"/>
        </w:rPr>
        <w:t>“Looking back, did the mix of people in the room—government, academics, farmers, NGOs, pastoralists—make a difference to what you learned? If yes, how specifically?”</w:t>
      </w:r>
    </w:p>
    <w:p w14:paraId="5E4BD9EA" w14:textId="4646C426" w:rsidR="00D338F9" w:rsidRPr="00D338F9" w:rsidRDefault="00D338F9" w:rsidP="00D338F9">
      <w:pPr>
        <w:jc w:val="both"/>
        <w:rPr>
          <w:rFonts w:asciiTheme="majorBidi" w:hAnsiTheme="majorBidi" w:cstheme="majorBidi"/>
        </w:rPr>
      </w:pPr>
      <w:r w:rsidRPr="00D338F9">
        <w:rPr>
          <w:rFonts w:asciiTheme="majorBidi" w:hAnsiTheme="majorBidi" w:cstheme="majorBidi"/>
        </w:rPr>
        <w:t>Process:</w:t>
      </w:r>
    </w:p>
    <w:p w14:paraId="1EF3E1DE" w14:textId="332377A5" w:rsidR="00D338F9" w:rsidRPr="00D338F9" w:rsidRDefault="00D338F9" w:rsidP="00D338F9">
      <w:pPr>
        <w:pStyle w:val="ListParagraph"/>
        <w:numPr>
          <w:ilvl w:val="0"/>
          <w:numId w:val="7"/>
        </w:numPr>
        <w:jc w:val="both"/>
        <w:rPr>
          <w:rFonts w:asciiTheme="majorBidi" w:hAnsiTheme="majorBidi" w:cstheme="majorBidi"/>
        </w:rPr>
      </w:pPr>
      <w:r w:rsidRPr="00D338F9">
        <w:rPr>
          <w:rFonts w:asciiTheme="majorBidi" w:hAnsiTheme="majorBidi" w:cstheme="majorBidi"/>
        </w:rPr>
        <w:t>“Thinking about how the two days were structured (mapping, scenarios, small groups, storytelling, informal breaks): what aspects of the process helped you think differently about the Tehran Basin? Were there any aspects that hindered learning?”</w:t>
      </w:r>
    </w:p>
    <w:p w14:paraId="08A02D9E" w14:textId="5B2CB623" w:rsidR="00D338F9" w:rsidRPr="00D338F9" w:rsidRDefault="00D338F9" w:rsidP="00D338F9">
      <w:pPr>
        <w:jc w:val="both"/>
        <w:rPr>
          <w:rFonts w:asciiTheme="majorBidi" w:hAnsiTheme="majorBidi" w:cstheme="majorBidi"/>
        </w:rPr>
      </w:pPr>
      <w:r w:rsidRPr="00D338F9">
        <w:rPr>
          <w:rFonts w:asciiTheme="majorBidi" w:hAnsiTheme="majorBidi" w:cstheme="majorBidi"/>
        </w:rPr>
        <w:t>Facilitation:</w:t>
      </w:r>
    </w:p>
    <w:p w14:paraId="0402BEE6" w14:textId="45728EDC" w:rsidR="00D338F9" w:rsidRPr="00D338F9" w:rsidRDefault="00D338F9" w:rsidP="00D338F9">
      <w:pPr>
        <w:pStyle w:val="ListParagraph"/>
        <w:numPr>
          <w:ilvl w:val="0"/>
          <w:numId w:val="6"/>
        </w:numPr>
        <w:jc w:val="both"/>
        <w:rPr>
          <w:rFonts w:asciiTheme="majorBidi" w:hAnsiTheme="majorBidi" w:cstheme="majorBidi"/>
        </w:rPr>
      </w:pPr>
      <w:r w:rsidRPr="00D338F9">
        <w:rPr>
          <w:rFonts w:asciiTheme="majorBidi" w:hAnsiTheme="majorBidi" w:cstheme="majorBidi"/>
        </w:rPr>
        <w:t>“How would you describe the role of the facilitators? Can you give a specific example of something a facilitator did that was particularly helpful—or unhelpful?”</w:t>
      </w:r>
    </w:p>
    <w:p w14:paraId="69C0946C" w14:textId="3CBB171B" w:rsidR="00D338F9" w:rsidRPr="00D338F9" w:rsidRDefault="00D338F9" w:rsidP="00D338F9">
      <w:pPr>
        <w:jc w:val="both"/>
        <w:rPr>
          <w:rFonts w:asciiTheme="majorBidi" w:hAnsiTheme="majorBidi" w:cstheme="majorBidi"/>
        </w:rPr>
      </w:pPr>
      <w:r w:rsidRPr="00D338F9">
        <w:rPr>
          <w:rFonts w:asciiTheme="majorBidi" w:hAnsiTheme="majorBidi" w:cstheme="majorBidi"/>
        </w:rPr>
        <w:lastRenderedPageBreak/>
        <w:t>Context:</w:t>
      </w:r>
    </w:p>
    <w:p w14:paraId="1C0ADA90" w14:textId="05C65EE8" w:rsidR="00D338F9" w:rsidRPr="00D338F9" w:rsidRDefault="00D338F9" w:rsidP="00D338F9">
      <w:pPr>
        <w:pStyle w:val="ListParagraph"/>
        <w:numPr>
          <w:ilvl w:val="0"/>
          <w:numId w:val="6"/>
        </w:numPr>
        <w:jc w:val="both"/>
        <w:rPr>
          <w:rFonts w:asciiTheme="majorBidi" w:hAnsiTheme="majorBidi" w:cstheme="majorBidi"/>
        </w:rPr>
      </w:pPr>
      <w:r w:rsidRPr="00D338F9">
        <w:rPr>
          <w:rFonts w:asciiTheme="majorBidi" w:hAnsiTheme="majorBidi" w:cstheme="majorBidi"/>
        </w:rPr>
        <w:t>“Beyond the workshop itself, what outside factors (political, social, environmental, economic) shaped how you experienced or what you took away from the PSP?”</w:t>
      </w:r>
    </w:p>
    <w:p w14:paraId="3D660C1D" w14:textId="52DCCFDF" w:rsidR="00D338F9" w:rsidRPr="00D338F9" w:rsidRDefault="00D338F9" w:rsidP="00D338F9">
      <w:pPr>
        <w:jc w:val="both"/>
        <w:rPr>
          <w:rFonts w:asciiTheme="majorBidi" w:hAnsiTheme="majorBidi" w:cstheme="majorBidi"/>
        </w:rPr>
      </w:pPr>
      <w:r w:rsidRPr="00D338F9">
        <w:rPr>
          <w:rFonts w:asciiTheme="majorBidi" w:hAnsiTheme="majorBidi" w:cstheme="majorBidi"/>
        </w:rPr>
        <w:t>Coding structure for qualitative analysis (directed content analysis):</w:t>
      </w:r>
    </w:p>
    <w:tbl>
      <w:tblPr>
        <w:tblStyle w:val="PlainTable2"/>
        <w:tblW w:w="0" w:type="auto"/>
        <w:tblLook w:val="04A0" w:firstRow="1" w:lastRow="0" w:firstColumn="1" w:lastColumn="0" w:noHBand="0" w:noVBand="1"/>
      </w:tblPr>
      <w:tblGrid>
        <w:gridCol w:w="1306"/>
        <w:gridCol w:w="4622"/>
        <w:gridCol w:w="3432"/>
      </w:tblGrid>
      <w:tr w:rsidR="00D338F9" w:rsidRPr="00D338F9" w14:paraId="69EF1AC5" w14:textId="77777777" w:rsidTr="00D338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80EB78"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Domain</w:t>
            </w:r>
          </w:p>
        </w:tc>
        <w:tc>
          <w:tcPr>
            <w:tcW w:w="0" w:type="auto"/>
            <w:hideMark/>
          </w:tcPr>
          <w:p w14:paraId="5DD629A4"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A Priori Codes</w:t>
            </w:r>
          </w:p>
        </w:tc>
        <w:tc>
          <w:tcPr>
            <w:tcW w:w="0" w:type="auto"/>
            <w:hideMark/>
          </w:tcPr>
          <w:p w14:paraId="7C086A9E" w14:textId="77777777" w:rsidR="00D338F9" w:rsidRPr="00D338F9" w:rsidRDefault="00D338F9" w:rsidP="00D338F9">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Emergent Codes</w:t>
            </w:r>
          </w:p>
        </w:tc>
      </w:tr>
      <w:tr w:rsidR="00D338F9" w:rsidRPr="00D338F9" w14:paraId="59A3910C"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E2DCA6"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Composition</w:t>
            </w:r>
          </w:p>
        </w:tc>
        <w:tc>
          <w:tcPr>
            <w:tcW w:w="0" w:type="auto"/>
            <w:hideMark/>
          </w:tcPr>
          <w:p w14:paraId="5E37810D"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Sectoral diversity, knowledge systems, hierarchy, legitimacy</w:t>
            </w:r>
          </w:p>
        </w:tc>
        <w:tc>
          <w:tcPr>
            <w:tcW w:w="0" w:type="auto"/>
            <w:hideMark/>
          </w:tcPr>
          <w:p w14:paraId="125ECB22"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Gender imbalance, informal networks, trust in academia</w:t>
            </w:r>
          </w:p>
        </w:tc>
      </w:tr>
      <w:tr w:rsidR="00D338F9" w:rsidRPr="00D338F9" w14:paraId="6659C57A"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73004DF3"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Process</w:t>
            </w:r>
          </w:p>
        </w:tc>
        <w:tc>
          <w:tcPr>
            <w:tcW w:w="0" w:type="auto"/>
            <w:hideMark/>
          </w:tcPr>
          <w:p w14:paraId="6DBB6640"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Small-group dynamics, scenario storytelling, plenary sessions, informal breaks</w:t>
            </w:r>
          </w:p>
        </w:tc>
        <w:tc>
          <w:tcPr>
            <w:tcW w:w="0" w:type="auto"/>
            <w:hideMark/>
          </w:tcPr>
          <w:p w14:paraId="494E9292"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Time pressure, language accessibility, visual materials</w:t>
            </w:r>
          </w:p>
        </w:tc>
      </w:tr>
      <w:tr w:rsidR="00D338F9" w:rsidRPr="00D338F9" w14:paraId="277B4C58" w14:textId="77777777" w:rsidTr="00D33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F9BC61"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Facilitation</w:t>
            </w:r>
          </w:p>
        </w:tc>
        <w:tc>
          <w:tcPr>
            <w:tcW w:w="0" w:type="auto"/>
            <w:hideMark/>
          </w:tcPr>
          <w:p w14:paraId="33BC8DA9"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Turn-taking, power management, neutrality, cultural competence</w:t>
            </w:r>
          </w:p>
        </w:tc>
        <w:tc>
          <w:tcPr>
            <w:tcW w:w="0" w:type="auto"/>
            <w:hideMark/>
          </w:tcPr>
          <w:p w14:paraId="63935D9D" w14:textId="77777777" w:rsidR="00D338F9" w:rsidRPr="00D338F9" w:rsidRDefault="00D338F9" w:rsidP="00D338F9">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D338F9">
              <w:rPr>
                <w:rFonts w:asciiTheme="majorBidi" w:hAnsiTheme="majorBidi" w:cstheme="majorBidi"/>
                <w:sz w:val="20"/>
                <w:szCs w:val="20"/>
              </w:rPr>
              <w:t>Ta’arof</w:t>
            </w:r>
            <w:proofErr w:type="spellEnd"/>
            <w:r w:rsidRPr="00D338F9">
              <w:rPr>
                <w:rFonts w:asciiTheme="majorBidi" w:hAnsiTheme="majorBidi" w:cstheme="majorBidi"/>
                <w:sz w:val="20"/>
                <w:szCs w:val="20"/>
              </w:rPr>
              <w:t xml:space="preserve"> navigation, de-escalation, probing questions</w:t>
            </w:r>
          </w:p>
        </w:tc>
      </w:tr>
      <w:tr w:rsidR="00D338F9" w:rsidRPr="00D338F9" w14:paraId="7EBD9C4F" w14:textId="77777777" w:rsidTr="00D338F9">
        <w:tc>
          <w:tcPr>
            <w:cnfStyle w:val="001000000000" w:firstRow="0" w:lastRow="0" w:firstColumn="1" w:lastColumn="0" w:oddVBand="0" w:evenVBand="0" w:oddHBand="0" w:evenHBand="0" w:firstRowFirstColumn="0" w:firstRowLastColumn="0" w:lastRowFirstColumn="0" w:lastRowLastColumn="0"/>
            <w:tcW w:w="0" w:type="auto"/>
            <w:hideMark/>
          </w:tcPr>
          <w:p w14:paraId="402C8C8F" w14:textId="77777777" w:rsidR="00D338F9" w:rsidRPr="00D338F9" w:rsidRDefault="00D338F9" w:rsidP="00D338F9">
            <w:pPr>
              <w:spacing w:after="160" w:line="278" w:lineRule="auto"/>
              <w:jc w:val="both"/>
              <w:rPr>
                <w:rFonts w:asciiTheme="majorBidi" w:hAnsiTheme="majorBidi" w:cstheme="majorBidi"/>
                <w:sz w:val="20"/>
                <w:szCs w:val="20"/>
              </w:rPr>
            </w:pPr>
            <w:r w:rsidRPr="00D338F9">
              <w:rPr>
                <w:rFonts w:asciiTheme="majorBidi" w:hAnsiTheme="majorBidi" w:cstheme="majorBidi"/>
                <w:sz w:val="20"/>
                <w:szCs w:val="20"/>
              </w:rPr>
              <w:t>Context</w:t>
            </w:r>
          </w:p>
        </w:tc>
        <w:tc>
          <w:tcPr>
            <w:tcW w:w="0" w:type="auto"/>
            <w:hideMark/>
          </w:tcPr>
          <w:p w14:paraId="08191375"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Political constraints, environmental urgency, institutional trust</w:t>
            </w:r>
          </w:p>
        </w:tc>
        <w:tc>
          <w:tcPr>
            <w:tcW w:w="0" w:type="auto"/>
            <w:hideMark/>
          </w:tcPr>
          <w:p w14:paraId="450C2A3F" w14:textId="77777777" w:rsidR="00D338F9" w:rsidRPr="00D338F9" w:rsidRDefault="00D338F9" w:rsidP="00D338F9">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D338F9">
              <w:rPr>
                <w:rFonts w:asciiTheme="majorBidi" w:hAnsiTheme="majorBidi" w:cstheme="majorBidi"/>
                <w:sz w:val="20"/>
                <w:szCs w:val="20"/>
              </w:rPr>
              <w:t>Media framing, sanctions, seasonal drought conditions</w:t>
            </w:r>
          </w:p>
        </w:tc>
      </w:tr>
    </w:tbl>
    <w:p w14:paraId="7B698138" w14:textId="77777777" w:rsidR="00D338F9" w:rsidRPr="00D338F9" w:rsidRDefault="00D338F9" w:rsidP="00D338F9">
      <w:pPr>
        <w:jc w:val="both"/>
        <w:rPr>
          <w:rFonts w:asciiTheme="majorBidi" w:hAnsiTheme="majorBidi" w:cstheme="majorBidi"/>
        </w:rPr>
      </w:pPr>
    </w:p>
    <w:p w14:paraId="198F2959" w14:textId="5CFD581D" w:rsidR="00D338F9" w:rsidRPr="00D338F9" w:rsidRDefault="003018DD" w:rsidP="00D338F9">
      <w:pPr>
        <w:pStyle w:val="Heading2"/>
        <w:spacing w:line="276" w:lineRule="auto"/>
        <w:jc w:val="both"/>
        <w:rPr>
          <w:rFonts w:asciiTheme="majorBidi" w:hAnsiTheme="majorBidi"/>
          <w:b/>
          <w:bCs/>
          <w:sz w:val="28"/>
          <w:szCs w:val="28"/>
        </w:rPr>
      </w:pPr>
      <w:r>
        <w:rPr>
          <w:rFonts w:asciiTheme="majorBidi" w:hAnsiTheme="majorBidi"/>
          <w:b/>
          <w:bCs/>
          <w:sz w:val="28"/>
          <w:szCs w:val="28"/>
        </w:rPr>
        <w:t>OR1</w:t>
      </w:r>
      <w:r w:rsidR="00D338F9" w:rsidRPr="00D338F9">
        <w:rPr>
          <w:rFonts w:asciiTheme="majorBidi" w:hAnsiTheme="majorBidi"/>
          <w:b/>
          <w:bCs/>
          <w:sz w:val="28"/>
          <w:szCs w:val="28"/>
        </w:rPr>
        <w:t>.</w:t>
      </w:r>
      <w:r w:rsidR="00D338F9">
        <w:rPr>
          <w:rFonts w:asciiTheme="majorBidi" w:hAnsiTheme="majorBidi"/>
          <w:b/>
          <w:bCs/>
          <w:sz w:val="28"/>
          <w:szCs w:val="28"/>
        </w:rPr>
        <w:t xml:space="preserve"> </w:t>
      </w:r>
      <w:r w:rsidR="00D338F9" w:rsidRPr="00D338F9">
        <w:rPr>
          <w:rFonts w:asciiTheme="majorBidi" w:hAnsiTheme="majorBidi"/>
          <w:b/>
          <w:bCs/>
          <w:sz w:val="28"/>
          <w:szCs w:val="28"/>
        </w:rPr>
        <w:t>6</w:t>
      </w:r>
      <w:r w:rsidR="00D338F9">
        <w:rPr>
          <w:rFonts w:asciiTheme="majorBidi" w:hAnsiTheme="majorBidi"/>
          <w:b/>
          <w:bCs/>
          <w:sz w:val="28"/>
          <w:szCs w:val="28"/>
        </w:rPr>
        <w:t>.</w:t>
      </w:r>
      <w:r w:rsidR="00D338F9" w:rsidRPr="00D338F9">
        <w:rPr>
          <w:rFonts w:asciiTheme="majorBidi" w:hAnsiTheme="majorBidi"/>
          <w:b/>
          <w:bCs/>
          <w:sz w:val="28"/>
          <w:szCs w:val="28"/>
        </w:rPr>
        <w:t xml:space="preserve"> Ethical Approval and Informed Consent Statement</w:t>
      </w:r>
    </w:p>
    <w:p w14:paraId="2B4FC51D" w14:textId="315BE7C3" w:rsidR="00D338F9" w:rsidRPr="00D338F9" w:rsidRDefault="00D338F9" w:rsidP="00D338F9">
      <w:pPr>
        <w:jc w:val="both"/>
        <w:rPr>
          <w:rFonts w:asciiTheme="majorBidi" w:hAnsiTheme="majorBidi" w:cstheme="majorBidi"/>
        </w:rPr>
      </w:pPr>
      <w:r w:rsidRPr="00D338F9">
        <w:rPr>
          <w:rFonts w:asciiTheme="majorBidi" w:hAnsiTheme="majorBidi" w:cstheme="majorBidi"/>
        </w:rPr>
        <w:t>Ethical review:</w:t>
      </w:r>
    </w:p>
    <w:p w14:paraId="2E49B1D8" w14:textId="57823C89" w:rsidR="00D338F9" w:rsidRPr="00D338F9" w:rsidRDefault="00D338F9" w:rsidP="00D338F9">
      <w:pPr>
        <w:jc w:val="both"/>
        <w:rPr>
          <w:rFonts w:asciiTheme="majorBidi" w:hAnsiTheme="majorBidi" w:cstheme="majorBidi"/>
        </w:rPr>
      </w:pPr>
      <w:r w:rsidRPr="00D338F9">
        <w:rPr>
          <w:rFonts w:asciiTheme="majorBidi" w:hAnsiTheme="majorBidi" w:cstheme="majorBidi"/>
        </w:rPr>
        <w:t xml:space="preserve">This study received ethical approval from the </w:t>
      </w:r>
      <w:r>
        <w:rPr>
          <w:rFonts w:asciiTheme="majorBidi" w:hAnsiTheme="majorBidi" w:cstheme="majorBidi"/>
        </w:rPr>
        <w:t>Faculty of Environment of University of Tehran</w:t>
      </w:r>
      <w:r w:rsidRPr="00D338F9">
        <w:rPr>
          <w:rFonts w:asciiTheme="majorBidi" w:hAnsiTheme="majorBidi" w:cstheme="majorBidi"/>
        </w:rPr>
        <w:t xml:space="preserve"> Research Ethics Committee). The approval covered all data collection procedures, including pre-workshop, post-workshop, and follow-up questionnaires, as well as semi-structured interviews.</w:t>
      </w:r>
    </w:p>
    <w:p w14:paraId="7B4008D5" w14:textId="72A6384A" w:rsidR="00D338F9" w:rsidRPr="00D338F9" w:rsidRDefault="00D338F9" w:rsidP="00D338F9">
      <w:pPr>
        <w:jc w:val="both"/>
        <w:rPr>
          <w:rFonts w:asciiTheme="majorBidi" w:hAnsiTheme="majorBidi" w:cstheme="majorBidi"/>
        </w:rPr>
      </w:pPr>
      <w:r w:rsidRPr="00D338F9">
        <w:rPr>
          <w:rFonts w:asciiTheme="majorBidi" w:hAnsiTheme="majorBidi" w:cstheme="majorBidi"/>
        </w:rPr>
        <w:t>Informed consent process:</w:t>
      </w:r>
    </w:p>
    <w:p w14:paraId="629FBD07"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All participants (n = 90) provided written informed consent prior to the PSP workshop. The consent form (Persian language) included the following key elements:</w:t>
      </w:r>
    </w:p>
    <w:p w14:paraId="60ECEC83" w14:textId="69A2CA52" w:rsidR="00D338F9" w:rsidRPr="00D338F9" w:rsidRDefault="00D338F9" w:rsidP="00D338F9">
      <w:pPr>
        <w:pStyle w:val="ListParagraph"/>
        <w:numPr>
          <w:ilvl w:val="0"/>
          <w:numId w:val="2"/>
        </w:numPr>
        <w:jc w:val="both"/>
        <w:rPr>
          <w:rFonts w:asciiTheme="majorBidi" w:hAnsiTheme="majorBidi" w:cstheme="majorBidi"/>
        </w:rPr>
      </w:pPr>
      <w:r w:rsidRPr="00D338F9">
        <w:rPr>
          <w:rFonts w:asciiTheme="majorBidi" w:hAnsiTheme="majorBidi" w:cstheme="majorBidi"/>
        </w:rPr>
        <w:t>Purpose: “This study examines how participation in scenario planning affects understanding, trust, and future aspirations related to the Tehran Basin.”</w:t>
      </w:r>
    </w:p>
    <w:p w14:paraId="7C3A4C41" w14:textId="505BE77E" w:rsidR="00D338F9" w:rsidRPr="00D338F9" w:rsidRDefault="00D338F9" w:rsidP="00D338F9">
      <w:pPr>
        <w:pStyle w:val="ListParagraph"/>
        <w:numPr>
          <w:ilvl w:val="0"/>
          <w:numId w:val="2"/>
        </w:numPr>
        <w:jc w:val="both"/>
        <w:rPr>
          <w:rFonts w:asciiTheme="majorBidi" w:hAnsiTheme="majorBidi" w:cstheme="majorBidi"/>
        </w:rPr>
      </w:pPr>
      <w:r w:rsidRPr="00D338F9">
        <w:rPr>
          <w:rFonts w:asciiTheme="majorBidi" w:hAnsiTheme="majorBidi" w:cstheme="majorBidi"/>
        </w:rPr>
        <w:t>Procedures: Participants would complete three short questionnaires (pre-workshop, post-workshop, and three-month follow-up) and may be invited for a follow-up interview.</w:t>
      </w:r>
    </w:p>
    <w:p w14:paraId="638C64AE" w14:textId="13F31436" w:rsidR="00D338F9" w:rsidRPr="00D338F9" w:rsidRDefault="00D338F9" w:rsidP="00D338F9">
      <w:pPr>
        <w:pStyle w:val="ListParagraph"/>
        <w:numPr>
          <w:ilvl w:val="0"/>
          <w:numId w:val="2"/>
        </w:numPr>
        <w:jc w:val="both"/>
        <w:rPr>
          <w:rFonts w:asciiTheme="majorBidi" w:hAnsiTheme="majorBidi" w:cstheme="majorBidi"/>
        </w:rPr>
      </w:pPr>
      <w:r w:rsidRPr="00D338F9">
        <w:rPr>
          <w:rFonts w:asciiTheme="majorBidi" w:hAnsiTheme="majorBidi" w:cstheme="majorBidi"/>
        </w:rPr>
        <w:t>Voluntary participation: Participants could withdraw at any time without penalty or negative consequences for their organizational standing.</w:t>
      </w:r>
    </w:p>
    <w:p w14:paraId="1BFF45D9" w14:textId="7BA56BAA" w:rsidR="00D338F9" w:rsidRPr="00D338F9" w:rsidRDefault="00D338F9" w:rsidP="00D338F9">
      <w:pPr>
        <w:pStyle w:val="ListParagraph"/>
        <w:numPr>
          <w:ilvl w:val="0"/>
          <w:numId w:val="2"/>
        </w:numPr>
        <w:jc w:val="both"/>
        <w:rPr>
          <w:rFonts w:asciiTheme="majorBidi" w:hAnsiTheme="majorBidi" w:cstheme="majorBidi"/>
        </w:rPr>
      </w:pPr>
      <w:r w:rsidRPr="00D338F9">
        <w:rPr>
          <w:rFonts w:asciiTheme="majorBidi" w:hAnsiTheme="majorBidi" w:cstheme="majorBidi"/>
        </w:rPr>
        <w:t>Confidentiality: Individual responses would be anonymized; only aggregated or de-identified data would be reported. No individual-level data would be shared with employers or government agencies.</w:t>
      </w:r>
    </w:p>
    <w:p w14:paraId="2B27591F" w14:textId="41B3AFA4" w:rsidR="00D338F9" w:rsidRPr="00D338F9" w:rsidRDefault="00D338F9" w:rsidP="00D338F9">
      <w:pPr>
        <w:pStyle w:val="ListParagraph"/>
        <w:numPr>
          <w:ilvl w:val="0"/>
          <w:numId w:val="2"/>
        </w:numPr>
        <w:jc w:val="both"/>
        <w:rPr>
          <w:rFonts w:asciiTheme="majorBidi" w:hAnsiTheme="majorBidi" w:cstheme="majorBidi"/>
        </w:rPr>
      </w:pPr>
      <w:r w:rsidRPr="00D338F9">
        <w:rPr>
          <w:rFonts w:asciiTheme="majorBidi" w:hAnsiTheme="majorBidi" w:cstheme="majorBidi"/>
        </w:rPr>
        <w:t>Data security: Paper questionnaires were stored in locked cabinets; digital data were encrypted and stored on password-protected servers.</w:t>
      </w:r>
    </w:p>
    <w:p w14:paraId="1F92B216" w14:textId="2F705752" w:rsidR="00D338F9" w:rsidRPr="00D338F9" w:rsidRDefault="00D338F9" w:rsidP="00D338F9">
      <w:pPr>
        <w:pStyle w:val="ListParagraph"/>
        <w:numPr>
          <w:ilvl w:val="0"/>
          <w:numId w:val="2"/>
        </w:numPr>
        <w:jc w:val="both"/>
        <w:rPr>
          <w:rFonts w:asciiTheme="majorBidi" w:hAnsiTheme="majorBidi" w:cstheme="majorBidi"/>
        </w:rPr>
      </w:pPr>
      <w:r w:rsidRPr="00D338F9">
        <w:rPr>
          <w:rFonts w:asciiTheme="majorBidi" w:hAnsiTheme="majorBidi" w:cstheme="majorBidi"/>
        </w:rPr>
        <w:t>Contact information: Participants were provided with researcher contact details for questions or concerns.</w:t>
      </w:r>
    </w:p>
    <w:p w14:paraId="373A7CED" w14:textId="3A86E57F" w:rsidR="00D338F9" w:rsidRPr="00D338F9" w:rsidRDefault="00D338F9" w:rsidP="00D338F9">
      <w:pPr>
        <w:jc w:val="both"/>
        <w:rPr>
          <w:rFonts w:asciiTheme="majorBidi" w:hAnsiTheme="majorBidi" w:cstheme="majorBidi"/>
        </w:rPr>
      </w:pPr>
      <w:r w:rsidRPr="00D338F9">
        <w:rPr>
          <w:rFonts w:asciiTheme="majorBidi" w:hAnsiTheme="majorBidi" w:cstheme="majorBidi"/>
        </w:rPr>
        <w:lastRenderedPageBreak/>
        <w:t>Interview-specific consent:</w:t>
      </w:r>
    </w:p>
    <w:p w14:paraId="59D7740D"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For the 30 follow-up interviewees, additional verbal consent was obtained at the start of each interview, explicitly covering audio recording (where permitted) and use of anonymized quotations.</w:t>
      </w:r>
    </w:p>
    <w:p w14:paraId="4A5EC18D" w14:textId="2A8B57BF" w:rsidR="00D338F9" w:rsidRPr="00D338F9" w:rsidRDefault="00D338F9" w:rsidP="00D338F9">
      <w:pPr>
        <w:jc w:val="both"/>
        <w:rPr>
          <w:rFonts w:asciiTheme="majorBidi" w:hAnsiTheme="majorBidi" w:cstheme="majorBidi"/>
        </w:rPr>
      </w:pPr>
      <w:r w:rsidRPr="00D338F9">
        <w:rPr>
          <w:rFonts w:asciiTheme="majorBidi" w:hAnsiTheme="majorBidi" w:cstheme="majorBidi"/>
        </w:rPr>
        <w:t>Anonymization:</w:t>
      </w:r>
    </w:p>
    <w:p w14:paraId="303418AA" w14:textId="77777777" w:rsidR="00D338F9" w:rsidRPr="00D338F9" w:rsidRDefault="00D338F9" w:rsidP="00D338F9">
      <w:pPr>
        <w:jc w:val="both"/>
        <w:rPr>
          <w:rFonts w:asciiTheme="majorBidi" w:hAnsiTheme="majorBidi" w:cstheme="majorBidi"/>
        </w:rPr>
      </w:pPr>
      <w:r w:rsidRPr="00D338F9">
        <w:rPr>
          <w:rFonts w:asciiTheme="majorBidi" w:hAnsiTheme="majorBidi" w:cstheme="majorBidi"/>
        </w:rPr>
        <w:t>All participant identifiers were removed prior to analysis. Quotations in the main manuscript and this supplementary material have been assigned randomly generated participant numbers (e.g., Int. 1–30). Any potentially identifying details (e.g., specific job titles, unique organizational affiliations) have been generalized or removed while preserving substantive meaning.</w:t>
      </w:r>
    </w:p>
    <w:sectPr w:rsidR="00D338F9" w:rsidRPr="00D33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98B"/>
    <w:multiLevelType w:val="hybridMultilevel"/>
    <w:tmpl w:val="45A07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0505D"/>
    <w:multiLevelType w:val="hybridMultilevel"/>
    <w:tmpl w:val="7A2C5E2A"/>
    <w:lvl w:ilvl="0" w:tplc="3D28A66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966F8"/>
    <w:multiLevelType w:val="hybridMultilevel"/>
    <w:tmpl w:val="076C0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C71FD"/>
    <w:multiLevelType w:val="hybridMultilevel"/>
    <w:tmpl w:val="6A8638B0"/>
    <w:lvl w:ilvl="0" w:tplc="3D28A66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892FB6"/>
    <w:multiLevelType w:val="hybridMultilevel"/>
    <w:tmpl w:val="3886D90A"/>
    <w:lvl w:ilvl="0" w:tplc="3D28A66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10F2A"/>
    <w:multiLevelType w:val="hybridMultilevel"/>
    <w:tmpl w:val="DD12A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172DC"/>
    <w:multiLevelType w:val="hybridMultilevel"/>
    <w:tmpl w:val="78CC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057733"/>
    <w:multiLevelType w:val="hybridMultilevel"/>
    <w:tmpl w:val="572C9258"/>
    <w:lvl w:ilvl="0" w:tplc="3D28A66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FF36A2"/>
    <w:multiLevelType w:val="hybridMultilevel"/>
    <w:tmpl w:val="3510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BF3059"/>
    <w:multiLevelType w:val="hybridMultilevel"/>
    <w:tmpl w:val="BA784826"/>
    <w:lvl w:ilvl="0" w:tplc="3D28A66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54135"/>
    <w:multiLevelType w:val="hybridMultilevel"/>
    <w:tmpl w:val="B830C1AA"/>
    <w:lvl w:ilvl="0" w:tplc="3D28A66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175343">
    <w:abstractNumId w:val="2"/>
  </w:num>
  <w:num w:numId="2" w16cid:durableId="381633030">
    <w:abstractNumId w:val="0"/>
  </w:num>
  <w:num w:numId="3" w16cid:durableId="818495933">
    <w:abstractNumId w:val="5"/>
  </w:num>
  <w:num w:numId="4" w16cid:durableId="251932122">
    <w:abstractNumId w:val="8"/>
  </w:num>
  <w:num w:numId="5" w16cid:durableId="137502388">
    <w:abstractNumId w:val="1"/>
  </w:num>
  <w:num w:numId="6" w16cid:durableId="1234702255">
    <w:abstractNumId w:val="9"/>
  </w:num>
  <w:num w:numId="7" w16cid:durableId="1573852741">
    <w:abstractNumId w:val="10"/>
  </w:num>
  <w:num w:numId="8" w16cid:durableId="1645743559">
    <w:abstractNumId w:val="7"/>
  </w:num>
  <w:num w:numId="9" w16cid:durableId="1179851160">
    <w:abstractNumId w:val="3"/>
  </w:num>
  <w:num w:numId="10" w16cid:durableId="602222672">
    <w:abstractNumId w:val="4"/>
  </w:num>
  <w:num w:numId="11" w16cid:durableId="2057311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F9"/>
    <w:rsid w:val="001545F8"/>
    <w:rsid w:val="00172B33"/>
    <w:rsid w:val="00180385"/>
    <w:rsid w:val="00296C7B"/>
    <w:rsid w:val="003018DD"/>
    <w:rsid w:val="0031186C"/>
    <w:rsid w:val="005D6D89"/>
    <w:rsid w:val="00605E58"/>
    <w:rsid w:val="00692822"/>
    <w:rsid w:val="006B7E5A"/>
    <w:rsid w:val="00C57614"/>
    <w:rsid w:val="00CF5ECB"/>
    <w:rsid w:val="00D338F9"/>
    <w:rsid w:val="00FE7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8F36"/>
  <w15:chartTrackingRefBased/>
  <w15:docId w15:val="{29BE9DEA-789C-436E-B0B9-7714A55C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3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8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8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8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38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8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8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8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8F9"/>
    <w:rPr>
      <w:rFonts w:eastAsiaTheme="majorEastAsia" w:cstheme="majorBidi"/>
      <w:color w:val="272727" w:themeColor="text1" w:themeTint="D8"/>
    </w:rPr>
  </w:style>
  <w:style w:type="paragraph" w:styleId="Title">
    <w:name w:val="Title"/>
    <w:basedOn w:val="Normal"/>
    <w:next w:val="Normal"/>
    <w:link w:val="TitleChar"/>
    <w:uiPriority w:val="10"/>
    <w:qFormat/>
    <w:rsid w:val="00D33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8F9"/>
    <w:pPr>
      <w:spacing w:before="160"/>
      <w:jc w:val="center"/>
    </w:pPr>
    <w:rPr>
      <w:i/>
      <w:iCs/>
      <w:color w:val="404040" w:themeColor="text1" w:themeTint="BF"/>
    </w:rPr>
  </w:style>
  <w:style w:type="character" w:customStyle="1" w:styleId="QuoteChar">
    <w:name w:val="Quote Char"/>
    <w:basedOn w:val="DefaultParagraphFont"/>
    <w:link w:val="Quote"/>
    <w:uiPriority w:val="29"/>
    <w:rsid w:val="00D338F9"/>
    <w:rPr>
      <w:i/>
      <w:iCs/>
      <w:color w:val="404040" w:themeColor="text1" w:themeTint="BF"/>
    </w:rPr>
  </w:style>
  <w:style w:type="paragraph" w:styleId="ListParagraph">
    <w:name w:val="List Paragraph"/>
    <w:basedOn w:val="Normal"/>
    <w:uiPriority w:val="34"/>
    <w:qFormat/>
    <w:rsid w:val="00D338F9"/>
    <w:pPr>
      <w:ind w:left="720"/>
      <w:contextualSpacing/>
    </w:pPr>
  </w:style>
  <w:style w:type="character" w:styleId="IntenseEmphasis">
    <w:name w:val="Intense Emphasis"/>
    <w:basedOn w:val="DefaultParagraphFont"/>
    <w:uiPriority w:val="21"/>
    <w:qFormat/>
    <w:rsid w:val="00D338F9"/>
    <w:rPr>
      <w:i/>
      <w:iCs/>
      <w:color w:val="0F4761" w:themeColor="accent1" w:themeShade="BF"/>
    </w:rPr>
  </w:style>
  <w:style w:type="paragraph" w:styleId="IntenseQuote">
    <w:name w:val="Intense Quote"/>
    <w:basedOn w:val="Normal"/>
    <w:next w:val="Normal"/>
    <w:link w:val="IntenseQuoteChar"/>
    <w:uiPriority w:val="30"/>
    <w:qFormat/>
    <w:rsid w:val="00D33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8F9"/>
    <w:rPr>
      <w:i/>
      <w:iCs/>
      <w:color w:val="0F4761" w:themeColor="accent1" w:themeShade="BF"/>
    </w:rPr>
  </w:style>
  <w:style w:type="character" w:styleId="IntenseReference">
    <w:name w:val="Intense Reference"/>
    <w:basedOn w:val="DefaultParagraphFont"/>
    <w:uiPriority w:val="32"/>
    <w:qFormat/>
    <w:rsid w:val="00D338F9"/>
    <w:rPr>
      <w:b/>
      <w:bCs/>
      <w:smallCaps/>
      <w:color w:val="0F4761" w:themeColor="accent1" w:themeShade="BF"/>
      <w:spacing w:val="5"/>
    </w:rPr>
  </w:style>
  <w:style w:type="table" w:styleId="PlainTable2">
    <w:name w:val="Plain Table 2"/>
    <w:basedOn w:val="TableNormal"/>
    <w:uiPriority w:val="42"/>
    <w:rsid w:val="00D338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2125</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amirali Broomand</dc:creator>
  <cp:keywords/>
  <dc:description/>
  <cp:lastModifiedBy>amirali Broomand</cp:lastModifiedBy>
  <cp:revision>4</cp:revision>
  <dcterms:created xsi:type="dcterms:W3CDTF">2026-04-06T08:58:00Z</dcterms:created>
  <dcterms:modified xsi:type="dcterms:W3CDTF">2026-04-06T10:21:00Z</dcterms:modified>
</cp:coreProperties>
</file>