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54E3" w:rsidRDefault="003554E3" w:rsidP="003554E3">
      <w:pPr>
        <w:pStyle w:val="Caption"/>
        <w:keepNext/>
        <w:adjustRightInd w:val="0"/>
        <w:snapToGrid w:val="0"/>
        <w:spacing w:after="0" w:line="360" w:lineRule="auto"/>
        <w:jc w:val="center"/>
        <w:rPr>
          <w:rFonts w:cs="Times New Roman"/>
          <w:i w:val="0"/>
          <w:iCs w:val="0"/>
          <w:color w:val="000000" w:themeColor="text1"/>
          <w:sz w:val="22"/>
          <w:szCs w:val="22"/>
          <w:lang w:val="en-US"/>
        </w:rPr>
      </w:pPr>
      <w:bookmarkStart w:id="0" w:name="_Ref80268507"/>
      <w:r w:rsidRPr="008918D2">
        <w:rPr>
          <w:rFonts w:cs="Times New Roman"/>
          <w:b/>
          <w:bCs/>
          <w:i w:val="0"/>
          <w:iCs w:val="0"/>
          <w:color w:val="000000" w:themeColor="text1"/>
          <w:sz w:val="22"/>
          <w:szCs w:val="22"/>
          <w:lang w:val="en-US"/>
        </w:rPr>
        <w:t xml:space="preserve">Table </w:t>
      </w:r>
      <w:r w:rsidRPr="008918D2">
        <w:rPr>
          <w:rFonts w:cs="Times New Roman"/>
          <w:b/>
          <w:bCs/>
          <w:i w:val="0"/>
          <w:iCs w:val="0"/>
          <w:color w:val="000000" w:themeColor="text1"/>
          <w:sz w:val="22"/>
          <w:szCs w:val="22"/>
        </w:rPr>
        <w:fldChar w:fldCharType="begin"/>
      </w:r>
      <w:r w:rsidRPr="008918D2">
        <w:rPr>
          <w:rFonts w:cs="Times New Roman"/>
          <w:b/>
          <w:bCs/>
          <w:i w:val="0"/>
          <w:iCs w:val="0"/>
          <w:color w:val="000000" w:themeColor="text1"/>
          <w:sz w:val="22"/>
          <w:szCs w:val="22"/>
          <w:lang w:val="en-US"/>
        </w:rPr>
        <w:instrText xml:space="preserve"> SEQ Table \* ARABIC </w:instrText>
      </w:r>
      <w:r w:rsidRPr="008918D2">
        <w:rPr>
          <w:rFonts w:cs="Times New Roman"/>
          <w:b/>
          <w:bCs/>
          <w:i w:val="0"/>
          <w:iCs w:val="0"/>
          <w:color w:val="000000" w:themeColor="text1"/>
          <w:sz w:val="22"/>
          <w:szCs w:val="22"/>
        </w:rPr>
        <w:fldChar w:fldCharType="separate"/>
      </w:r>
      <w:r>
        <w:rPr>
          <w:rFonts w:cs="Times New Roman"/>
          <w:b/>
          <w:bCs/>
          <w:i w:val="0"/>
          <w:iCs w:val="0"/>
          <w:noProof/>
          <w:color w:val="000000" w:themeColor="text1"/>
          <w:sz w:val="22"/>
          <w:szCs w:val="22"/>
          <w:lang w:val="en-US"/>
        </w:rPr>
        <w:t>1</w:t>
      </w:r>
      <w:r w:rsidRPr="008918D2">
        <w:rPr>
          <w:rFonts w:cs="Times New Roman"/>
          <w:b/>
          <w:bCs/>
          <w:i w:val="0"/>
          <w:iCs w:val="0"/>
          <w:color w:val="000000" w:themeColor="text1"/>
          <w:sz w:val="22"/>
          <w:szCs w:val="22"/>
        </w:rPr>
        <w:fldChar w:fldCharType="end"/>
      </w:r>
      <w:bookmarkEnd w:id="0"/>
      <w:r w:rsidRPr="008918D2">
        <w:rPr>
          <w:rFonts w:cs="Times New Roman"/>
          <w:b/>
          <w:bCs/>
          <w:i w:val="0"/>
          <w:iCs w:val="0"/>
          <w:color w:val="000000" w:themeColor="text1"/>
          <w:sz w:val="22"/>
          <w:szCs w:val="22"/>
          <w:lang w:val="en-US"/>
        </w:rPr>
        <w:t xml:space="preserve"> </w:t>
      </w:r>
      <w:r w:rsidRPr="008918D2">
        <w:rPr>
          <w:rFonts w:cs="Times New Roman"/>
          <w:i w:val="0"/>
          <w:iCs w:val="0"/>
          <w:color w:val="000000" w:themeColor="text1"/>
          <w:sz w:val="22"/>
          <w:szCs w:val="22"/>
          <w:lang w:val="en-US"/>
        </w:rPr>
        <w:t>Chemical structures of approved and clinically tested chalcones</w:t>
      </w:r>
    </w:p>
    <w:tbl>
      <w:tblPr>
        <w:tblStyle w:val="TableGrid"/>
        <w:tblW w:w="8193" w:type="dxa"/>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429"/>
        <w:gridCol w:w="1601"/>
        <w:gridCol w:w="2014"/>
        <w:gridCol w:w="1149"/>
      </w:tblGrid>
      <w:tr w:rsidR="003554E3" w:rsidRPr="008918D2" w:rsidTr="00CB379D">
        <w:trPr>
          <w:jc w:val="center"/>
        </w:trPr>
        <w:tc>
          <w:tcPr>
            <w:tcW w:w="0" w:type="auto"/>
            <w:tcBorders>
              <w:top w:val="single" w:sz="4" w:space="0" w:color="auto"/>
              <w:bottom w:val="single" w:sz="4" w:space="0" w:color="auto"/>
              <w:right w:val="nil"/>
            </w:tcBorders>
            <w:vAlign w:val="center"/>
          </w:tcPr>
          <w:p w:rsidR="003554E3" w:rsidRPr="008918D2" w:rsidRDefault="003554E3" w:rsidP="00CB379D">
            <w:pPr>
              <w:jc w:val="center"/>
              <w:rPr>
                <w:rFonts w:cs="Times New Roman"/>
                <w:b/>
                <w:bCs/>
                <w:color w:val="000000" w:themeColor="text1"/>
                <w:sz w:val="20"/>
                <w:szCs w:val="20"/>
                <w:lang w:val="en-US"/>
              </w:rPr>
            </w:pPr>
            <w:r w:rsidRPr="008918D2">
              <w:rPr>
                <w:rFonts w:cs="Times New Roman"/>
                <w:b/>
                <w:bCs/>
                <w:color w:val="000000" w:themeColor="text1"/>
                <w:sz w:val="20"/>
                <w:szCs w:val="20"/>
                <w:lang w:val="en-US"/>
              </w:rPr>
              <w:t>Chemical structure</w:t>
            </w:r>
          </w:p>
        </w:tc>
        <w:tc>
          <w:tcPr>
            <w:tcW w:w="1694" w:type="dxa"/>
            <w:tcBorders>
              <w:top w:val="single" w:sz="4" w:space="0" w:color="auto"/>
              <w:left w:val="nil"/>
              <w:bottom w:val="single" w:sz="4" w:space="0" w:color="auto"/>
              <w:right w:val="nil"/>
            </w:tcBorders>
            <w:vAlign w:val="center"/>
          </w:tcPr>
          <w:p w:rsidR="003554E3" w:rsidRPr="008918D2" w:rsidRDefault="003554E3" w:rsidP="00CB379D">
            <w:pPr>
              <w:jc w:val="center"/>
              <w:rPr>
                <w:rFonts w:cs="Times New Roman"/>
                <w:b/>
                <w:bCs/>
                <w:color w:val="000000" w:themeColor="text1"/>
                <w:sz w:val="20"/>
                <w:szCs w:val="20"/>
                <w:lang w:val="en-US"/>
              </w:rPr>
            </w:pPr>
            <w:r w:rsidRPr="008918D2">
              <w:rPr>
                <w:rFonts w:cs="Times New Roman"/>
                <w:b/>
                <w:bCs/>
                <w:color w:val="000000" w:themeColor="text1"/>
                <w:sz w:val="20"/>
                <w:szCs w:val="20"/>
                <w:lang w:val="en-US"/>
              </w:rPr>
              <w:t>Activity</w:t>
            </w:r>
          </w:p>
        </w:tc>
        <w:tc>
          <w:tcPr>
            <w:tcW w:w="2815" w:type="dxa"/>
            <w:tcBorders>
              <w:top w:val="single" w:sz="4" w:space="0" w:color="auto"/>
              <w:left w:val="nil"/>
              <w:bottom w:val="single" w:sz="4" w:space="0" w:color="auto"/>
              <w:right w:val="nil"/>
            </w:tcBorders>
            <w:vAlign w:val="center"/>
          </w:tcPr>
          <w:p w:rsidR="003554E3" w:rsidRPr="008918D2" w:rsidRDefault="003554E3" w:rsidP="00CB379D">
            <w:pPr>
              <w:jc w:val="center"/>
              <w:rPr>
                <w:rFonts w:cs="Times New Roman"/>
                <w:b/>
                <w:bCs/>
                <w:color w:val="000000" w:themeColor="text1"/>
                <w:sz w:val="20"/>
                <w:szCs w:val="20"/>
                <w:lang w:val="en-US"/>
              </w:rPr>
            </w:pPr>
            <w:r w:rsidRPr="008918D2">
              <w:rPr>
                <w:rFonts w:cs="Times New Roman"/>
                <w:b/>
                <w:bCs/>
                <w:color w:val="000000" w:themeColor="text1"/>
                <w:sz w:val="20"/>
                <w:szCs w:val="20"/>
                <w:lang w:val="en-US"/>
              </w:rPr>
              <w:t>Mechanism of action</w:t>
            </w:r>
          </w:p>
        </w:tc>
        <w:tc>
          <w:tcPr>
            <w:tcW w:w="255" w:type="dxa"/>
            <w:tcBorders>
              <w:top w:val="single" w:sz="4" w:space="0" w:color="auto"/>
              <w:left w:val="nil"/>
              <w:bottom w:val="single" w:sz="4" w:space="0" w:color="auto"/>
            </w:tcBorders>
            <w:vAlign w:val="center"/>
          </w:tcPr>
          <w:p w:rsidR="003554E3" w:rsidRPr="008918D2" w:rsidRDefault="003554E3" w:rsidP="00CB379D">
            <w:pPr>
              <w:jc w:val="center"/>
              <w:rPr>
                <w:rFonts w:cs="Times New Roman"/>
                <w:b/>
                <w:bCs/>
                <w:color w:val="000000" w:themeColor="text1"/>
                <w:sz w:val="20"/>
                <w:szCs w:val="20"/>
                <w:lang w:val="en-US"/>
              </w:rPr>
            </w:pPr>
            <w:r w:rsidRPr="008918D2">
              <w:rPr>
                <w:rFonts w:cs="Times New Roman"/>
                <w:b/>
                <w:bCs/>
                <w:color w:val="000000" w:themeColor="text1"/>
                <w:sz w:val="20"/>
                <w:szCs w:val="20"/>
                <w:lang w:val="en-US"/>
              </w:rPr>
              <w:t>References</w:t>
            </w:r>
          </w:p>
        </w:tc>
      </w:tr>
      <w:tr w:rsidR="003554E3" w:rsidRPr="0080550D" w:rsidTr="00CB379D">
        <w:trPr>
          <w:jc w:val="center"/>
        </w:trPr>
        <w:tc>
          <w:tcPr>
            <w:tcW w:w="0" w:type="auto"/>
            <w:tcBorders>
              <w:top w:val="single" w:sz="4" w:space="0" w:color="auto"/>
              <w:right w:val="nil"/>
            </w:tcBorders>
            <w:vAlign w:val="center"/>
          </w:tcPr>
          <w:p w:rsidR="003554E3"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Metochalcone</w:t>
            </w:r>
          </w:p>
          <w:p w:rsidR="003554E3" w:rsidRPr="0080550D" w:rsidRDefault="003554E3" w:rsidP="00CB379D">
            <w:pPr>
              <w:jc w:val="center"/>
              <w:rPr>
                <w:rFonts w:cs="Times New Roman"/>
                <w:color w:val="000000" w:themeColor="text1"/>
                <w:sz w:val="20"/>
                <w:szCs w:val="20"/>
                <w:lang w:val="en-US"/>
              </w:rPr>
            </w:pPr>
            <w:r w:rsidRPr="0080550D">
              <w:rPr>
                <w:rFonts w:cs="Times New Roman"/>
                <w:noProof/>
                <w:sz w:val="20"/>
                <w:szCs w:val="20"/>
              </w:rPr>
              <w:t xml:space="preserve"> </w:t>
            </w:r>
            <w:r w:rsidRPr="0080550D">
              <w:rPr>
                <w:rFonts w:cs="Times New Roman"/>
                <w:noProof/>
                <w:sz w:val="20"/>
                <w:szCs w:val="20"/>
                <w:lang w:val="en-US"/>
              </w:rPr>
              <w:drawing>
                <wp:inline distT="0" distB="0" distL="0" distR="0" wp14:anchorId="0CAF6319" wp14:editId="3F796357">
                  <wp:extent cx="1121434" cy="576580"/>
                  <wp:effectExtent l="0" t="0" r="2540" b="0"/>
                  <wp:docPr id="1" name="Obraz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Diagram&#10;&#10;Description automatically generated"/>
                          <pic:cNvPicPr/>
                        </pic:nvPicPr>
                        <pic:blipFill rotWithShape="1">
                          <a:blip r:embed="rId4" cstate="print"/>
                          <a:srcRect r="3051" b="24778"/>
                          <a:stretch/>
                        </pic:blipFill>
                        <pic:spPr bwMode="auto">
                          <a:xfrm>
                            <a:off x="0" y="0"/>
                            <a:ext cx="1131067" cy="581533"/>
                          </a:xfrm>
                          <a:prstGeom prst="rect">
                            <a:avLst/>
                          </a:prstGeom>
                          <a:ln>
                            <a:noFill/>
                          </a:ln>
                          <a:extLst>
                            <a:ext uri="{53640926-AAD7-44D8-BBD7-CCE9431645EC}">
                              <a14:shadowObscured xmlns:a14="http://schemas.microsoft.com/office/drawing/2010/main"/>
                            </a:ext>
                          </a:extLst>
                        </pic:spPr>
                      </pic:pic>
                    </a:graphicData>
                  </a:graphic>
                </wp:inline>
              </w:drawing>
            </w:r>
          </w:p>
        </w:tc>
        <w:tc>
          <w:tcPr>
            <w:tcW w:w="1694" w:type="dxa"/>
            <w:tcBorders>
              <w:top w:val="single" w:sz="4" w:space="0" w:color="auto"/>
              <w:left w:val="nil"/>
              <w:right w:val="nil"/>
            </w:tcBorders>
            <w:vAlign w:val="center"/>
          </w:tcPr>
          <w:p w:rsidR="003554E3" w:rsidRPr="0080550D"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 xml:space="preserve">Choleretic </w:t>
            </w:r>
          </w:p>
          <w:p w:rsidR="003554E3" w:rsidRPr="0080550D"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Diuretic</w:t>
            </w:r>
          </w:p>
        </w:tc>
        <w:tc>
          <w:tcPr>
            <w:tcW w:w="2815" w:type="dxa"/>
            <w:tcBorders>
              <w:top w:val="single" w:sz="4" w:space="0" w:color="auto"/>
              <w:left w:val="nil"/>
              <w:right w:val="nil"/>
            </w:tcBorders>
            <w:vAlign w:val="center"/>
          </w:tcPr>
          <w:p w:rsidR="003554E3" w:rsidRPr="005C129F" w:rsidRDefault="003554E3" w:rsidP="00CB379D">
            <w:pPr>
              <w:jc w:val="center"/>
              <w:rPr>
                <w:rFonts w:cs="Times New Roman"/>
                <w:color w:val="000000" w:themeColor="text1"/>
                <w:sz w:val="20"/>
                <w:szCs w:val="20"/>
              </w:rPr>
            </w:pPr>
            <w:r w:rsidRPr="005C129F">
              <w:rPr>
                <w:rFonts w:cs="Times New Roman"/>
                <w:color w:val="000000" w:themeColor="text1"/>
                <w:sz w:val="20"/>
                <w:szCs w:val="20"/>
              </w:rPr>
              <w:t>PCSK9 inhibito</w:t>
            </w:r>
            <w:r>
              <w:rPr>
                <w:rFonts w:cs="Times New Roman"/>
                <w:color w:val="000000" w:themeColor="text1"/>
                <w:sz w:val="20"/>
                <w:szCs w:val="20"/>
              </w:rPr>
              <w:t>r</w:t>
            </w:r>
          </w:p>
        </w:tc>
        <w:tc>
          <w:tcPr>
            <w:tcW w:w="255" w:type="dxa"/>
            <w:tcBorders>
              <w:top w:val="single" w:sz="4" w:space="0" w:color="auto"/>
              <w:left w:val="nil"/>
              <w:bottom w:val="single" w:sz="4" w:space="0" w:color="auto"/>
            </w:tcBorders>
            <w:vAlign w:val="center"/>
          </w:tcPr>
          <w:p w:rsidR="003554E3" w:rsidRPr="005C129F" w:rsidRDefault="003554E3" w:rsidP="00CB379D">
            <w:pPr>
              <w:jc w:val="center"/>
              <w:rPr>
                <w:rFonts w:cs="Times New Roman"/>
                <w:color w:val="000000" w:themeColor="text1"/>
                <w:sz w:val="20"/>
                <w:szCs w:val="20"/>
              </w:rPr>
            </w:pPr>
            <w:r>
              <w:rPr>
                <w:rFonts w:cs="Times New Roman"/>
                <w:color w:val="000000" w:themeColor="text1"/>
                <w:sz w:val="20"/>
                <w:szCs w:val="20"/>
              </w:rPr>
              <w:fldChar w:fldCharType="begin" w:fldLock="1"/>
            </w:r>
            <w:r>
              <w:rPr>
                <w:rFonts w:cs="Times New Roman"/>
                <w:color w:val="000000" w:themeColor="text1"/>
                <w:sz w:val="20"/>
                <w:szCs w:val="20"/>
              </w:rPr>
              <w:instrText>ADDIN CSL_CITATION {"citationItems":[{"id":"ITEM-1","itemData":{"DOI":"10.2174/092986712803414132","ISSN":"1875-533X","PMID":"22320299","abstract":"Chalcones (1,3-diaryl-2-propen-1-ones) and their heterocyclic analogues, belong to the flavonoid family, which possess a number of interesting biological properties such as antioxidant, cytotoxic, anticancer, antimicrobial, antiprotozoal, antiulcer, antihistaminic and anti-inflammatory activities. Several pure chalcones have been approved for clinical use or tested in humans. Clinical trials have shown that these compounds reached reasonable plasma concentration and are well-tolerated. For this reason they are an object of continuously growing interest amongst the scientists. However, much of the pharmacological potential of chalcones is still not utilized. The purpose of this review is to provide an overview of the pharmacological activity of naturally occurring and synthetic chalcones. This review highlights more recent pharmacological screening of these compounds, their mechanisms of action and relevant structure-activity relationships.","author":[{"dropping-particle":"","family":"NK","given":"Sahu","non-dropping-particle":"","parse-names":false,"suffix":""},{"dropping-particle":"","family":"SS","given":"Balbhadra","non-dropping-particle":"","parse-names":false,"suffix":""},{"dropping-particle":"","family":"J","given":"Choudhary","non-dropping-particle":"","parse-names":false,"suffix":""},{"dropping-particle":"","family":"DV","given":"Kohli","non-dropping-particle":"","parse-names":false,"suffix":""}],"container-title":"Current medicinal chemistry","id":"ITEM-1","issue":"2","issued":{"date-parts":[["2012","10"]]},"page":"209-225","publisher":"Curr Med Chem","title":"Exploring pharmacological significance of chalcone scaffold: a review","type":"article-journal","volume":"19"},"uris":["http://www.mendeley.com/documents/?uuid=84a8e0ee-d391-48f9-a0fe-c39507f7743e"]}],"mendeley":{"formattedCitation":"&lt;sup&gt;4&lt;/sup&gt;","plainTextFormattedCitation":"4","previouslyFormattedCitation":"&lt;sup&gt;5&lt;/sup&gt;"},"properties":{"noteIndex":0},"schema":"https://github.com/citation-style-language/schema/raw/master/csl-citation.json"}</w:instrText>
            </w:r>
            <w:r>
              <w:rPr>
                <w:rFonts w:cs="Times New Roman"/>
                <w:color w:val="000000" w:themeColor="text1"/>
                <w:sz w:val="20"/>
                <w:szCs w:val="20"/>
              </w:rPr>
              <w:fldChar w:fldCharType="separate"/>
            </w:r>
            <w:r w:rsidRPr="005448BF">
              <w:rPr>
                <w:rFonts w:cs="Times New Roman"/>
                <w:noProof/>
                <w:color w:val="000000" w:themeColor="text1"/>
                <w:sz w:val="20"/>
                <w:szCs w:val="20"/>
                <w:vertAlign w:val="superscript"/>
              </w:rPr>
              <w:t>4</w:t>
            </w:r>
            <w:r>
              <w:rPr>
                <w:rFonts w:cs="Times New Roman"/>
                <w:color w:val="000000" w:themeColor="text1"/>
                <w:sz w:val="20"/>
                <w:szCs w:val="20"/>
              </w:rPr>
              <w:fldChar w:fldCharType="end"/>
            </w:r>
          </w:p>
        </w:tc>
      </w:tr>
      <w:tr w:rsidR="003554E3" w:rsidRPr="008D69BA" w:rsidTr="00CB379D">
        <w:trPr>
          <w:jc w:val="center"/>
        </w:trPr>
        <w:tc>
          <w:tcPr>
            <w:tcW w:w="0" w:type="auto"/>
            <w:tcBorders>
              <w:right w:val="nil"/>
            </w:tcBorders>
            <w:vAlign w:val="center"/>
          </w:tcPr>
          <w:p w:rsidR="003554E3" w:rsidRDefault="003554E3" w:rsidP="00CB379D">
            <w:pPr>
              <w:jc w:val="center"/>
              <w:rPr>
                <w:rFonts w:cs="Times New Roman"/>
                <w:color w:val="000000" w:themeColor="text1"/>
                <w:sz w:val="20"/>
                <w:szCs w:val="20"/>
              </w:rPr>
            </w:pPr>
            <w:r w:rsidRPr="0080550D">
              <w:rPr>
                <w:rFonts w:cs="Times New Roman"/>
                <w:color w:val="000000" w:themeColor="text1"/>
                <w:sz w:val="20"/>
                <w:szCs w:val="20"/>
                <w:lang w:val="en-US"/>
              </w:rPr>
              <w:t>S</w:t>
            </w:r>
            <w:r w:rsidRPr="0080550D">
              <w:rPr>
                <w:rFonts w:cs="Times New Roman"/>
                <w:color w:val="000000" w:themeColor="text1"/>
                <w:sz w:val="20"/>
                <w:szCs w:val="20"/>
              </w:rPr>
              <w:t>ofalcone</w:t>
            </w:r>
          </w:p>
          <w:p w:rsidR="003554E3" w:rsidRPr="0080550D" w:rsidRDefault="003554E3" w:rsidP="00CB379D">
            <w:pPr>
              <w:jc w:val="center"/>
              <w:rPr>
                <w:rFonts w:cs="Times New Roman"/>
                <w:color w:val="000000" w:themeColor="text1"/>
                <w:sz w:val="20"/>
                <w:szCs w:val="20"/>
                <w:lang w:val="en-US"/>
              </w:rPr>
            </w:pPr>
            <w:r w:rsidRPr="0080550D">
              <w:rPr>
                <w:rFonts w:cs="Times New Roman"/>
                <w:noProof/>
                <w:color w:val="000000" w:themeColor="text1"/>
                <w:sz w:val="20"/>
                <w:szCs w:val="20"/>
                <w:lang w:val="en-US"/>
              </w:rPr>
              <w:t xml:space="preserve"> </w:t>
            </w:r>
            <w:r w:rsidRPr="0080550D">
              <w:rPr>
                <w:rFonts w:cs="Times New Roman"/>
                <w:noProof/>
                <w:color w:val="000000" w:themeColor="text1"/>
                <w:sz w:val="20"/>
                <w:szCs w:val="20"/>
                <w:lang w:val="en-US"/>
              </w:rPr>
              <w:drawing>
                <wp:inline distT="0" distB="0" distL="0" distR="0" wp14:anchorId="2EE4CF5B" wp14:editId="1AF3AC3B">
                  <wp:extent cx="1417609" cy="988449"/>
                  <wp:effectExtent l="0" t="0" r="0" b="2540"/>
                  <wp:docPr id="17" name="Obraz 17"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 17" descr="Shape&#10;&#10;Description automatically generated with low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51509" cy="1012086"/>
                          </a:xfrm>
                          <a:prstGeom prst="rect">
                            <a:avLst/>
                          </a:prstGeom>
                          <a:noFill/>
                        </pic:spPr>
                      </pic:pic>
                    </a:graphicData>
                  </a:graphic>
                </wp:inline>
              </w:drawing>
            </w:r>
            <w:hyperlink r:id="rId6" w:history="1"/>
          </w:p>
        </w:tc>
        <w:tc>
          <w:tcPr>
            <w:tcW w:w="1694" w:type="dxa"/>
            <w:tcBorders>
              <w:left w:val="nil"/>
              <w:right w:val="nil"/>
            </w:tcBorders>
            <w:vAlign w:val="center"/>
          </w:tcPr>
          <w:p w:rsidR="003554E3" w:rsidRPr="0080550D"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Anti-ulcer</w:t>
            </w:r>
          </w:p>
          <w:p w:rsidR="003554E3" w:rsidRPr="0080550D"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Mucoprotective</w:t>
            </w:r>
          </w:p>
        </w:tc>
        <w:tc>
          <w:tcPr>
            <w:tcW w:w="2815" w:type="dxa"/>
            <w:tcBorders>
              <w:left w:val="nil"/>
              <w:right w:val="nil"/>
            </w:tcBorders>
            <w:vAlign w:val="center"/>
          </w:tcPr>
          <w:p w:rsidR="003554E3" w:rsidRPr="0080550D"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H2-receptor antagonist</w:t>
            </w:r>
          </w:p>
        </w:tc>
        <w:tc>
          <w:tcPr>
            <w:tcW w:w="255" w:type="dxa"/>
            <w:tcBorders>
              <w:top w:val="single" w:sz="4" w:space="0" w:color="auto"/>
              <w:left w:val="nil"/>
              <w:bottom w:val="single" w:sz="4" w:space="0" w:color="auto"/>
            </w:tcBorders>
            <w:vAlign w:val="center"/>
          </w:tcPr>
          <w:p w:rsidR="003554E3" w:rsidRPr="0080550D"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fldChar w:fldCharType="begin" w:fldLock="1"/>
            </w:r>
            <w:r>
              <w:rPr>
                <w:rFonts w:cs="Times New Roman"/>
                <w:color w:val="000000" w:themeColor="text1"/>
                <w:sz w:val="20"/>
                <w:szCs w:val="20"/>
                <w:lang w:val="en-US"/>
              </w:rPr>
              <w:instrText>ADDIN CSL_CITATION {"citationItems":[{"id":"ITEM-1","itemData":{"DOI":"10.1111/J.1440-1746.2010.06232.X","ISSN":"1440-1746","PMID":"20586860","abstract":"Background and Aims: According to reports in Japanese patients, 1 week of Helicobacter pylori eradication therapy alone is not adequate for healing of gastric ulcers; 7-8 weeks of anti-ulcer therapy are subsequently required. We compared a gastroprotective drug, sofalcone, and an H2-receptor antagonist, cimetidine, in terms of promoting ulcer healing after 7 weeks of administration following 1 week of eradication therapy. Methods: Eradication therapy was administered to 64 patients with H. pylori-positive active gastric ulcer at least 10 mm in diameter, after which 32 patients each received 7 weeks of ulcer treatment with sofalcone (300 mg/day) or cimetidine (800 mg/day). Results: The H. pylori eradication rate was 81.3% (intention-to-treat: ITT) and 81.3% (per protocol: PP) in the sofalcone group, and 62.5% (ITT) and 64.5% (PP) in the cimetidine group. The ulcer healing rate after 8 weeks was 71.9% (ITT) and 71.9% (PP) in the sofalcone group, and 71.9% (ITT) and 71.0% (PP) in the cimetidine group. The rate of a flat pattern of scarred mucosa was 43.5% (ITT) and 43.5% (PP) in the sofalcone group, and 47.8% (ITT) and 50.0% (PP) in the cimetidine group. No significant differences were seen between the two groups in terms of H. pylori eradication rate, ulcer healing rate and flat pattern rate. Conclusion: Sofalcone promoted gastric ulcer healing during 7 weeks of treatment following 1 week of eradication therapy, and the healing rate was equivalent to that of cimetidine. Symptom disappearance rates were significantly better in the sofalcone group than in the cimetidine group. This may be a useful way of using a gastroprotective drug in the H. pylori era. © 2010 Journal of Gastroenterology and Hepatology Foundation and Blackwell Publishing Asia Pty Ltd.","author":[{"dropping-particle":"","family":"K","given":"Higuchi","non-dropping-particle":"","parse-names":false,"suffix":""},{"dropping-particle":"","family":"T","given":"Watanabe","non-dropping-particle":"","parse-names":false,"suffix":""},{"dropping-particle":"","family":"T","given":"Tanigawa","non-dropping-particle":"","parse-names":false,"suffix":""},{"dropping-particle":"","family":"K","given":"Tominaga","non-dropping-particle":"","parse-names":false,"suffix":""},{"dropping-particle":"","family":"Y","given":"Fujiwara","non-dropping-particle":"","parse-names":false,"suffix":""},{"dropping-particle":"","family":"T","given":"Arakawa","non-dropping-particle":"","parse-names":false,"suffix":""}],"container-title":"Journal of gastroenterology and hepatology","id":"ITEM-1","issue":"SUPPL. 1","issued":{"date-parts":[["2010"]]},"publisher":"J Gastroenterol Hepatol","title":"Sofalcone, a gastroprotective drug, promotes gastric ulcer healing following eradication therapy for Helicobacter pylori: a randomized controlled comparative trial with cimetidine, an H2-receptor antagonist","type":"article-journal","volume":"25 Suppl 1"},"uris":["http://www.mendeley.com/documents/?uuid=df706b7b-2876-3c48-866c-a0ed86a59d85","http://www.mendeley.com/documents/?uuid=5c568cc8-3c68-4732-9096-e5ff6b3095e1"]}],"mendeley":{"formattedCitation":"&lt;sup&gt;5&lt;/sup&gt;","plainTextFormattedCitation":"5","previouslyFormattedCitation":"&lt;sup&gt;6&lt;/sup&gt;"},"properties":{"noteIndex":0},"schema":"https://github.com/citation-style-language/schema/raw/master/csl-citation.json"}</w:instrText>
            </w:r>
            <w:r w:rsidRPr="0080550D">
              <w:rPr>
                <w:rFonts w:cs="Times New Roman"/>
                <w:color w:val="000000" w:themeColor="text1"/>
                <w:sz w:val="20"/>
                <w:szCs w:val="20"/>
                <w:lang w:val="en-US"/>
              </w:rPr>
              <w:fldChar w:fldCharType="separate"/>
            </w:r>
            <w:r w:rsidRPr="005448BF">
              <w:rPr>
                <w:rFonts w:cs="Times New Roman"/>
                <w:noProof/>
                <w:color w:val="000000" w:themeColor="text1"/>
                <w:sz w:val="20"/>
                <w:szCs w:val="20"/>
                <w:vertAlign w:val="superscript"/>
                <w:lang w:val="en-US"/>
              </w:rPr>
              <w:t>5</w:t>
            </w:r>
            <w:r w:rsidRPr="0080550D">
              <w:rPr>
                <w:rFonts w:cs="Times New Roman"/>
                <w:color w:val="000000" w:themeColor="text1"/>
                <w:sz w:val="20"/>
                <w:szCs w:val="20"/>
                <w:lang w:val="en-US"/>
              </w:rPr>
              <w:fldChar w:fldCharType="end"/>
            </w:r>
          </w:p>
        </w:tc>
      </w:tr>
      <w:tr w:rsidR="003554E3" w:rsidRPr="008D69BA" w:rsidTr="00CB379D">
        <w:trPr>
          <w:jc w:val="center"/>
        </w:trPr>
        <w:tc>
          <w:tcPr>
            <w:tcW w:w="0" w:type="auto"/>
            <w:tcBorders>
              <w:bottom w:val="single" w:sz="4" w:space="0" w:color="auto"/>
              <w:right w:val="nil"/>
            </w:tcBorders>
            <w:vAlign w:val="center"/>
          </w:tcPr>
          <w:p w:rsidR="003554E3"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Isoliquiritigenin</w:t>
            </w:r>
          </w:p>
          <w:p w:rsidR="003554E3" w:rsidRDefault="003554E3" w:rsidP="00CB379D">
            <w:pPr>
              <w:jc w:val="center"/>
              <w:rPr>
                <w:rFonts w:cs="Times New Roman"/>
                <w:color w:val="000000" w:themeColor="text1"/>
                <w:sz w:val="20"/>
                <w:szCs w:val="20"/>
                <w:lang w:val="en-US"/>
              </w:rPr>
            </w:pPr>
          </w:p>
          <w:p w:rsidR="003554E3" w:rsidRPr="0080550D" w:rsidRDefault="003554E3" w:rsidP="00CB379D">
            <w:pPr>
              <w:jc w:val="center"/>
              <w:rPr>
                <w:rFonts w:cs="Times New Roman"/>
                <w:color w:val="000000" w:themeColor="text1"/>
                <w:sz w:val="20"/>
                <w:szCs w:val="20"/>
                <w:lang w:val="en-US"/>
              </w:rPr>
            </w:pPr>
            <w:r w:rsidRPr="0080550D">
              <w:rPr>
                <w:rFonts w:cs="Times New Roman"/>
                <w:noProof/>
                <w:color w:val="000000" w:themeColor="text1"/>
                <w:sz w:val="20"/>
                <w:szCs w:val="20"/>
                <w:lang w:val="en-US"/>
              </w:rPr>
              <w:drawing>
                <wp:inline distT="0" distB="0" distL="0" distR="0" wp14:anchorId="11230291" wp14:editId="072631D2">
                  <wp:extent cx="1447800" cy="812125"/>
                  <wp:effectExtent l="0" t="0" r="0" b="7620"/>
                  <wp:docPr id="18" name="Obraz 18"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Obraz 18" descr="Shape&#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72618" cy="826046"/>
                          </a:xfrm>
                          <a:prstGeom prst="rect">
                            <a:avLst/>
                          </a:prstGeom>
                          <a:noFill/>
                        </pic:spPr>
                      </pic:pic>
                    </a:graphicData>
                  </a:graphic>
                </wp:inline>
              </w:drawing>
            </w:r>
          </w:p>
        </w:tc>
        <w:tc>
          <w:tcPr>
            <w:tcW w:w="1694" w:type="dxa"/>
            <w:tcBorders>
              <w:left w:val="nil"/>
              <w:bottom w:val="single" w:sz="4" w:space="0" w:color="auto"/>
              <w:right w:val="nil"/>
            </w:tcBorders>
            <w:vAlign w:val="center"/>
          </w:tcPr>
          <w:p w:rsidR="003554E3" w:rsidRPr="003C5A24" w:rsidRDefault="003554E3" w:rsidP="00CB379D">
            <w:pPr>
              <w:jc w:val="center"/>
              <w:rPr>
                <w:rFonts w:cs="Times New Roman"/>
                <w:color w:val="000000" w:themeColor="text1"/>
                <w:sz w:val="20"/>
                <w:szCs w:val="20"/>
                <w:lang w:val="en-US"/>
              </w:rPr>
            </w:pPr>
            <w:r w:rsidRPr="003C5A24">
              <w:rPr>
                <w:rFonts w:cs="Times New Roman"/>
                <w:color w:val="000000" w:themeColor="text1"/>
                <w:sz w:val="20"/>
                <w:szCs w:val="20"/>
                <w:lang w:val="en-US"/>
              </w:rPr>
              <w:t>Antioxidant</w:t>
            </w:r>
          </w:p>
          <w:p w:rsidR="003554E3" w:rsidRPr="003C5A24" w:rsidRDefault="003554E3" w:rsidP="00CB379D">
            <w:pPr>
              <w:jc w:val="center"/>
              <w:rPr>
                <w:rFonts w:cs="Times New Roman"/>
                <w:color w:val="000000" w:themeColor="text1"/>
                <w:sz w:val="20"/>
                <w:szCs w:val="20"/>
                <w:lang w:val="en-US"/>
              </w:rPr>
            </w:pPr>
            <w:r w:rsidRPr="003C5A24">
              <w:rPr>
                <w:rFonts w:cs="Times New Roman"/>
                <w:color w:val="000000" w:themeColor="text1"/>
                <w:sz w:val="20"/>
                <w:szCs w:val="20"/>
                <w:lang w:val="en-US"/>
              </w:rPr>
              <w:t>Anti-inflammatory</w:t>
            </w:r>
          </w:p>
        </w:tc>
        <w:tc>
          <w:tcPr>
            <w:tcW w:w="2815" w:type="dxa"/>
            <w:tcBorders>
              <w:left w:val="nil"/>
              <w:bottom w:val="single" w:sz="4" w:space="0" w:color="auto"/>
              <w:right w:val="nil"/>
            </w:tcBorders>
            <w:vAlign w:val="center"/>
          </w:tcPr>
          <w:p w:rsidR="003554E3" w:rsidRPr="003C5A24" w:rsidRDefault="003554E3" w:rsidP="00CB379D">
            <w:pPr>
              <w:jc w:val="center"/>
              <w:rPr>
                <w:rFonts w:cs="Times New Roman"/>
                <w:color w:val="000000" w:themeColor="text1"/>
                <w:sz w:val="20"/>
                <w:szCs w:val="20"/>
                <w:lang w:val="en-US"/>
              </w:rPr>
            </w:pPr>
            <w:r w:rsidRPr="003C5A24">
              <w:rPr>
                <w:rFonts w:cs="Times New Roman"/>
                <w:color w:val="000000" w:themeColor="text1"/>
                <w:sz w:val="20"/>
                <w:szCs w:val="20"/>
                <w:lang w:val="en-US"/>
              </w:rPr>
              <w:t>EC 1.14.18.1 inhibitor</w:t>
            </w:r>
          </w:p>
          <w:p w:rsidR="003554E3" w:rsidRPr="003C5A24" w:rsidRDefault="003554E3" w:rsidP="00CB379D">
            <w:pPr>
              <w:jc w:val="center"/>
              <w:rPr>
                <w:rFonts w:cs="Times New Roman"/>
                <w:color w:val="000000" w:themeColor="text1"/>
                <w:sz w:val="20"/>
                <w:szCs w:val="20"/>
                <w:lang w:val="en-US"/>
              </w:rPr>
            </w:pPr>
            <w:r w:rsidRPr="003C5A24">
              <w:rPr>
                <w:rFonts w:cs="Times New Roman"/>
                <w:color w:val="000000" w:themeColor="text1"/>
                <w:sz w:val="20"/>
                <w:szCs w:val="20"/>
                <w:lang w:val="en-US"/>
              </w:rPr>
              <w:t>NMDA receptor antagonist</w:t>
            </w:r>
          </w:p>
          <w:p w:rsidR="003554E3" w:rsidRPr="003C5A24" w:rsidRDefault="003554E3" w:rsidP="00CB379D">
            <w:pPr>
              <w:jc w:val="center"/>
              <w:rPr>
                <w:rFonts w:cs="Times New Roman"/>
                <w:color w:val="000000" w:themeColor="text1"/>
                <w:sz w:val="20"/>
                <w:szCs w:val="20"/>
                <w:lang w:val="en-US"/>
              </w:rPr>
            </w:pPr>
            <w:r w:rsidRPr="003C5A24">
              <w:rPr>
                <w:rFonts w:cs="Times New Roman"/>
                <w:color w:val="000000" w:themeColor="text1"/>
                <w:sz w:val="20"/>
                <w:szCs w:val="20"/>
                <w:lang w:val="en-US"/>
              </w:rPr>
              <w:t xml:space="preserve"> GABA-A benzodiapine receptor positive allosteric modulator</w:t>
            </w:r>
          </w:p>
        </w:tc>
        <w:tc>
          <w:tcPr>
            <w:tcW w:w="255" w:type="dxa"/>
            <w:tcBorders>
              <w:top w:val="single" w:sz="4" w:space="0" w:color="auto"/>
              <w:left w:val="nil"/>
            </w:tcBorders>
            <w:vAlign w:val="center"/>
          </w:tcPr>
          <w:p w:rsidR="003554E3" w:rsidRPr="0080550D" w:rsidRDefault="003554E3" w:rsidP="00CB379D">
            <w:pPr>
              <w:jc w:val="center"/>
              <w:rPr>
                <w:rFonts w:cs="Times New Roman"/>
                <w:color w:val="000000" w:themeColor="text1"/>
                <w:sz w:val="20"/>
                <w:szCs w:val="20"/>
                <w:lang w:val="en-US"/>
              </w:rPr>
            </w:pPr>
            <w:r>
              <w:rPr>
                <w:rFonts w:cs="Times New Roman"/>
                <w:color w:val="000000" w:themeColor="text1"/>
                <w:sz w:val="20"/>
                <w:szCs w:val="20"/>
                <w:lang w:val="en-US"/>
              </w:rPr>
              <w:fldChar w:fldCharType="begin" w:fldLock="1"/>
            </w:r>
            <w:r>
              <w:rPr>
                <w:rFonts w:cs="Times New Roman"/>
                <w:color w:val="000000" w:themeColor="text1"/>
                <w:sz w:val="20"/>
                <w:szCs w:val="20"/>
                <w:lang w:val="en-US"/>
              </w:rPr>
              <w:instrText>ADDIN CSL_CITATION {"citationItems":[{"id":"ITEM-1","itemData":{"DOI":"10.1016/J.BBRC.2011.09.026","ISSN":"1090-2104","PMID":"21945440","abstract":"Isoliquiritigenin (ILTG) is a chalcone compound and has valuable pharmacological properties such as antioxidant, anti-inflammatory, anticancer, and antiallergic activities. Recently, the anxiolytic effect of ILTG has been reported; however, its action mechanism and hypnotic activity have not yet been demonstrated. Therefore, we investigated the hypnotic effect and action mechanism of ILTG. ILTG significantly potentiated the pentobarbital-induced sleep in mice at doses of 25 and 50mg/kg. The hypnotic activity of ILTG was fully inhibited by flumazenil (FLU), a specific gamma-aminobutyric acid type A (GABA A)-benzodiazepine (BZD) receptor antagonist. The binding affinity of ILTG was 0.453μM and was found to be higher than that of the reference compound, diazepam (DZP, 0.012μM). ILTG (10 -5M) potentiated GABA-evoked currents to 151% of the control level on isolated dorsal raphe neurons. ILTG has 65 times higher affinity for GABA A-BZD receptors than DZP, and the dissociation constant for ILTG was 4.0×10 -10M. The effect of ILTG on GABA currents was blocked by 10 -7M FLU and ZK-93426. These results suggest that ILTG produces hypnotic effects by positive allosteric modulation of GABA A-BZD receptors. © 2011 Elsevier Inc.","author":[{"dropping-particle":"","family":"S","given":"Cho","non-dropping-particle":"","parse-names":false,"suffix":""},{"dropping-particle":"","family":"S","given":"Kim","non-dropping-particle":"","parse-names":false,"suffix":""},{"dropping-particle":"","family":"Z","given":"Jin","non-dropping-particle":"","parse-names":false,"suffix":""},{"dropping-particle":"","family":"H","given":"Yang","non-dropping-particle":"","parse-names":false,"suffix":""},{"dropping-particle":"","family":"D","given":"Han","non-dropping-particle":"","parse-names":false,"suffix":""},{"dropping-particle":"","family":"NI","given":"Baek","non-dropping-particle":"","parse-names":false,"suffix":""},{"dropping-particle":"","family":"J","given":"Jo","non-dropping-particle":"","parse-names":false,"suffix":""},{"dropping-particle":"","family":"CW","given":"Cho","non-dropping-particle":"","parse-names":false,"suffix":""},{"dropping-particle":"","family":"JH","given":"Park","non-dropping-particle":"","parse-names":false,"suffix":""},{"dropping-particle":"","family":"M","given":"Shimizu","non-dropping-particle":"","parse-names":false,"suffix":""},{"dropping-particle":"","family":"YH","given":"Jin","non-dropping-particle":"","parse-names":false,"suffix":""}],"container-title":"Biochemical and biophysical research communications","id":"ITEM-1","issue":"4","issued":{"date-parts":[["2011","10"]]},"page":"637-642","publisher":"Biochem Biophys Res Commun","title":"Isoliquiritigenin, a chalcone compound, is a positive allosteric modulator of GABAA receptors and shows hypnotic effects","type":"article-journal","volume":"413"},"uris":["http://www.mendeley.com/documents/?uuid=b01732b3-edc4-4b3a-b67a-5596f06769a5"]}],"mendeley":{"formattedCitation":"&lt;sup&gt;6&lt;/sup&gt;","plainTextFormattedCitation":"6","previouslyFormattedCitation":"&lt;sup&gt;7&lt;/sup&gt;"},"properties":{"noteIndex":0},"schema":"https://github.com/citation-style-language/schema/raw/master/csl-citation.json"}</w:instrText>
            </w:r>
            <w:r>
              <w:rPr>
                <w:rFonts w:cs="Times New Roman"/>
                <w:color w:val="000000" w:themeColor="text1"/>
                <w:sz w:val="20"/>
                <w:szCs w:val="20"/>
                <w:lang w:val="en-US"/>
              </w:rPr>
              <w:fldChar w:fldCharType="separate"/>
            </w:r>
            <w:r w:rsidRPr="005448BF">
              <w:rPr>
                <w:rFonts w:cs="Times New Roman"/>
                <w:noProof/>
                <w:color w:val="000000" w:themeColor="text1"/>
                <w:sz w:val="20"/>
                <w:szCs w:val="20"/>
                <w:vertAlign w:val="superscript"/>
                <w:lang w:val="en-US"/>
              </w:rPr>
              <w:t>6</w:t>
            </w:r>
            <w:r>
              <w:rPr>
                <w:rFonts w:cs="Times New Roman"/>
                <w:color w:val="000000" w:themeColor="text1"/>
                <w:sz w:val="20"/>
                <w:szCs w:val="20"/>
                <w:lang w:val="en-US"/>
              </w:rPr>
              <w:fldChar w:fldCharType="end"/>
            </w:r>
          </w:p>
        </w:tc>
      </w:tr>
      <w:tr w:rsidR="003554E3" w:rsidRPr="008D69BA" w:rsidTr="00CB379D">
        <w:trPr>
          <w:jc w:val="center"/>
        </w:trPr>
        <w:tc>
          <w:tcPr>
            <w:tcW w:w="0" w:type="auto"/>
            <w:tcBorders>
              <w:top w:val="single" w:sz="4" w:space="0" w:color="auto"/>
              <w:right w:val="nil"/>
            </w:tcBorders>
            <w:vAlign w:val="center"/>
          </w:tcPr>
          <w:p w:rsidR="003554E3"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Xanthohumol</w:t>
            </w:r>
          </w:p>
          <w:p w:rsidR="003554E3" w:rsidRPr="0080550D" w:rsidRDefault="003554E3" w:rsidP="00CB379D">
            <w:pPr>
              <w:spacing w:before="240"/>
              <w:jc w:val="center"/>
              <w:rPr>
                <w:rFonts w:cs="Times New Roman"/>
                <w:color w:val="000000" w:themeColor="text1"/>
                <w:sz w:val="20"/>
                <w:szCs w:val="20"/>
                <w:lang w:val="en-US"/>
              </w:rPr>
            </w:pPr>
            <w:r w:rsidRPr="0080550D">
              <w:rPr>
                <w:rFonts w:cs="Times New Roman"/>
                <w:noProof/>
                <w:color w:val="000000" w:themeColor="text1"/>
                <w:sz w:val="20"/>
                <w:szCs w:val="20"/>
                <w:lang w:val="en-US"/>
              </w:rPr>
              <w:drawing>
                <wp:inline distT="0" distB="0" distL="0" distR="0" wp14:anchorId="5F520128" wp14:editId="68033A63">
                  <wp:extent cx="1367010" cy="990600"/>
                  <wp:effectExtent l="0" t="0" r="5080" b="0"/>
                  <wp:docPr id="22" name="Obraz 22" descr="Chemical structure of xanthohum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hemical structure of xanthohumo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2234" cy="1001632"/>
                          </a:xfrm>
                          <a:prstGeom prst="rect">
                            <a:avLst/>
                          </a:prstGeom>
                          <a:noFill/>
                          <a:ln>
                            <a:noFill/>
                          </a:ln>
                        </pic:spPr>
                      </pic:pic>
                    </a:graphicData>
                  </a:graphic>
                </wp:inline>
              </w:drawing>
            </w:r>
          </w:p>
        </w:tc>
        <w:tc>
          <w:tcPr>
            <w:tcW w:w="1694" w:type="dxa"/>
            <w:tcBorders>
              <w:top w:val="single" w:sz="4" w:space="0" w:color="auto"/>
              <w:left w:val="nil"/>
              <w:right w:val="nil"/>
            </w:tcBorders>
            <w:vAlign w:val="center"/>
          </w:tcPr>
          <w:p w:rsidR="003554E3" w:rsidRPr="003C5A24" w:rsidRDefault="003554E3" w:rsidP="00CB379D">
            <w:pPr>
              <w:jc w:val="center"/>
              <w:rPr>
                <w:rFonts w:cs="Times New Roman"/>
                <w:color w:val="000000" w:themeColor="text1"/>
                <w:sz w:val="20"/>
                <w:szCs w:val="20"/>
                <w:lang w:val="en-US"/>
              </w:rPr>
            </w:pPr>
            <w:r>
              <w:rPr>
                <w:rFonts w:cs="Times New Roman"/>
                <w:color w:val="000000" w:themeColor="text1"/>
                <w:sz w:val="20"/>
                <w:szCs w:val="20"/>
                <w:lang w:val="en-US"/>
              </w:rPr>
              <w:t>Anti</w:t>
            </w:r>
            <w:r w:rsidRPr="003C5A24">
              <w:rPr>
                <w:rFonts w:cs="Times New Roman"/>
                <w:color w:val="000000" w:themeColor="text1"/>
                <w:sz w:val="20"/>
                <w:szCs w:val="20"/>
                <w:lang w:val="en-US"/>
              </w:rPr>
              <w:t>cancer</w:t>
            </w:r>
          </w:p>
          <w:p w:rsidR="003554E3" w:rsidRPr="003C5A24" w:rsidRDefault="003554E3" w:rsidP="00CB379D">
            <w:pPr>
              <w:jc w:val="center"/>
              <w:rPr>
                <w:rFonts w:cs="Times New Roman"/>
                <w:color w:val="000000" w:themeColor="text1"/>
                <w:sz w:val="20"/>
                <w:szCs w:val="20"/>
                <w:lang w:val="en-US"/>
              </w:rPr>
            </w:pPr>
            <w:r w:rsidRPr="003C5A24">
              <w:rPr>
                <w:rFonts w:cs="Times New Roman"/>
                <w:color w:val="000000" w:themeColor="text1"/>
                <w:sz w:val="20"/>
                <w:szCs w:val="20"/>
                <w:lang w:val="en-US"/>
              </w:rPr>
              <w:t>Antioxidant</w:t>
            </w:r>
          </w:p>
          <w:p w:rsidR="003554E3" w:rsidRPr="003C5A24" w:rsidRDefault="003554E3" w:rsidP="00CB379D">
            <w:pPr>
              <w:jc w:val="center"/>
              <w:rPr>
                <w:rFonts w:cs="Times New Roman"/>
                <w:color w:val="000000" w:themeColor="text1"/>
                <w:sz w:val="20"/>
                <w:szCs w:val="20"/>
                <w:lang w:val="en-US"/>
              </w:rPr>
            </w:pPr>
            <w:r w:rsidRPr="003C5A24">
              <w:rPr>
                <w:rFonts w:cs="Times New Roman"/>
                <w:color w:val="000000" w:themeColor="text1"/>
                <w:sz w:val="20"/>
                <w:szCs w:val="20"/>
                <w:lang w:val="en-US"/>
              </w:rPr>
              <w:t>Anti-inflammatory</w:t>
            </w:r>
          </w:p>
        </w:tc>
        <w:tc>
          <w:tcPr>
            <w:tcW w:w="2815" w:type="dxa"/>
            <w:tcBorders>
              <w:top w:val="single" w:sz="4" w:space="0" w:color="auto"/>
              <w:left w:val="nil"/>
              <w:right w:val="nil"/>
            </w:tcBorders>
            <w:vAlign w:val="center"/>
          </w:tcPr>
          <w:p w:rsidR="003554E3" w:rsidRPr="003C5A24" w:rsidRDefault="003554E3" w:rsidP="00CB379D">
            <w:pPr>
              <w:jc w:val="center"/>
              <w:rPr>
                <w:rFonts w:cs="Times New Roman"/>
                <w:color w:val="000000" w:themeColor="text1"/>
                <w:sz w:val="20"/>
                <w:szCs w:val="20"/>
                <w:shd w:val="clear" w:color="auto" w:fill="FFFFFF"/>
                <w:lang w:val="en-US"/>
              </w:rPr>
            </w:pPr>
            <w:r w:rsidRPr="003C5A24">
              <w:rPr>
                <w:rFonts w:cs="Times New Roman"/>
                <w:color w:val="000000" w:themeColor="text1"/>
                <w:sz w:val="20"/>
                <w:szCs w:val="20"/>
                <w:shd w:val="clear" w:color="auto" w:fill="FFFFFF"/>
                <w:lang w:val="en-US"/>
              </w:rPr>
              <w:t>Farnesoid X receptor agonist</w:t>
            </w:r>
          </w:p>
          <w:p w:rsidR="003554E3" w:rsidRPr="003C5A24" w:rsidRDefault="003554E3" w:rsidP="00CB379D">
            <w:pPr>
              <w:jc w:val="center"/>
              <w:rPr>
                <w:rFonts w:cs="Times New Roman"/>
                <w:color w:val="000000" w:themeColor="text1"/>
                <w:sz w:val="20"/>
                <w:szCs w:val="20"/>
                <w:lang w:val="en-US"/>
              </w:rPr>
            </w:pPr>
            <w:r w:rsidRPr="003C5A24">
              <w:rPr>
                <w:rFonts w:cs="Times New Roman"/>
                <w:color w:val="000000" w:themeColor="text1"/>
                <w:sz w:val="20"/>
                <w:szCs w:val="20"/>
                <w:lang w:val="en-US"/>
              </w:rPr>
              <w:t>Inhibitor NFkB</w:t>
            </w:r>
          </w:p>
          <w:p w:rsidR="003554E3" w:rsidRPr="003C5A24" w:rsidRDefault="003554E3" w:rsidP="00CB379D">
            <w:pPr>
              <w:jc w:val="center"/>
              <w:rPr>
                <w:rFonts w:cs="Times New Roman"/>
                <w:color w:val="000000" w:themeColor="text1"/>
                <w:sz w:val="20"/>
                <w:szCs w:val="20"/>
                <w:shd w:val="clear" w:color="auto" w:fill="FFFFFF"/>
                <w:lang w:val="en-US"/>
              </w:rPr>
            </w:pPr>
            <w:r w:rsidRPr="003C5A24">
              <w:rPr>
                <w:rFonts w:cs="Times New Roman"/>
                <w:color w:val="000000" w:themeColor="text1"/>
                <w:sz w:val="20"/>
                <w:szCs w:val="20"/>
                <w:shd w:val="clear" w:color="auto" w:fill="FFFFFF"/>
                <w:lang w:val="en-US"/>
              </w:rPr>
              <w:t>Inhibitor NRF2</w:t>
            </w:r>
          </w:p>
          <w:p w:rsidR="003554E3" w:rsidRPr="003C5A24" w:rsidRDefault="003554E3" w:rsidP="00CB379D">
            <w:pPr>
              <w:jc w:val="center"/>
              <w:rPr>
                <w:rFonts w:cs="Times New Roman"/>
                <w:color w:val="000000" w:themeColor="text1"/>
                <w:sz w:val="20"/>
                <w:szCs w:val="20"/>
                <w:lang w:val="en-US"/>
              </w:rPr>
            </w:pPr>
          </w:p>
        </w:tc>
        <w:tc>
          <w:tcPr>
            <w:tcW w:w="255" w:type="dxa"/>
            <w:tcBorders>
              <w:left w:val="nil"/>
            </w:tcBorders>
            <w:vAlign w:val="center"/>
          </w:tcPr>
          <w:p w:rsidR="003554E3" w:rsidRPr="0080550D"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fldChar w:fldCharType="begin" w:fldLock="1"/>
            </w:r>
            <w:r>
              <w:rPr>
                <w:rFonts w:cs="Times New Roman"/>
                <w:color w:val="000000" w:themeColor="text1"/>
                <w:sz w:val="20"/>
                <w:szCs w:val="20"/>
                <w:lang w:val="en-US"/>
              </w:rPr>
              <w:instrText>ADDIN CSL_CITATION {"citationItems":[{"id":"ITEM-1","itemData":{"DOI":"10.1186/S13063-020-04769-2","ISSN":"1745-6215","PMID":"33028396","abstract":"Background: Natural products may provide a source for the discovery and development of adjunctive pharmacological interventions to modulate the inflammatory pathways contributing to chronic disease. Xanthohumol, a flavonoid from the hops plant (Humulus lupulus), has antioxidant and anti-inflammatory properties and may act as a prebiotic to the intestinal microbiota. Xanthohumol is not currently approved as a drug by the US Food and Drug Administration (FDA), but is available as a dietary supplement and ingredient in medical foods. To formally test the safety of xanthohumol, a phase I clinical trial (\"XMaS\") was designed and approved under an Investigational New Drug application to the US FDA. The main objective is to examine the clinical safety and subjective tolerability of xanthohumol in healthy adults compared to placebo. Additional aims are to monitor biomarkers related to inflammation, gut permeability, bile acid metabolism, routes, and in vivo products of xanthohumol metabolism, and to evaluate xanthohumol's impact on gut microbial composition. Methods: The safety and tolerability of xanthohumol in healthy adults will be evaluated in a triple-masked, randomized, placebo-controlled trial. Participants will be randomized to either 24 mg/day of xanthohumol or placebo for 8 weeks. Blood cell counts, hepatic and renal function tests, electrolytes, and self-reported health-related quality of life measures will be collected every 2 weeks. Participants will be queried for adverse events throughout the trial. Xanthohumol metabolites in blood, urine, and stool will be measured. Biomarkers to be evaluated include plasma tumor necrosis factor-alpha, various interleukins, soluble CD14, lipopolysaccharide-binding protein, fecal calprotectin, and bile acids to assess impact on inflammatory and gut permeability-related mechanisms in vivo. Stool samples will be analyzed to determine effects on the gut microbiome. Discussion: This phase I clinical trial of xanthohumol will assess safety and tolerability in healthy adults, collect extensive biomarker data for assessment of potential mechanism(s), and provide comparison data necessary for future phase II trials in chronic disease(s). The design and robustness of the planned safety and mechanistic evaluations planned provide a model for drug discovery pursuits from natural products. Trial registration: ClinicalTrials.gov NCT03735420. Registered on November 8, 2018","author":[{"dropping-particle":"","family":"R","given":"Bradley","non-dropping-particle":"","parse-names":false,"suffix":""},{"dropping-particle":"","family":"BO","given":"Langley","non-dropping-particle":"","parse-names":false,"suffix":""},{"dropping-particle":"","family":"JJ","given":"Ryan","non-dropping-particle":"","parse-names":false,"suffix":""},{"dropping-particle":"","family":"J","given":"Phipps","non-dropping-particle":"","parse-names":false,"suffix":""},{"dropping-particle":"","family":"DA","given":"Hanes","non-dropping-particle":"","parse-names":false,"suffix":""},{"dropping-particle":"","family":"E","given":"Stack","non-dropping-particle":"","parse-names":false,"suffix":""},{"dropping-particle":"","family":"JK","given":"Jansson","non-dropping-particle":"","parse-names":false,"suffix":""},{"dropping-particle":"","family":"TO","given":"Metz","non-dropping-particle":"","parse-names":false,"suffix":""},{"dropping-particle":"","family":"JF","given":"Stevens","non-dropping-particle":"","parse-names":false,"suffix":""}],"container-title":"Trials","id":"ITEM-1","issue":"1","issued":{"date-parts":[["2020","10"]]},"publisher":"Trials","title":"Xanthohumol microbiome and signature in healthy adults (the XMaS trial): a phase I triple-masked, placebo-controlled clinical trial","type":"article-journal","volume":"21"},"uris":["http://www.mendeley.com/documents/?uuid=efd02b1f-51bc-3f19-919e-7da4319cc207","http://www.mendeley.com/documents/?uuid=d6a11638-7753-4963-903d-f7ce089f4de2"]},{"id":"ITEM-2","itemData":{"DOI":"10.1002/MNFR.200500045","ISSN":"1613-4125","PMID":"16144030","abstract":"B-chronic lymphocytic leukemia (B-CLL) is an indolent lymphoid malignancy with variable prognosis. Adverse prognostic factors comprise treatment resistance, cytogenetics (11q- and 17p-), the presence of unmutated Ig genes, and the more comprehensive activation marker Zap70. In contrast to diminished sensitivity to chemotherapy, Zap70+ B-CLL cells retain their responsiveness to manipulation of signal transduction and monoclonals. Xanthohumol (XA) has recently been documented to have an impact on breast cancer cell growth and invasiveness in vitro. Based on these observations, lymphocytes from patients with B-CLL were cultured in the presence of XA in vitro. XA induced a dose-dependent killing of B-CLL cells at an LD50(24 h) of 24.4 ± 6.6 μM, independent of known adverse prognostic factors including functional loss of p53. Cell death was associated with poly (ADP)-ribose polymerase cleavage and annexin V positivity, suggestive of an apoptotic mechanism. Surprisingly, p70S6K phosphorylation was stimulated upon XA treatment. In conclusion, XA has an antitumor activity on B-CLL cells in vitro. The molecular mechanisms behind this pro-apoptotic effect deserve further investigation. © 2005 Wiley-VCH Verlag GmbH &amp; Co. KGaA.","author":[{"dropping-particle":"","family":"S","given":"Lust","non-dropping-particle":"","parse-names":false,"suffix":""},{"dropping-particle":"","family":"B","given":"Vanhoecke","non-dropping-particle":"","parse-names":false,"suffix":""},{"dropping-particle":"","family":"A","given":"Janssens","non-dropping-particle":"","parse-names":false,"suffix":""},{"dropping-particle":"","family":"J","given":"Philippe","non-dropping-particle":"","parse-names":false,"suffix":""},{"dropping-particle":"","family":"M","given":"Bracke","non-dropping-particle":"","parse-names":false,"suffix":""},{"dropping-particle":"","family":"F","given":"Offner","non-dropping-particle":"","parse-names":false,"suffix":""}],"container-title":"Molecular nutrition &amp; food research","id":"ITEM-2","issue":"9","issued":{"date-parts":[["2005","9"]]},"page":"844-850","publisher":"Mol Nutr Food Res","title":"Xanthohumol kills B-chronic lymphocytic leukemia cells by an apoptotic mechanism","type":"article-journal","volume":"49"},"uris":["http://www.mendeley.com/documents/?uuid=321d9876-5cf0-3bc0-acae-20a7f4414865","http://www.mendeley.com/documents/?uuid=e6b13836-d859-4a2b-8f59-aed43e16943b"]}],"mendeley":{"formattedCitation":"&lt;sup&gt;7,8&lt;/sup&gt;","plainTextFormattedCitation":"7,8","previouslyFormattedCitation":"&lt;sup&gt;8,9&lt;/sup&gt;"},"properties":{"noteIndex":0},"schema":"https://github.com/citation-style-language/schema/raw/master/csl-citation.json"}</w:instrText>
            </w:r>
            <w:r w:rsidRPr="0080550D">
              <w:rPr>
                <w:rFonts w:cs="Times New Roman"/>
                <w:color w:val="000000" w:themeColor="text1"/>
                <w:sz w:val="20"/>
                <w:szCs w:val="20"/>
                <w:lang w:val="en-US"/>
              </w:rPr>
              <w:fldChar w:fldCharType="separate"/>
            </w:r>
            <w:r w:rsidRPr="005448BF">
              <w:rPr>
                <w:rFonts w:cs="Times New Roman"/>
                <w:noProof/>
                <w:color w:val="000000" w:themeColor="text1"/>
                <w:sz w:val="20"/>
                <w:szCs w:val="20"/>
                <w:vertAlign w:val="superscript"/>
                <w:lang w:val="en-US"/>
              </w:rPr>
              <w:t>7,8</w:t>
            </w:r>
            <w:r w:rsidRPr="0080550D">
              <w:rPr>
                <w:rFonts w:cs="Times New Roman"/>
                <w:color w:val="000000" w:themeColor="text1"/>
                <w:sz w:val="20"/>
                <w:szCs w:val="20"/>
                <w:lang w:val="en-US"/>
              </w:rPr>
              <w:fldChar w:fldCharType="end"/>
            </w:r>
          </w:p>
        </w:tc>
      </w:tr>
      <w:tr w:rsidR="003554E3" w:rsidRPr="008D69BA" w:rsidTr="00CB379D">
        <w:trPr>
          <w:jc w:val="center"/>
        </w:trPr>
        <w:tc>
          <w:tcPr>
            <w:tcW w:w="0" w:type="auto"/>
            <w:tcBorders>
              <w:top w:val="single" w:sz="4" w:space="0" w:color="auto"/>
              <w:bottom w:val="single" w:sz="4" w:space="0" w:color="auto"/>
              <w:right w:val="nil"/>
            </w:tcBorders>
            <w:vAlign w:val="center"/>
          </w:tcPr>
          <w:p w:rsidR="003554E3" w:rsidRPr="00B4392E" w:rsidRDefault="003554E3" w:rsidP="00CB379D">
            <w:pPr>
              <w:jc w:val="center"/>
              <w:rPr>
                <w:rFonts w:cs="Times New Roman"/>
                <w:noProof/>
                <w:color w:val="000000" w:themeColor="text1"/>
                <w:sz w:val="20"/>
                <w:szCs w:val="20"/>
                <w:lang w:val="en-US" w:eastAsia="pl-PL"/>
              </w:rPr>
            </w:pPr>
            <w:r w:rsidRPr="0080550D">
              <w:rPr>
                <w:rFonts w:cs="Times New Roman"/>
                <w:color w:val="000000" w:themeColor="text1"/>
                <w:sz w:val="20"/>
                <w:szCs w:val="20"/>
                <w:lang w:val="en-US"/>
              </w:rPr>
              <w:t>Hesperidin methylchalcone</w:t>
            </w:r>
            <w:r w:rsidRPr="005C129F">
              <w:rPr>
                <w:rFonts w:cs="Times New Roman"/>
                <w:color w:val="000000" w:themeColor="text1"/>
                <w:sz w:val="20"/>
                <w:szCs w:val="20"/>
                <w:lang w:val="en-US"/>
              </w:rPr>
              <w:t xml:space="preserve"> </w:t>
            </w:r>
          </w:p>
          <w:p w:rsidR="003554E3" w:rsidRPr="0080550D" w:rsidRDefault="003554E3" w:rsidP="00CB379D">
            <w:pPr>
              <w:spacing w:before="240"/>
              <w:jc w:val="center"/>
              <w:rPr>
                <w:rFonts w:cs="Times New Roman"/>
                <w:color w:val="000000" w:themeColor="text1"/>
                <w:sz w:val="20"/>
                <w:szCs w:val="20"/>
                <w:lang w:val="en-US"/>
              </w:rPr>
            </w:pPr>
            <w:r>
              <w:rPr>
                <w:noProof/>
                <w:lang w:val="en-US"/>
              </w:rPr>
              <w:drawing>
                <wp:inline distT="0" distB="0" distL="0" distR="0" wp14:anchorId="5EE3E684" wp14:editId="680F4E23">
                  <wp:extent cx="2040581" cy="781050"/>
                  <wp:effectExtent l="0" t="0" r="0" b="0"/>
                  <wp:docPr id="14" name="Obraz 7" descr="Hesperidin methyl chalc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speridin methyl chalco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61474" cy="789047"/>
                          </a:xfrm>
                          <a:prstGeom prst="rect">
                            <a:avLst/>
                          </a:prstGeom>
                          <a:noFill/>
                          <a:ln>
                            <a:noFill/>
                          </a:ln>
                        </pic:spPr>
                      </pic:pic>
                    </a:graphicData>
                  </a:graphic>
                </wp:inline>
              </w:drawing>
            </w:r>
          </w:p>
        </w:tc>
        <w:tc>
          <w:tcPr>
            <w:tcW w:w="1694" w:type="dxa"/>
            <w:tcBorders>
              <w:top w:val="single" w:sz="4" w:space="0" w:color="auto"/>
              <w:left w:val="nil"/>
              <w:bottom w:val="single" w:sz="4" w:space="0" w:color="auto"/>
              <w:right w:val="nil"/>
            </w:tcBorders>
            <w:vAlign w:val="center"/>
          </w:tcPr>
          <w:p w:rsidR="003554E3" w:rsidRPr="0080550D"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Vascular protective</w:t>
            </w:r>
          </w:p>
          <w:p w:rsidR="003554E3" w:rsidRPr="0080550D"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Antioxidant</w:t>
            </w:r>
          </w:p>
          <w:p w:rsidR="003554E3" w:rsidRPr="0080550D"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Anti-inflammatory</w:t>
            </w:r>
          </w:p>
          <w:p w:rsidR="003554E3" w:rsidRPr="0080550D" w:rsidRDefault="003554E3" w:rsidP="00CB379D">
            <w:pPr>
              <w:jc w:val="center"/>
              <w:rPr>
                <w:rFonts w:cs="Times New Roman"/>
                <w:color w:val="000000" w:themeColor="text1"/>
                <w:sz w:val="20"/>
                <w:szCs w:val="20"/>
                <w:lang w:val="en-US"/>
              </w:rPr>
            </w:pPr>
            <w:r w:rsidRPr="0080550D">
              <w:rPr>
                <w:rFonts w:cs="Times New Roman"/>
                <w:color w:val="000000" w:themeColor="text1"/>
                <w:sz w:val="20"/>
                <w:szCs w:val="20"/>
                <w:lang w:val="en-US"/>
              </w:rPr>
              <w:t>Neuroprotective</w:t>
            </w:r>
          </w:p>
        </w:tc>
        <w:tc>
          <w:tcPr>
            <w:tcW w:w="2815" w:type="dxa"/>
            <w:tcBorders>
              <w:top w:val="single" w:sz="4" w:space="0" w:color="auto"/>
              <w:left w:val="nil"/>
              <w:bottom w:val="single" w:sz="4" w:space="0" w:color="auto"/>
              <w:right w:val="nil"/>
            </w:tcBorders>
            <w:vAlign w:val="center"/>
          </w:tcPr>
          <w:p w:rsidR="003554E3" w:rsidRPr="003C5A24" w:rsidRDefault="003554E3" w:rsidP="00CB379D">
            <w:pPr>
              <w:jc w:val="center"/>
              <w:rPr>
                <w:rFonts w:cs="Times New Roman"/>
                <w:color w:val="000000" w:themeColor="text1"/>
                <w:sz w:val="20"/>
                <w:szCs w:val="20"/>
                <w:shd w:val="clear" w:color="auto" w:fill="FFFFFF"/>
                <w:lang w:val="en-US"/>
              </w:rPr>
            </w:pPr>
            <w:r w:rsidRPr="003C5A24">
              <w:rPr>
                <w:rFonts w:cs="Times New Roman"/>
                <w:color w:val="000000" w:themeColor="text1"/>
                <w:sz w:val="20"/>
                <w:szCs w:val="20"/>
                <w:shd w:val="clear" w:color="auto" w:fill="FFFFFF"/>
                <w:lang w:val="en-US"/>
              </w:rPr>
              <w:t>Inhibitor oxidative stress</w:t>
            </w:r>
          </w:p>
          <w:p w:rsidR="003554E3" w:rsidRPr="003C5A24" w:rsidRDefault="003554E3" w:rsidP="00CB379D">
            <w:pPr>
              <w:jc w:val="center"/>
              <w:rPr>
                <w:rFonts w:cs="Times New Roman"/>
                <w:color w:val="000000" w:themeColor="text1"/>
                <w:sz w:val="20"/>
                <w:szCs w:val="20"/>
                <w:shd w:val="clear" w:color="auto" w:fill="FFFFFF"/>
                <w:lang w:val="en-US"/>
              </w:rPr>
            </w:pPr>
            <w:r w:rsidRPr="003C5A24">
              <w:rPr>
                <w:rFonts w:cs="Times New Roman"/>
                <w:color w:val="000000" w:themeColor="text1"/>
                <w:sz w:val="20"/>
                <w:szCs w:val="20"/>
                <w:shd w:val="clear" w:color="auto" w:fill="FFFFFF"/>
                <w:lang w:val="en-US"/>
              </w:rPr>
              <w:t xml:space="preserve">Inhibitor cytokine production </w:t>
            </w:r>
          </w:p>
          <w:p w:rsidR="003554E3" w:rsidRPr="003C5A24" w:rsidRDefault="003554E3" w:rsidP="00CB379D">
            <w:pPr>
              <w:jc w:val="center"/>
              <w:rPr>
                <w:rFonts w:cs="Times New Roman"/>
                <w:color w:val="000000" w:themeColor="text1"/>
                <w:sz w:val="20"/>
                <w:szCs w:val="20"/>
                <w:shd w:val="clear" w:color="auto" w:fill="FFFFFF"/>
                <w:lang w:val="en-US"/>
              </w:rPr>
            </w:pPr>
            <w:r w:rsidRPr="003C5A24">
              <w:rPr>
                <w:rFonts w:cs="Times New Roman"/>
                <w:color w:val="000000" w:themeColor="text1"/>
                <w:sz w:val="20"/>
                <w:szCs w:val="20"/>
                <w:shd w:val="clear" w:color="auto" w:fill="FFFFFF"/>
                <w:lang w:val="en-US"/>
              </w:rPr>
              <w:t>Inhibitor NF-κB</w:t>
            </w:r>
          </w:p>
        </w:tc>
        <w:tc>
          <w:tcPr>
            <w:tcW w:w="255" w:type="dxa"/>
            <w:tcBorders>
              <w:top w:val="single" w:sz="4" w:space="0" w:color="auto"/>
              <w:left w:val="nil"/>
              <w:bottom w:val="single" w:sz="4" w:space="0" w:color="auto"/>
            </w:tcBorders>
            <w:vAlign w:val="center"/>
          </w:tcPr>
          <w:p w:rsidR="003554E3" w:rsidRPr="003C5A24" w:rsidRDefault="003554E3" w:rsidP="00CB379D">
            <w:pPr>
              <w:jc w:val="center"/>
              <w:rPr>
                <w:rFonts w:cs="Times New Roman"/>
                <w:color w:val="000000" w:themeColor="text1"/>
                <w:sz w:val="20"/>
                <w:szCs w:val="20"/>
                <w:lang w:val="en-US"/>
              </w:rPr>
            </w:pPr>
            <w:r w:rsidRPr="003C5A24">
              <w:rPr>
                <w:rFonts w:cs="Times New Roman"/>
                <w:color w:val="000000" w:themeColor="text1"/>
                <w:sz w:val="20"/>
                <w:szCs w:val="20"/>
                <w:lang w:val="en-US"/>
              </w:rPr>
              <w:fldChar w:fldCharType="begin" w:fldLock="1"/>
            </w:r>
            <w:r>
              <w:rPr>
                <w:rFonts w:cs="Times New Roman"/>
                <w:color w:val="000000" w:themeColor="text1"/>
                <w:sz w:val="20"/>
                <w:szCs w:val="20"/>
                <w:lang w:val="en-US"/>
              </w:rPr>
              <w:instrText>ADDIN CSL_CITATION {"citationItems":[{"id":"ITEM-1","itemData":{"DOI":"10.1002/PTR.5256","ISSN":"1099-1573","PMID":"25394264","abstract":"Inflammation and oxidative stress are two major causes of various life-threatening diseases. Hesperidin (Hsd) and its aglycone, hesperetin (Hst), are two flavonoids from citrus species that have numerous biological properties, particularly antioxidant and anti-inflammatory. New findings showed that the antioxidant activity of Hsd/Hst was not only limited to its radical scavenging activity, but it augmented the antioxidant cellular defenses via the ERK/Nrf2 signaling pathway as well. Various in vitro and in vivo studies have been conducted to evaluate Hsd, its metabolites, or its synthetic derivatives at reducing inflammatory targets including NF-κB, iNOS, and COX-2, and the markers of chronic inflammation. In this review, new findings regarding the molecular targets of Hsd and Hst in the reduction of oxidative stress are discussed. Also, in the anti-inflammatory section, we provide a summary of significant investigations concerning the mechanisms of action based on the studied inflammation models.","author":[{"dropping-particle":"","family":"H","given":"Parhiz","non-dropping-particle":"","parse-names":false,"suffix":""},{"dropping-particle":"","family":"A","given":"Roohbakhsh","non-dropping-particle":"","parse-names":false,"suffix":""},{"dropping-particle":"","family":"F","given":"Soltani","non-dropping-particle":"","parse-names":false,"suffix":""},{"dropping-particle":"","family":"R","given":"Rezaee","non-dropping-particle":"","parse-names":false,"suffix":""},{"dropping-particle":"","family":"M","given":"Iranshahi","non-dropping-particle":"","parse-names":false,"suffix":""}],"container-title":"Phytotherapy research : PTR","id":"ITEM-1","issue":"3","issued":{"date-parts":[["2015"]]},"page":"323-331","publisher":"Phytother Res","title":"Antioxidant and anti-inflammatory properties of the citrus flavonoids hesperidin and hesperetin: an updated review of their molecular mechanisms and experimental models","type":"article-journal","volume":"29"},"uris":["http://www.mendeley.com/documents/?uuid=4b35fb5c-d8f5-30b1-b5ca-31d7b800edeb","http://www.mendeley.com/documents/?uuid=4653d9c2-b28c-4a0c-94c8-67c7f9e1f96c"]},{"id":"ITEM-2","itemData":{"DOI":"10.3945/AJCN.110.004945","ISSN":"1938-3207","PMID":"21068346","abstract":"Background: Although numerous human studies have shown consistent effects of some polyphenol-rich foods on several intermediate markers for cardiovascular diseases, it is still unknown whether their action could be specifically related to polyphenols. Objective: We investigated the effect of orange juice and its major flavonoid, hesperidin, on microvascular reactivity, blood pressure, and cardiovascular risk biomarkers through both postprandial and chronic intervention studies. Design: Twenty-four healthy, overweight men (age 50-65 y) were included in a randomized, controlled, crossover study. Throughout the three 4-wk periods, volunteers daily consumed 500 mL orange juice, 500 mL control drink plus hesperidin (CDH), or 500 mL control drink plus placebo (CDP). All measurements and blood collections were performed in overnight-fasted subjects before and after the 4-wk treatment periods. The postprandial study was conducted at the beginning of each experimental period. Results: Diastolic blood pressure (DBP) was significantly lower after 4 wk consumption of orange juice or CDH than after consumption of CDP (P = 0.02), whereas microvascular endothelium-related reactivity was not significantly affected when measured after an overnight fast. However, both orange juice and CDH ingestion significantly improved postprandial microvascular endothelial reactivity compared with CDP (P &lt; 0.05) when measured at the peak of plasma hesperetin concentration. Conclusions: In healthy, middle-aged, moderately overweight men, orange juice decreases DBP when regularly consumed and postprandially increases endothelium-dependent microvascular reactivity. Our study suggests that hesperidin could be causally linked to the beneficial effect of orange juice. This trial is registered at clinicaltrials. gov as NCT00983086. © 2011 American Society for Nutrition.","author":[{"dropping-particle":"","family":"C","given":"Morand","non-dropping-particle":"","parse-names":false,"suffix":""},{"dropping-particle":"","family":"C","given":"Dubray","non-dropping-particle":"","parse-names":false,"suffix":""},{"dropping-particle":"","family":"D","given":"Milenkovic","non-dropping-particle":"","parse-names":false,"suffix":""},{"dropping-particle":"","family":"D","given":"Lioger","non-dropping-particle":"","parse-names":false,"suffix":""},{"dropping-particle":"","family":"JF","given":"Martin","non-dropping-particle":"","parse-names":false,"suffix":""},{"dropping-particle":"","family":"A","given":"Scalbert","non-dropping-particle":"","parse-names":false,"suffix":""},{"dropping-particle":"","family":"A","given":"Mazur","non-dropping-particle":"","parse-names":false,"suffix":""}],"container-title":"The American journal of clinical nutrition","id":"ITEM-2","issue":"1","issued":{"date-parts":[["2011","1"]]},"page":"73-80","publisher":"Am J Clin Nutr","title":"Hesperidin contributes to the vascular protective effects of orange juice: a randomized crossover study in healthy volunteers","type":"article-journal","volume":"93"},"uris":["http://www.mendeley.com/documents/?uuid=c4ae19fe-1ec8-392c-97fc-68d5cc8ff7d2","http://www.mendeley.com/documents/?uuid=8dc7e01d-2b30-473f-80a5-4e19c63f7488"]},{"id":"ITEM-3","itemData":{"DOI":"10.1016/J.JPHOTOBIOL.2015.03.030","ISSN":"1873-2682","PMID":"25916506","abstract":"Hesperidin methyl chalcone (HMC) is a safe flavonoid used to treat chronic venous diseases, but its effects and mechanisms on UVB irradiation-induced inflammation and oxidative stress have never been described in vivo. Thus, the purpose of this study was to evaluate the effects of systemic administration of HMC in skin oxidative stress and inflammation induced by UVB irradiation. To induce skin damage, hairless mice were exposed to an acute UVB irradiation dose of 4.14 J/cm2, and the dorsal skin samples were collected to evaluate oxidative stress and inflammatory response. The intraperitoneal treatment with HMC at the dose of 300 mg/kg inhibited UVB irradiation-induced skin edema, neutrophil recruitment, and matrix metalloproteinase-9 activity. HMC also protected the skin from UVB irradiation-induced oxidative stress by maintaining ferric reducing antioxidant power (FRAP), 2,2′-azino-bis (3-ethylbenzothiazoline-6-sulfonic acid) radical (ABTS) scavenging ability and antioxidant levels (reduced glutathione and catalase). Corroborating, HMC inhibited UVB irradiation-induced superoxide anion generation and gp91phox (NADPH oxidase subunit) mRNA expression. Furthermore, the antioxidant effect of HMC resulted in lower production of inflammatory mediators, including lipid hydroperoxides and a wide range of cytokines. Taken together, these results unveil a novel applicability of HMC in the treatment of UVB irradiation-induced skin inflammation and oxidative stress.","author":[{"dropping-particle":"","family":"RM","given":"Martinez","non-dropping-particle":"","parse-names":false,"suffix":""},{"dropping-particle":"","family":"FA","given":"Pinho-Ribeiro","non-dropping-particle":"","parse-names":false,"suffix":""},{"dropping-particle":"","family":"VS","given":"Steffen","non-dropping-particle":"","parse-names":false,"suffix":""},{"dropping-particle":"","family":"CV","given":"Caviglione","non-dropping-particle":"","parse-names":false,"suffix":""},{"dropping-particle":"","family":"JA","given":"Vignoli","non-dropping-particle":"","parse-names":false,"suffix":""},{"dropping-particle":"","family":"MM","given":"Baracat","non-dropping-particle":"","parse-names":false,"suffix":""},{"dropping-particle":"","family":"SR","given":"Georgetti","non-dropping-particle":"","parse-names":false,"suffix":""},{"dropping-particle":"","family":"WA","given":"Verri","non-dropping-particle":"","parse-names":false,"suffix":""},{"dropping-particle":"","family":"R","given":"Casagrande","non-dropping-particle":"","parse-names":false,"suffix":""}],"container-title":"Journal of photochemistry and photobiology. B, Biology","id":"ITEM-3","issued":{"date-parts":[["2015","7"]]},"page":"145-153","publisher":"J Photochem Photobiol B","title":"Hesperidin methyl chalcone inhibits oxidative stress and inflammation in a mouse model of ultraviolet B irradiation-induced skin damage","type":"article-journal","volume":"148"},"uris":["http://www.mendeley.com/documents/?uuid=5a02a6b9-4337-3117-8226-c53e740b4330","http://www.mendeley.com/documents/?uuid=2252a579-2a3c-4fbd-8c77-63a7327ef54c"]}],"mendeley":{"formattedCitation":"&lt;sup&gt;9–11&lt;/sup&gt;","plainTextFormattedCitation":"9–11","previouslyFormattedCitation":"&lt;sup&gt;10–12&lt;/sup&gt;"},"properties":{"noteIndex":0},"schema":"https://github.com/citation-style-language/schema/raw/master/csl-citation.json"}</w:instrText>
            </w:r>
            <w:r w:rsidRPr="003C5A24">
              <w:rPr>
                <w:rFonts w:cs="Times New Roman"/>
                <w:color w:val="000000" w:themeColor="text1"/>
                <w:sz w:val="20"/>
                <w:szCs w:val="20"/>
                <w:lang w:val="en-US"/>
              </w:rPr>
              <w:fldChar w:fldCharType="separate"/>
            </w:r>
            <w:r w:rsidRPr="005448BF">
              <w:rPr>
                <w:rFonts w:cs="Times New Roman"/>
                <w:noProof/>
                <w:color w:val="000000" w:themeColor="text1"/>
                <w:sz w:val="20"/>
                <w:szCs w:val="20"/>
                <w:vertAlign w:val="superscript"/>
                <w:lang w:val="en-US"/>
              </w:rPr>
              <w:t>9–11</w:t>
            </w:r>
            <w:r w:rsidRPr="003C5A24">
              <w:rPr>
                <w:rFonts w:cs="Times New Roman"/>
                <w:color w:val="000000" w:themeColor="text1"/>
                <w:sz w:val="20"/>
                <w:szCs w:val="20"/>
                <w:lang w:val="en-US"/>
              </w:rPr>
              <w:fldChar w:fldCharType="end"/>
            </w:r>
          </w:p>
        </w:tc>
      </w:tr>
    </w:tbl>
    <w:p w:rsidR="003554E3" w:rsidRPr="009F63C1" w:rsidRDefault="003554E3" w:rsidP="003554E3">
      <w:pPr>
        <w:rPr>
          <w:lang w:val="en-US"/>
        </w:rPr>
      </w:pPr>
    </w:p>
    <w:p w:rsidR="00342BD7" w:rsidRDefault="00342BD7">
      <w:bookmarkStart w:id="1" w:name="_GoBack"/>
      <w:bookmarkEnd w:id="1"/>
    </w:p>
    <w:sectPr w:rsidR="00342BD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4E3"/>
    <w:rsid w:val="00342BD7"/>
    <w:rsid w:val="00355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E2DD5E-8ADD-44C3-9936-22AB21E47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54E3"/>
    <w:rPr>
      <w:rFonts w:ascii="Times New Roman" w:hAnsi="Times New Roman"/>
      <w:lang w:val="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3554E3"/>
    <w:pPr>
      <w:spacing w:after="200" w:line="240" w:lineRule="auto"/>
    </w:pPr>
    <w:rPr>
      <w:i/>
      <w:iCs/>
      <w:color w:val="44546A" w:themeColor="text2"/>
      <w:sz w:val="18"/>
      <w:szCs w:val="18"/>
    </w:rPr>
  </w:style>
  <w:style w:type="table" w:styleId="TableGrid">
    <w:name w:val="Table Grid"/>
    <w:basedOn w:val="TableNormal"/>
    <w:uiPriority w:val="39"/>
    <w:rsid w:val="003554E3"/>
    <w:pPr>
      <w:spacing w:after="0" w:line="240" w:lineRule="auto"/>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File:Sofalcone.svg" TargetMode="External"/><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3840</Words>
  <Characters>21893</Characters>
  <Application>Microsoft Office Word</Application>
  <DocSecurity>0</DocSecurity>
  <Lines>182</Lines>
  <Paragraphs>51</Paragraphs>
  <ScaleCrop>false</ScaleCrop>
  <Company>Springer Nature IT</Company>
  <LinksUpToDate>false</LinksUpToDate>
  <CharactersWithSpaces>25682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2021-10-05T13:15:00Z</dcterms:created>
  <dcterms:modified xsi:type="dcterms:W3CDTF">2021-10-05T13:15:00Z</dcterms:modified>
</cp:coreProperties>
</file>