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E4B1A">
      <w:pPr>
        <w:bidi w:val="0"/>
        <w:ind w:left="0" w:leftChars="0" w:firstLine="0" w:firstLineChars="0"/>
        <w:jc w:val="center"/>
        <w:rPr>
          <w:rFonts w:hint="default" w:ascii="Times New Roman" w:hAnsi="Times New Roman" w:cs="Times New Roman"/>
          <w:b/>
          <w:bCs/>
          <w:sz w:val="44"/>
          <w:szCs w:val="44"/>
        </w:rPr>
      </w:pPr>
      <w:r>
        <w:rPr>
          <w:rFonts w:hint="default" w:ascii="Times New Roman" w:hAnsi="Times New Roman" w:cs="Times New Roman"/>
          <w:b/>
          <w:bCs/>
          <w:sz w:val="44"/>
          <w:szCs w:val="44"/>
        </w:rPr>
        <w:t>Supplementary Information</w:t>
      </w:r>
    </w:p>
    <w:p w14:paraId="43CA3E37">
      <w:pPr>
        <w:bidi w:val="0"/>
        <w:ind w:left="0" w:leftChars="0" w:firstLine="0" w:firstLineChars="0"/>
        <w:jc w:val="center"/>
        <w:rPr>
          <w:rFonts w:hint="default" w:ascii="Times New Roman" w:hAnsi="Times New Roman" w:cs="Times New Roman"/>
          <w:b/>
          <w:bCs/>
          <w:sz w:val="44"/>
          <w:szCs w:val="44"/>
        </w:rPr>
      </w:pPr>
    </w:p>
    <w:p w14:paraId="658CE17E">
      <w:pPr>
        <w:pStyle w:val="3"/>
        <w:jc w:val="center"/>
        <w:rPr>
          <w:rFonts w:eastAsia="等线"/>
          <w:b w:val="0"/>
          <w:bCs w:val="0"/>
          <w:kern w:val="0"/>
          <w:szCs w:val="28"/>
        </w:rPr>
      </w:pPr>
      <w:r>
        <w:rPr>
          <w:rFonts w:hint="eastAsia"/>
        </w:rPr>
        <w:t>Predicting Carbon Deposition on Rh-Based Catalysts in Ethanol Oxidative Steam Reforming</w:t>
      </w:r>
    </w:p>
    <w:p w14:paraId="68B3892B">
      <w:pPr>
        <w:spacing w:before="156"/>
        <w:ind w:firstLine="0" w:firstLineChars="0"/>
        <w:jc w:val="center"/>
      </w:pPr>
      <w:r>
        <w:rPr>
          <w:rFonts w:hint="eastAsia"/>
        </w:rPr>
        <w:t>Hao Liu</w:t>
      </w:r>
      <w:r>
        <w:rPr>
          <w:rFonts w:hint="eastAsia"/>
          <w:vertAlign w:val="superscript"/>
        </w:rPr>
        <w:t>1,2,3</w:t>
      </w:r>
      <w:r>
        <w:rPr>
          <w:rFonts w:hint="eastAsia"/>
        </w:rPr>
        <w:t>, Xue Han</w:t>
      </w:r>
      <w:r>
        <w:rPr>
          <w:vertAlign w:val="superscript"/>
        </w:rPr>
        <w:t>2</w:t>
      </w:r>
      <w:r>
        <w:rPr>
          <w:rFonts w:hint="eastAsia"/>
          <w:vertAlign w:val="superscript"/>
        </w:rPr>
        <w:t>,*</w:t>
      </w:r>
      <w:r>
        <w:rPr>
          <w:rFonts w:hint="eastAsia"/>
        </w:rPr>
        <w:t>, HaoZhe Feng</w:t>
      </w:r>
      <w:r>
        <w:rPr>
          <w:vertAlign w:val="superscript"/>
        </w:rPr>
        <w:t>1,2,3</w:t>
      </w:r>
      <w:r>
        <w:rPr>
          <w:rFonts w:hint="eastAsia"/>
        </w:rPr>
        <w:t>, Haoyu Li</w:t>
      </w:r>
      <w:r>
        <w:rPr>
          <w:vertAlign w:val="superscript"/>
        </w:rPr>
        <w:t>1,2,3</w:t>
      </w:r>
      <w:r>
        <w:rPr>
          <w:rFonts w:hint="eastAsia"/>
        </w:rPr>
        <w:t>, Qinghe Yu</w:t>
      </w:r>
      <w:r>
        <w:rPr>
          <w:vertAlign w:val="superscript"/>
        </w:rPr>
        <w:t>2</w:t>
      </w:r>
    </w:p>
    <w:p w14:paraId="4AA23420">
      <w:pPr>
        <w:spacing w:before="156"/>
        <w:ind w:firstLine="0" w:firstLineChars="0"/>
      </w:pPr>
    </w:p>
    <w:p w14:paraId="4BB692FB">
      <w:pPr>
        <w:spacing w:before="156"/>
        <w:ind w:firstLine="0" w:firstLineChars="0"/>
      </w:pPr>
      <w:r>
        <w:t>1.National Engineering Research Center of Nonferrous Metals Materials and Products for New Energy, China GRINM Group Co., Ltd., Beijing 100088, China</w:t>
      </w:r>
      <w:r>
        <w:rPr>
          <w:rFonts w:hint="eastAsia"/>
        </w:rPr>
        <w:t xml:space="preserve">； </w:t>
      </w:r>
    </w:p>
    <w:p w14:paraId="36317B7B">
      <w:pPr>
        <w:spacing w:before="156"/>
        <w:ind w:firstLine="0" w:firstLineChars="0"/>
      </w:pPr>
      <w:r>
        <w:t>2. GRIMAT Engineering Institute Co., Ltd., Beijing 101407, China</w:t>
      </w:r>
      <w:r>
        <w:rPr>
          <w:rFonts w:hint="eastAsia"/>
        </w:rPr>
        <w:t xml:space="preserve">； </w:t>
      </w:r>
    </w:p>
    <w:p w14:paraId="235ADE6C">
      <w:pPr>
        <w:spacing w:before="156"/>
        <w:ind w:firstLine="0" w:firstLineChars="0"/>
      </w:pPr>
      <w:r>
        <w:t>3. General Research Institute for Nonferrous Metals, Beijing 100088, China</w:t>
      </w:r>
    </w:p>
    <w:p w14:paraId="7013ACAC">
      <w:pPr>
        <w:spacing w:before="156"/>
        <w:ind w:firstLine="0" w:firstLineChars="0"/>
      </w:pPr>
      <w:r>
        <w:rPr>
          <w:rFonts w:hint="eastAsia"/>
        </w:rPr>
        <w:t xml:space="preserve">Corresponding authors: </w:t>
      </w:r>
    </w:p>
    <w:p w14:paraId="3DD441B7">
      <w:pPr>
        <w:spacing w:before="156"/>
        <w:ind w:firstLine="0" w:firstLineChars="0"/>
      </w:pPr>
      <w:r>
        <w:rPr>
          <w:rFonts w:hint="eastAsia"/>
        </w:rPr>
        <w:t>*GRIMAT Engineering Institute Co., Ltd., Beijing 104107, China</w:t>
      </w:r>
    </w:p>
    <w:p w14:paraId="12E9CD72">
      <w:pPr>
        <w:spacing w:before="156"/>
        <w:ind w:firstLine="0" w:firstLineChars="0"/>
      </w:pPr>
      <w:r>
        <w:rPr>
          <w:rFonts w:hint="eastAsia"/>
        </w:rPr>
        <w:t>E-mail addresses: hanxuehit@126.com (X. Han)</w:t>
      </w:r>
    </w:p>
    <w:p w14:paraId="2E7B383A">
      <w:pPr>
        <w:pStyle w:val="13"/>
        <w:sectPr>
          <w:footerReference r:id="rId5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1B1B9279">
      <w:pPr>
        <w:pStyle w:val="3"/>
        <w:bidi w:val="0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S1 N</w:t>
      </w:r>
      <w:r>
        <w:rPr>
          <w:rFonts w:hint="eastAsia"/>
          <w:vertAlign w:val="subscript"/>
          <w:lang w:val="en-US" w:eastAsia="zh-CN"/>
        </w:rPr>
        <w:t>2</w:t>
      </w:r>
      <w:r>
        <w:rPr>
          <w:rFonts w:hint="eastAsia"/>
          <w:lang w:val="en-US" w:eastAsia="zh-CN"/>
        </w:rPr>
        <w:t xml:space="preserve"> adsorption-desorption characterization</w:t>
      </w:r>
    </w:p>
    <w:p w14:paraId="47DD8A7A">
      <w:pPr>
        <w:bidi w:val="0"/>
      </w:pPr>
      <w:r>
        <w:t xml:space="preserve">The BET surface area, average pore size and total pore volume of catalysts are shown in </w:t>
      </w:r>
      <w:r>
        <w:rPr>
          <w:rStyle w:val="10"/>
        </w:rPr>
        <w:t xml:space="preserve">Table </w:t>
      </w:r>
      <w:r>
        <w:rPr>
          <w:rStyle w:val="10"/>
          <w:rFonts w:hint="eastAsia"/>
          <w:lang w:val="en-US" w:eastAsia="zh-CN"/>
        </w:rPr>
        <w:t>S</w:t>
      </w:r>
      <w:r>
        <w:rPr>
          <w:rStyle w:val="10"/>
        </w:rPr>
        <w:t>1</w:t>
      </w:r>
      <w:r>
        <w:t xml:space="preserve">, and the pore size distribution of these samples are shown in </w:t>
      </w:r>
      <w:r>
        <w:rPr>
          <w:rStyle w:val="10"/>
        </w:rPr>
        <w:t xml:space="preserve">Figure </w:t>
      </w:r>
      <w:r>
        <w:rPr>
          <w:rStyle w:val="10"/>
          <w:rFonts w:hint="eastAsia"/>
          <w:lang w:val="en-US" w:eastAsia="zh-CN"/>
        </w:rPr>
        <w:t>S</w:t>
      </w:r>
      <w:r>
        <w:rPr>
          <w:rStyle w:val="10"/>
        </w:rPr>
        <w:t>1</w:t>
      </w:r>
      <w:r>
        <w:t>. 1%Rh/TiO</w:t>
      </w:r>
      <w:r>
        <w:rPr>
          <w:vertAlign w:val="subscript"/>
        </w:rPr>
        <w:t>2</w:t>
      </w:r>
      <w:r>
        <w:t xml:space="preserve"> and 1%Rh</w:t>
      </w:r>
      <w:r>
        <w:rPr>
          <w:rFonts w:hint="eastAsia"/>
        </w:rPr>
        <w:t>/</w:t>
      </w:r>
      <w:r>
        <w:t>MgO get obviously higher surface area comparing to 1%Rh/ZrO</w:t>
      </w:r>
      <w:r>
        <w:rPr>
          <w:vertAlign w:val="subscript"/>
        </w:rPr>
        <w:t>2</w:t>
      </w:r>
      <w:r>
        <w:t>, 1%Rh/CeO</w:t>
      </w:r>
      <w:r>
        <w:rPr>
          <w:vertAlign w:val="subscript"/>
        </w:rPr>
        <w:t>2</w:t>
      </w:r>
      <w:r>
        <w:t xml:space="preserve"> and 1%Rh/ZnO; while 1%R</w:t>
      </w:r>
      <w:r>
        <w:rPr>
          <w:rFonts w:hint="eastAsia"/>
        </w:rPr>
        <w:t>h</w:t>
      </w:r>
      <w:r>
        <w:t>/ZnO and 1%R</w:t>
      </w:r>
      <w:r>
        <w:rPr>
          <w:rFonts w:hint="eastAsia"/>
        </w:rPr>
        <w:t>h</w:t>
      </w:r>
      <w:r>
        <w:t>/MgO catalysts have no typical pore size distribution mode, which is very different from 1% Rh/ZrO</w:t>
      </w:r>
      <w:r>
        <w:rPr>
          <w:vertAlign w:val="subscript"/>
        </w:rPr>
        <w:t>2</w:t>
      </w:r>
      <w:r>
        <w:t>, 1%Rh/CeO</w:t>
      </w:r>
      <w:r>
        <w:rPr>
          <w:vertAlign w:val="subscript"/>
        </w:rPr>
        <w:t>2</w:t>
      </w:r>
      <w:r>
        <w:t xml:space="preserve"> and 1%Rh/TiO</w:t>
      </w:r>
      <w:r>
        <w:rPr>
          <w:vertAlign w:val="subscript"/>
        </w:rPr>
        <w:t>2</w:t>
      </w:r>
      <w:r>
        <w:t>. Considering ammonia produced by urea decomposition is a weak alkaline precipitant, the formation process of strong alkaline ZnO and MgO supports and weak alkaline TiO</w:t>
      </w:r>
      <w:r>
        <w:rPr>
          <w:vertAlign w:val="subscript"/>
        </w:rPr>
        <w:t>2</w:t>
      </w:r>
      <w:r>
        <w:t>, CeO</w:t>
      </w:r>
      <w:r>
        <w:rPr>
          <w:vertAlign w:val="subscript"/>
        </w:rPr>
        <w:t>2</w:t>
      </w:r>
      <w:r>
        <w:t xml:space="preserve"> and ZrO</w:t>
      </w:r>
      <w:r>
        <w:rPr>
          <w:vertAlign w:val="subscript"/>
        </w:rPr>
        <w:t>2</w:t>
      </w:r>
      <w:r>
        <w:t xml:space="preserve"> supports should have a certain difference. Hence, although 1%Rh/TiO</w:t>
      </w:r>
      <w:r>
        <w:rPr>
          <w:vertAlign w:val="subscript"/>
        </w:rPr>
        <w:t>2</w:t>
      </w:r>
      <w:r>
        <w:t xml:space="preserve"> and 1%Rh</w:t>
      </w:r>
      <w:r>
        <w:rPr>
          <w:rFonts w:hint="eastAsia"/>
        </w:rPr>
        <w:t>/</w:t>
      </w:r>
      <w:r>
        <w:t xml:space="preserve">MgO have similar larger specific surface area, their pore structures are </w:t>
      </w:r>
      <w:r>
        <w:rPr>
          <w:rFonts w:hint="eastAsia"/>
        </w:rPr>
        <w:t>great</w:t>
      </w:r>
      <w:r>
        <w:t xml:space="preserve"> difference.</w:t>
      </w:r>
    </w:p>
    <w:p w14:paraId="05466160">
      <w:pPr>
        <w:pStyle w:val="5"/>
      </w:pPr>
      <w:r>
        <w:rPr>
          <w:b/>
        </w:rPr>
        <w:t>Table 1</w:t>
      </w:r>
      <w:r>
        <w:t xml:space="preserve"> Physical propert</w:t>
      </w:r>
      <w:r>
        <w:rPr>
          <w:rFonts w:hint="eastAsia"/>
        </w:rPr>
        <w:t>ies</w:t>
      </w:r>
      <w:r>
        <w:t xml:space="preserve"> of the samples</w:t>
      </w:r>
    </w:p>
    <w:tbl>
      <w:tblPr>
        <w:tblStyle w:val="6"/>
        <w:tblW w:w="0" w:type="auto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3"/>
        <w:gridCol w:w="1696"/>
        <w:gridCol w:w="1756"/>
        <w:gridCol w:w="1944"/>
        <w:gridCol w:w="1773"/>
      </w:tblGrid>
      <w:tr w14:paraId="584DD3D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3" w:type="dxa"/>
            <w:tcBorders>
              <w:top w:val="single" w:color="auto" w:sz="8" w:space="0"/>
              <w:bottom w:val="nil"/>
            </w:tcBorders>
          </w:tcPr>
          <w:p w14:paraId="7E3B50D4">
            <w:pPr>
              <w:pStyle w:val="12"/>
            </w:pPr>
            <w:r>
              <w:rPr>
                <w:rFonts w:hint="eastAsia"/>
              </w:rPr>
              <w:t>Catalyst</w:t>
            </w:r>
          </w:p>
        </w:tc>
        <w:tc>
          <w:tcPr>
            <w:tcW w:w="1696" w:type="dxa"/>
            <w:tcBorders>
              <w:top w:val="single" w:color="auto" w:sz="8" w:space="0"/>
              <w:bottom w:val="nil"/>
            </w:tcBorders>
          </w:tcPr>
          <w:p w14:paraId="0BEF1A07">
            <w:pPr>
              <w:pStyle w:val="12"/>
            </w:pPr>
            <w:r>
              <w:rPr>
                <w:rFonts w:hint="eastAsia"/>
              </w:rPr>
              <w:t>Surface area（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>·g</w:t>
            </w:r>
            <w:r>
              <w:rPr>
                <w:vertAlign w:val="superscript"/>
              </w:rPr>
              <w:t>-1</w:t>
            </w:r>
            <w:r>
              <w:rPr>
                <w:rFonts w:hint="eastAsia"/>
              </w:rPr>
              <w:t>）</w:t>
            </w:r>
          </w:p>
        </w:tc>
        <w:tc>
          <w:tcPr>
            <w:tcW w:w="0" w:type="auto"/>
            <w:tcBorders>
              <w:top w:val="single" w:color="auto" w:sz="8" w:space="0"/>
              <w:bottom w:val="nil"/>
            </w:tcBorders>
          </w:tcPr>
          <w:p w14:paraId="571B9FEA">
            <w:pPr>
              <w:pStyle w:val="12"/>
            </w:pPr>
            <w:r>
              <w:rPr>
                <w:rFonts w:hint="eastAsia"/>
              </w:rPr>
              <w:t>Pore diameter（</w:t>
            </w:r>
            <w:r>
              <w:t>nm</w:t>
            </w:r>
            <w:r>
              <w:rPr>
                <w:rFonts w:hint="eastAsia"/>
              </w:rPr>
              <w:t>）</w:t>
            </w:r>
          </w:p>
        </w:tc>
        <w:tc>
          <w:tcPr>
            <w:tcW w:w="0" w:type="auto"/>
            <w:tcBorders>
              <w:top w:val="single" w:color="auto" w:sz="8" w:space="0"/>
              <w:bottom w:val="nil"/>
            </w:tcBorders>
          </w:tcPr>
          <w:p w14:paraId="7256A808">
            <w:pPr>
              <w:pStyle w:val="12"/>
            </w:pPr>
            <w:r>
              <w:rPr>
                <w:rFonts w:hint="eastAsia"/>
              </w:rPr>
              <w:t>Pore volume（</w:t>
            </w:r>
            <w:r>
              <w:t>cm</w:t>
            </w:r>
            <w:r>
              <w:rPr>
                <w:vertAlign w:val="superscript"/>
              </w:rPr>
              <w:t>3</w:t>
            </w:r>
            <w:r>
              <w:t>·g</w:t>
            </w:r>
            <w:r>
              <w:rPr>
                <w:vertAlign w:val="superscript"/>
              </w:rPr>
              <w:t>-1</w:t>
            </w:r>
            <w:r>
              <w:rPr>
                <w:rFonts w:hint="eastAsia"/>
              </w:rPr>
              <w:t>）</w:t>
            </w:r>
          </w:p>
        </w:tc>
        <w:tc>
          <w:tcPr>
            <w:tcW w:w="0" w:type="auto"/>
            <w:tcBorders>
              <w:top w:val="single" w:color="auto" w:sz="8" w:space="0"/>
              <w:bottom w:val="nil"/>
            </w:tcBorders>
          </w:tcPr>
          <w:p w14:paraId="771F0C9F">
            <w:pPr>
              <w:pStyle w:val="12"/>
            </w:pPr>
            <w:r>
              <w:rPr>
                <w:rFonts w:hint="eastAsia"/>
              </w:rPr>
              <w:t>Crystallite size（</w:t>
            </w:r>
            <w:r>
              <w:t>nm</w:t>
            </w:r>
            <w:r>
              <w:rPr>
                <w:rFonts w:hint="eastAsia"/>
              </w:rPr>
              <w:t>）</w:t>
            </w:r>
          </w:p>
        </w:tc>
      </w:tr>
      <w:tr w14:paraId="3E7BB5D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3" w:type="dxa"/>
            <w:tcBorders>
              <w:top w:val="single" w:color="auto" w:sz="8" w:space="0"/>
            </w:tcBorders>
          </w:tcPr>
          <w:p w14:paraId="3ED84CC0">
            <w:pPr>
              <w:pStyle w:val="12"/>
            </w:pPr>
            <w:r>
              <w:t>1%Rh/MgO</w:t>
            </w:r>
          </w:p>
        </w:tc>
        <w:tc>
          <w:tcPr>
            <w:tcW w:w="1696" w:type="dxa"/>
            <w:tcBorders>
              <w:top w:val="single" w:color="auto" w:sz="8" w:space="0"/>
            </w:tcBorders>
          </w:tcPr>
          <w:p w14:paraId="276BD991">
            <w:pPr>
              <w:pStyle w:val="12"/>
            </w:pPr>
            <w:r>
              <w:t>119</w:t>
            </w:r>
          </w:p>
        </w:tc>
        <w:tc>
          <w:tcPr>
            <w:tcW w:w="0" w:type="auto"/>
            <w:tcBorders>
              <w:top w:val="single" w:color="auto" w:sz="8" w:space="0"/>
            </w:tcBorders>
          </w:tcPr>
          <w:p w14:paraId="112EA0CA">
            <w:pPr>
              <w:pStyle w:val="12"/>
            </w:pPr>
            <w:r>
              <w:t>21.4</w:t>
            </w:r>
          </w:p>
        </w:tc>
        <w:tc>
          <w:tcPr>
            <w:tcW w:w="0" w:type="auto"/>
            <w:tcBorders>
              <w:top w:val="single" w:color="auto" w:sz="8" w:space="0"/>
            </w:tcBorders>
          </w:tcPr>
          <w:p w14:paraId="0196341F">
            <w:pPr>
              <w:pStyle w:val="12"/>
            </w:pPr>
            <w:r>
              <w:t>0.632</w:t>
            </w:r>
          </w:p>
        </w:tc>
        <w:tc>
          <w:tcPr>
            <w:tcW w:w="0" w:type="auto"/>
            <w:tcBorders>
              <w:top w:val="single" w:color="auto" w:sz="8" w:space="0"/>
            </w:tcBorders>
          </w:tcPr>
          <w:p w14:paraId="201F6F1E">
            <w:pPr>
              <w:pStyle w:val="12"/>
            </w:pPr>
            <w:r>
              <w:t>13.2</w:t>
            </w:r>
          </w:p>
        </w:tc>
      </w:tr>
      <w:tr w14:paraId="2521178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3" w:type="dxa"/>
          </w:tcPr>
          <w:p w14:paraId="5079240F">
            <w:pPr>
              <w:pStyle w:val="12"/>
            </w:pPr>
            <w:r>
              <w:t>1%Rh/ZnO</w:t>
            </w:r>
          </w:p>
        </w:tc>
        <w:tc>
          <w:tcPr>
            <w:tcW w:w="1696" w:type="dxa"/>
          </w:tcPr>
          <w:p w14:paraId="1E1F6736">
            <w:pPr>
              <w:pStyle w:val="12"/>
            </w:pPr>
            <w:r>
              <w:t>27.7</w:t>
            </w:r>
          </w:p>
        </w:tc>
        <w:tc>
          <w:tcPr>
            <w:tcW w:w="0" w:type="auto"/>
          </w:tcPr>
          <w:p w14:paraId="2A02C5C8">
            <w:pPr>
              <w:pStyle w:val="12"/>
            </w:pPr>
            <w:r>
              <w:t>26.4</w:t>
            </w:r>
          </w:p>
        </w:tc>
        <w:tc>
          <w:tcPr>
            <w:tcW w:w="0" w:type="auto"/>
          </w:tcPr>
          <w:p w14:paraId="16156653">
            <w:pPr>
              <w:pStyle w:val="12"/>
            </w:pPr>
            <w:r>
              <w:t>0.184</w:t>
            </w:r>
          </w:p>
        </w:tc>
        <w:tc>
          <w:tcPr>
            <w:tcW w:w="0" w:type="auto"/>
          </w:tcPr>
          <w:p w14:paraId="31F0342D">
            <w:pPr>
              <w:pStyle w:val="12"/>
            </w:pPr>
            <w:r>
              <w:t>32.7</w:t>
            </w:r>
          </w:p>
        </w:tc>
      </w:tr>
      <w:tr w14:paraId="0C09F9C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3" w:type="dxa"/>
          </w:tcPr>
          <w:p w14:paraId="2377421D">
            <w:pPr>
              <w:pStyle w:val="12"/>
            </w:pPr>
            <w:r>
              <w:t>1%Rh/TiO</w:t>
            </w:r>
            <w:r>
              <w:rPr>
                <w:vertAlign w:val="subscript"/>
              </w:rPr>
              <w:t>2</w:t>
            </w:r>
          </w:p>
        </w:tc>
        <w:tc>
          <w:tcPr>
            <w:tcW w:w="1696" w:type="dxa"/>
          </w:tcPr>
          <w:p w14:paraId="129BEE88">
            <w:pPr>
              <w:pStyle w:val="12"/>
            </w:pPr>
            <w:r>
              <w:t>121</w:t>
            </w:r>
          </w:p>
        </w:tc>
        <w:tc>
          <w:tcPr>
            <w:tcW w:w="0" w:type="auto"/>
          </w:tcPr>
          <w:p w14:paraId="545F8065">
            <w:pPr>
              <w:pStyle w:val="12"/>
            </w:pPr>
            <w:r>
              <w:t>10.2</w:t>
            </w:r>
          </w:p>
        </w:tc>
        <w:tc>
          <w:tcPr>
            <w:tcW w:w="0" w:type="auto"/>
          </w:tcPr>
          <w:p w14:paraId="1F662316">
            <w:pPr>
              <w:pStyle w:val="12"/>
            </w:pPr>
            <w:r>
              <w:t>0.309</w:t>
            </w:r>
          </w:p>
        </w:tc>
        <w:tc>
          <w:tcPr>
            <w:tcW w:w="0" w:type="auto"/>
            <w:vAlign w:val="bottom"/>
          </w:tcPr>
          <w:p w14:paraId="0431617C">
            <w:pPr>
              <w:pStyle w:val="12"/>
            </w:pPr>
            <w:r>
              <w:t>11.8</w:t>
            </w:r>
          </w:p>
        </w:tc>
      </w:tr>
      <w:tr w14:paraId="638361A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3" w:type="dxa"/>
          </w:tcPr>
          <w:p w14:paraId="6524713E">
            <w:pPr>
              <w:pStyle w:val="12"/>
            </w:pPr>
            <w:r>
              <w:t>1%Rh/ZrO</w:t>
            </w:r>
            <w:r>
              <w:rPr>
                <w:vertAlign w:val="subscript"/>
              </w:rPr>
              <w:t>2</w:t>
            </w:r>
          </w:p>
        </w:tc>
        <w:tc>
          <w:tcPr>
            <w:tcW w:w="1696" w:type="dxa"/>
          </w:tcPr>
          <w:p w14:paraId="4F7DBEE4">
            <w:pPr>
              <w:pStyle w:val="12"/>
            </w:pPr>
            <w:r>
              <w:t>53.7</w:t>
            </w:r>
          </w:p>
        </w:tc>
        <w:tc>
          <w:tcPr>
            <w:tcW w:w="0" w:type="auto"/>
          </w:tcPr>
          <w:p w14:paraId="2FA07FB3">
            <w:pPr>
              <w:pStyle w:val="12"/>
            </w:pPr>
            <w:r>
              <w:t>4.87</w:t>
            </w:r>
          </w:p>
        </w:tc>
        <w:tc>
          <w:tcPr>
            <w:tcW w:w="0" w:type="auto"/>
          </w:tcPr>
          <w:p w14:paraId="1409FC63">
            <w:pPr>
              <w:pStyle w:val="12"/>
            </w:pPr>
            <w:r>
              <w:t>0.065</w:t>
            </w:r>
          </w:p>
        </w:tc>
        <w:tc>
          <w:tcPr>
            <w:tcW w:w="0" w:type="auto"/>
            <w:vAlign w:val="bottom"/>
          </w:tcPr>
          <w:p w14:paraId="766DE098">
            <w:pPr>
              <w:pStyle w:val="12"/>
            </w:pPr>
            <w:r>
              <w:t>15.2</w:t>
            </w:r>
          </w:p>
        </w:tc>
      </w:tr>
      <w:tr w14:paraId="0A0DC76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3" w:type="dxa"/>
          </w:tcPr>
          <w:p w14:paraId="21D9D11D">
            <w:pPr>
              <w:pStyle w:val="12"/>
            </w:pPr>
            <w:r>
              <w:t>1%Rh/CeO</w:t>
            </w:r>
            <w:r>
              <w:rPr>
                <w:vertAlign w:val="subscript"/>
              </w:rPr>
              <w:t>2</w:t>
            </w:r>
          </w:p>
        </w:tc>
        <w:tc>
          <w:tcPr>
            <w:tcW w:w="1696" w:type="dxa"/>
          </w:tcPr>
          <w:p w14:paraId="1883796E">
            <w:pPr>
              <w:pStyle w:val="12"/>
            </w:pPr>
            <w:r>
              <w:t>28.4</w:t>
            </w:r>
          </w:p>
        </w:tc>
        <w:tc>
          <w:tcPr>
            <w:tcW w:w="0" w:type="auto"/>
          </w:tcPr>
          <w:p w14:paraId="6250226B">
            <w:pPr>
              <w:pStyle w:val="12"/>
            </w:pPr>
            <w:r>
              <w:t>6.32</w:t>
            </w:r>
          </w:p>
        </w:tc>
        <w:tc>
          <w:tcPr>
            <w:tcW w:w="0" w:type="auto"/>
          </w:tcPr>
          <w:p w14:paraId="7BDC604A">
            <w:pPr>
              <w:pStyle w:val="12"/>
            </w:pPr>
            <w:r>
              <w:t>0.045</w:t>
            </w:r>
          </w:p>
        </w:tc>
        <w:tc>
          <w:tcPr>
            <w:tcW w:w="0" w:type="auto"/>
            <w:vAlign w:val="bottom"/>
          </w:tcPr>
          <w:p w14:paraId="793D3000">
            <w:pPr>
              <w:pStyle w:val="12"/>
            </w:pPr>
            <w:r>
              <w:t>20.6</w:t>
            </w:r>
          </w:p>
        </w:tc>
      </w:tr>
    </w:tbl>
    <w:p w14:paraId="22D87C37">
      <w:pPr>
        <w:bidi w:val="0"/>
        <w:jc w:val="center"/>
        <w:rPr>
          <w:rFonts w:hint="default" w:ascii="Times New Roman" w:hAnsi="Times New Roman" w:cs="Times New Roman"/>
          <w:b/>
          <w:bCs/>
          <w:sz w:val="44"/>
          <w:szCs w:val="44"/>
        </w:rPr>
      </w:pPr>
    </w:p>
    <w:p w14:paraId="4C4E5DA8">
      <w:pPr>
        <w:pStyle w:val="9"/>
      </w:pPr>
      <w:r>
        <w:drawing>
          <wp:inline distT="0" distB="0" distL="114300" distR="114300">
            <wp:extent cx="3823335" cy="2675890"/>
            <wp:effectExtent l="0" t="0" r="6985" b="6985"/>
            <wp:docPr id="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23335" cy="26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BD69C">
      <w:pPr>
        <w:spacing w:before="156"/>
        <w:ind w:firstLine="0" w:firstLineChars="0"/>
      </w:pPr>
      <w:r>
        <w:rPr>
          <w:rFonts w:ascii="Arial" w:hAnsi="Arial" w:cs="Arial"/>
          <w:b/>
          <w:bCs/>
        </w:rPr>
        <w:t xml:space="preserve">Figure </w:t>
      </w:r>
      <w:r>
        <w:rPr>
          <w:rFonts w:hint="eastAsia" w:ascii="Arial" w:hAnsi="Arial" w:cs="Arial"/>
          <w:b/>
          <w:bCs/>
          <w:lang w:val="en-US" w:eastAsia="zh-CN"/>
        </w:rPr>
        <w:t>S</w:t>
      </w:r>
      <w:r>
        <w:rPr>
          <w:rFonts w:ascii="Arial" w:hAnsi="Arial" w:cs="Arial"/>
          <w:b/>
          <w:bCs/>
        </w:rPr>
        <w:t>1</w:t>
      </w:r>
      <w:r>
        <w:rPr>
          <w:rFonts w:hint="eastAsia"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BJH pore size distribution of metal oxides supported Rh catalysts.</w:t>
      </w:r>
      <w:r>
        <w:rPr>
          <w:rFonts w:hint="eastAsia" w:ascii="Arial" w:hAnsi="Arial" w:cs="Arial"/>
          <w:b/>
          <w:bCs/>
        </w:rPr>
        <w:t xml:space="preserve"> </w:t>
      </w:r>
      <w:r>
        <w:t>Pore size distribution curves of 1%Rh/MgO (■), 1%Rh/ZnO (●), 1%Rh/TiO</w:t>
      </w:r>
      <w:r>
        <w:rPr>
          <w:vertAlign w:val="subscript"/>
        </w:rPr>
        <w:t>2</w:t>
      </w:r>
      <w:r>
        <w:t xml:space="preserve"> (▲), 1%Rh/ZrO</w:t>
      </w:r>
      <w:r>
        <w:rPr>
          <w:vertAlign w:val="subscript"/>
        </w:rPr>
        <w:t>2</w:t>
      </w:r>
      <w:r>
        <w:t xml:space="preserve"> (▽), and 1%Rh/CeO</w:t>
      </w:r>
      <w:r>
        <w:rPr>
          <w:vertAlign w:val="subscript"/>
        </w:rPr>
        <w:t>2</w:t>
      </w:r>
      <w:r>
        <w:t xml:space="preserve"> (☆) catalysts prepared by urea homogeneous precipitation method. Measurements were conducted using N</w:t>
      </w:r>
      <w:r>
        <w:rPr>
          <w:rFonts w:hint="eastAsia"/>
          <w:vertAlign w:val="subscript"/>
        </w:rPr>
        <w:t>2</w:t>
      </w:r>
      <w:r>
        <w:rPr>
          <w:rFonts w:hint="eastAsia"/>
        </w:rPr>
        <w:t xml:space="preserve"> </w:t>
      </w:r>
      <w:r>
        <w:t>adsorption–desorption isotherms at −196 °C.</w:t>
      </w:r>
    </w:p>
    <w:p w14:paraId="0A1CB362">
      <w:pPr>
        <w:bidi w:val="0"/>
        <w:jc w:val="center"/>
        <w:rPr>
          <w:rFonts w:hint="default" w:ascii="Times New Roman" w:hAnsi="Times New Roman" w:cs="Times New Roman"/>
          <w:b/>
          <w:bCs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386378">
    <w:pPr>
      <w:pStyle w:val="4"/>
      <w:spacing w:before="12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3D0264"/>
    <w:rsid w:val="54F70F79"/>
    <w:rsid w:val="64D8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3" w:firstLineChars="200"/>
      <w:jc w:val="both"/>
    </w:pPr>
    <w:rPr>
      <w:rFonts w:ascii="Times New Roman" w:hAnsi="Times New Roman" w:eastAsiaTheme="minorEastAsia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outlineLvl w:val="1"/>
    </w:pPr>
    <w:rPr>
      <w:rFonts w:ascii="Arial" w:hAnsi="Arial" w:eastAsia="黑体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Title"/>
    <w:basedOn w:val="1"/>
    <w:next w:val="1"/>
    <w:qFormat/>
    <w:uiPriority w:val="10"/>
    <w:pPr>
      <w:spacing w:before="120" w:beforeLines="0" w:after="120" w:line="240" w:lineRule="auto"/>
      <w:ind w:firstLine="0" w:firstLineChars="0"/>
      <w:jc w:val="center"/>
      <w:outlineLvl w:val="3"/>
    </w:pPr>
    <w:rPr>
      <w:bCs/>
      <w:sz w:val="21"/>
      <w:szCs w:val="32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HX-表英文"/>
    <w:basedOn w:val="1"/>
    <w:qFormat/>
    <w:uiPriority w:val="0"/>
    <w:pPr>
      <w:spacing w:before="0" w:beforeLines="0" w:after="120" w:line="240" w:lineRule="auto"/>
      <w:ind w:firstLine="0" w:firstLineChars="0"/>
      <w:jc w:val="center"/>
    </w:pPr>
    <w:rPr>
      <w:sz w:val="21"/>
    </w:rPr>
  </w:style>
  <w:style w:type="character" w:customStyle="1" w:styleId="10">
    <w:name w:val="图表号 字符"/>
    <w:link w:val="11"/>
    <w:qFormat/>
    <w:uiPriority w:val="0"/>
    <w:rPr>
      <w:color w:val="0070C0"/>
    </w:rPr>
  </w:style>
  <w:style w:type="paragraph" w:customStyle="1" w:styleId="11">
    <w:name w:val="图表号"/>
    <w:basedOn w:val="1"/>
    <w:link w:val="10"/>
    <w:qFormat/>
    <w:uiPriority w:val="0"/>
    <w:pPr>
      <w:spacing w:before="163" w:after="163"/>
      <w:ind w:firstLine="480"/>
    </w:pPr>
    <w:rPr>
      <w:color w:val="0070C0"/>
    </w:rPr>
  </w:style>
  <w:style w:type="paragraph" w:customStyle="1" w:styleId="12">
    <w:name w:val="HX-表内容"/>
    <w:basedOn w:val="9"/>
    <w:qFormat/>
    <w:uiPriority w:val="0"/>
    <w:pPr>
      <w:spacing w:after="0" w:line="400" w:lineRule="exact"/>
    </w:pPr>
  </w:style>
  <w:style w:type="paragraph" w:customStyle="1" w:styleId="13">
    <w:name w:val="标题2"/>
    <w:basedOn w:val="14"/>
    <w:qFormat/>
    <w:uiPriority w:val="0"/>
    <w:pPr>
      <w:spacing w:afterLines="0"/>
      <w:ind w:firstLine="0" w:firstLineChars="0"/>
      <w:outlineLvl w:val="1"/>
    </w:pPr>
    <w:rPr>
      <w:b/>
      <w:sz w:val="30"/>
    </w:rPr>
  </w:style>
  <w:style w:type="paragraph" w:customStyle="1" w:styleId="14">
    <w:name w:val="正文-E"/>
    <w:basedOn w:val="1"/>
    <w:qFormat/>
    <w:uiPriority w:val="0"/>
    <w:pPr>
      <w:widowControl/>
      <w:spacing w:before="0" w:beforeLines="0" w:afterLines="50" w:line="480" w:lineRule="auto"/>
    </w:pPr>
    <w:rPr>
      <w:rFonts w:eastAsia="Times New Roman"/>
      <w:color w:val="000000"/>
      <w:kern w:val="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2026-04-20T06:59:47Z</dcterms:created>
  <dc:creator>86151</dc:creator>
  <cp:lastModifiedBy>韩雪</cp:lastModifiedBy>
  <dcterms:modified xsi:type="dcterms:W3CDTF">2026-04-21T07:14:26Z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eyJoZGlkIjoiMzEwNTM5NzYwMDRjMzkwZTVkZjY2ODkwMGIxNGU0OTUiLCJ1c2VySWQiOiIzMDcxOTMzMjgifQ==</vt:lpwstr>
  </property>
  <property fmtid="{D5CDD505-2E9C-101B-9397-08002B2CF9AE}" pid="4" name="ICV">
    <vt:lpwstr>BC351039CEAA45469CEF98F580C7DCCE_12</vt:lpwstr>
  </property>
</Properties>
</file>