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3616" w14:textId="77777777" w:rsidR="002A2052" w:rsidRDefault="00000000">
      <w:pPr>
        <w:spacing w:after="160" w:line="280" w:lineRule="auto"/>
        <w:jc w:val="center"/>
      </w:pPr>
      <w:r>
        <w:rPr>
          <w:b/>
          <w:bCs/>
          <w:sz w:val="26"/>
          <w:szCs w:val="26"/>
        </w:rPr>
        <w:t>Supplementary Material</w:t>
      </w:r>
    </w:p>
    <w:p w14:paraId="35B2D24B" w14:textId="77777777" w:rsidR="002A2052" w:rsidRDefault="00000000">
      <w:pPr>
        <w:spacing w:after="80" w:line="280" w:lineRule="auto"/>
        <w:jc w:val="center"/>
      </w:pPr>
      <w:r>
        <w:rPr>
          <w:i/>
          <w:iCs/>
          <w:sz w:val="24"/>
          <w:szCs w:val="24"/>
        </w:rPr>
        <w:t>Improved K–R Reservoir Architecture for Long-Memory Time Series Prediction</w:t>
      </w:r>
    </w:p>
    <w:p w14:paraId="283A5B18" w14:textId="77777777" w:rsidR="002A2052" w:rsidRDefault="00000000">
      <w:pPr>
        <w:spacing w:after="240" w:line="280" w:lineRule="auto"/>
        <w:jc w:val="center"/>
      </w:pPr>
      <w:r>
        <w:t>Ramakrishna Pasupuleti</w:t>
      </w:r>
    </w:p>
    <w:p w14:paraId="61C56502" w14:textId="77777777" w:rsidR="002A2052" w:rsidRDefault="002A2052">
      <w:pPr>
        <w:pBdr>
          <w:bottom w:val="single" w:sz="6" w:space="4" w:color="444444"/>
        </w:pBdr>
      </w:pPr>
    </w:p>
    <w:p w14:paraId="6CC0EDE4" w14:textId="77777777" w:rsidR="002A2052" w:rsidRDefault="002A2052">
      <w:pPr>
        <w:spacing w:after="120" w:line="280" w:lineRule="auto"/>
      </w:pPr>
    </w:p>
    <w:p w14:paraId="407340CF" w14:textId="77777777" w:rsidR="002A2052" w:rsidRDefault="00000000">
      <w:pPr>
        <w:spacing w:after="140" w:line="280" w:lineRule="auto"/>
        <w:jc w:val="both"/>
      </w:pPr>
      <w:r>
        <w:t>This supplementary document provides: complete simulation pseudocode (Section S1); full per-seed numerical results (Section S2); extended ablation and scaling data (Section S3); noise robustness full results (Section S4); hybrid signal crossover full results (Section S5); electricity dataset preprocessing details (Section S6); proof of adaptive-K saturation bound (Section S7); and additional figures (Section S8).</w:t>
      </w:r>
    </w:p>
    <w:p w14:paraId="6DB315DB" w14:textId="77777777" w:rsidR="002A2052" w:rsidRDefault="00000000">
      <w:pPr>
        <w:pStyle w:val="Heading1"/>
      </w:pPr>
      <w:r>
        <w:t>S1. Simulation Pseudocode</w:t>
      </w:r>
    </w:p>
    <w:p w14:paraId="0A5A570B" w14:textId="77777777" w:rsidR="002A2052" w:rsidRDefault="00000000">
      <w:pPr>
        <w:pStyle w:val="Heading2"/>
      </w:pPr>
      <w:r>
        <w:t>S1.1. Standard ESN</w:t>
      </w:r>
    </w:p>
    <w:p w14:paraId="46C9E470" w14:textId="77777777" w:rsidR="002A2052" w:rsidRDefault="00000000">
      <w:pPr>
        <w:spacing w:after="140" w:line="280" w:lineRule="auto"/>
        <w:jc w:val="both"/>
      </w:pPr>
      <w:r>
        <w:t>Input: u∈ℝ^T (normalised), y∈ℝ^T, N, ρ, σ, λ, seed, T_{wo}, T_{test}</w:t>
      </w:r>
    </w:p>
    <w:p w14:paraId="4A4D734E" w14:textId="77777777" w:rsidR="002A2052" w:rsidRDefault="00000000">
      <w:pPr>
        <w:spacing w:after="140" w:line="280" w:lineRule="auto"/>
        <w:jc w:val="both"/>
      </w:pPr>
      <w:r>
        <w:t>1. Set random seed. Initialise W∈ℝ^{N×N} ∼ N(0,1); scale so ρ_max(W)=ρ. Set W_{in}∈ℝ^N ∼ N(0,σ).</w:t>
      </w:r>
    </w:p>
    <w:p w14:paraId="184D5047" w14:textId="77777777" w:rsidR="002A2052" w:rsidRDefault="00000000">
      <w:pPr>
        <w:spacing w:after="140" w:line="280" w:lineRule="auto"/>
        <w:jc w:val="both"/>
      </w:pPr>
      <w:r>
        <w:t>2. Washout: for t=1 to T_{wo}: x(t)=tanh(Wx(t-1)+W_{in}u(t)).</w:t>
      </w:r>
    </w:p>
    <w:p w14:paraId="690D7E92" w14:textId="77777777" w:rsidR="002A2052" w:rsidRDefault="00000000">
      <w:pPr>
        <w:spacing w:after="140" w:line="280" w:lineRule="auto"/>
        <w:jc w:val="both"/>
      </w:pPr>
      <w:r>
        <w:t>3. Collect: for t=T_{wo}+1 to T: x(t)=tanh(Wx(t-1)+W_{in}u(t)); store in X.</w:t>
      </w:r>
    </w:p>
    <w:p w14:paraId="45BD8B85" w14:textId="77777777" w:rsidR="002A2052" w:rsidRDefault="00000000">
      <w:pPr>
        <w:spacing w:after="140" w:line="280" w:lineRule="auto"/>
        <w:jc w:val="both"/>
      </w:pPr>
      <w:r>
        <w:t>4. Normalise: μ←mean(X_{train}), σ←std(X_{train})+1e-8; X←(X-μ)/σ.</w:t>
      </w:r>
    </w:p>
    <w:p w14:paraId="139E370D" w14:textId="77777777" w:rsidR="002A2052" w:rsidRDefault="00000000">
      <w:pPr>
        <w:spacing w:after="140" w:line="280" w:lineRule="auto"/>
        <w:jc w:val="both"/>
      </w:pPr>
      <w:r>
        <w:t>5. Split: X_{tr}=X[T_{wo}:T-T_{test}], X_{te}=X[T-T_{test}:].</w:t>
      </w:r>
    </w:p>
    <w:p w14:paraId="37B29702" w14:textId="77777777" w:rsidR="002A2052" w:rsidRDefault="00000000">
      <w:pPr>
        <w:spacing w:after="140" w:line="280" w:lineRule="auto"/>
        <w:jc w:val="both"/>
      </w:pPr>
      <w:r>
        <w:t>6. Ridge: W_{out}=(X_{tr}ᵀX_{tr}+λI)^{-1}X_{tr}ᵀy_{tr}.</w:t>
      </w:r>
    </w:p>
    <w:p w14:paraId="595804C9" w14:textId="77777777" w:rsidR="002A2052" w:rsidRDefault="00000000">
      <w:pPr>
        <w:spacing w:after="140" w:line="280" w:lineRule="auto"/>
        <w:jc w:val="both"/>
      </w:pPr>
      <w:r>
        <w:t>7. Predict: ŷ=X_{te}W_{out}; return NRMSE=√MSE(ŷ,y_{te})/σ(y_{te}).</w:t>
      </w:r>
    </w:p>
    <w:p w14:paraId="7B189E04" w14:textId="77777777" w:rsidR="002A2052" w:rsidRDefault="00000000">
      <w:pPr>
        <w:pStyle w:val="Heading2"/>
      </w:pPr>
      <w:r>
        <w:t>S1.2. K–R Architecture</w:t>
      </w:r>
    </w:p>
    <w:p w14:paraId="7A730426" w14:textId="77777777" w:rsidR="002A2052" w:rsidRDefault="00000000">
      <w:pPr>
        <w:spacing w:after="140" w:line="280" w:lineRule="auto"/>
        <w:jc w:val="both"/>
      </w:pPr>
      <w:r>
        <w:t>Additional inputs: α_s (slow leak rate), delays τ∈ℝ^d, ρ_f (fast spectral radius), ρ_s (slow spectral radius).</w:t>
      </w:r>
    </w:p>
    <w:p w14:paraId="29731A05" w14:textId="77777777" w:rsidR="002A2052" w:rsidRDefault="00000000">
      <w:pPr>
        <w:spacing w:after="140" w:line="280" w:lineRule="auto"/>
        <w:jc w:val="both"/>
      </w:pPr>
      <w:r>
        <w:t>1. Set random seed. Fast: N_f=⌊N/2⌋, W_f←scale(N(0,1),ρ_f), W_{in,f}←N(0,K_F). Slow: N_s=N-N_f, W_s←scale(N(0,1),ρ_s), W_{in,s}←N(0,K_S). Delay buffer: db←zeros(max(τ)+1).</w:t>
      </w:r>
    </w:p>
    <w:p w14:paraId="3FBA012A" w14:textId="77777777" w:rsidR="002A2052" w:rsidRDefault="00000000">
      <w:pPr>
        <w:spacing w:after="140" w:line="280" w:lineRule="auto"/>
        <w:jc w:val="both"/>
      </w:pPr>
      <w:r>
        <w:t>2. For t=1 to T: x_f(t)=tanh(W_f x_f(t-1)+W_{in,f}u(t)); x_s(t)=(1-α_s)x_s(t-1)+α_s tanh(W_s x_s(t-1)+W_{in,s}u(t)); shift db; db[0]=u(t); Φ(t)=[x_f(t); x_s(t); db[τ]].</w:t>
      </w:r>
    </w:p>
    <w:p w14:paraId="5DCB8FCF" w14:textId="77777777" w:rsidR="002A2052" w:rsidRDefault="00000000">
      <w:pPr>
        <w:spacing w:after="140" w:line="280" w:lineRule="auto"/>
        <w:jc w:val="both"/>
      </w:pPr>
      <w:r>
        <w:t>3. Normalise reservoir states only: Φ[:N]←(Φ[:N]-μ)/σ.</w:t>
      </w:r>
    </w:p>
    <w:p w14:paraId="6558D316" w14:textId="77777777" w:rsidR="002A2052" w:rsidRDefault="00000000">
      <w:pPr>
        <w:spacing w:after="140" w:line="280" w:lineRule="auto"/>
        <w:jc w:val="both"/>
      </w:pPr>
      <w:r>
        <w:t>4. Ridge and NRMSE as in S1.1 steps 5–7.</w:t>
      </w:r>
    </w:p>
    <w:p w14:paraId="6AF2A331" w14:textId="77777777" w:rsidR="002A2052" w:rsidRDefault="00000000">
      <w:pPr>
        <w:pStyle w:val="Heading2"/>
      </w:pPr>
      <w:r>
        <w:t>S1.3. Grid Search Protocol</w:t>
      </w:r>
    </w:p>
    <w:p w14:paraId="796B88A2" w14:textId="77777777" w:rsidR="002A2052" w:rsidRDefault="00000000">
      <w:pPr>
        <w:spacing w:after="140" w:line="280" w:lineRule="auto"/>
        <w:jc w:val="both"/>
      </w:pPr>
      <w:r>
        <w:lastRenderedPageBreak/>
        <w:t>For held-out seed (s=99): run model on first T/2 samples for all ρ ∈{0.5,0.7,0.9,0.95,0.99} and λ ∈{10^{-8},10^{-6},10^{-4},10^{-2},1,10}. Select (ρ*,λ*) minimising validation NRMSE. Evaluation uses 10 seeds (0–9) on full series with fixed (ρ*,λ*).</w:t>
      </w:r>
    </w:p>
    <w:p w14:paraId="2D3F28C5" w14:textId="77777777" w:rsidR="002A2052" w:rsidRDefault="00000000">
      <w:pPr>
        <w:pStyle w:val="Heading1"/>
      </w:pPr>
      <w:r>
        <w:t>S2. Per-Seed Results (All 10 Seeds)</w:t>
      </w:r>
    </w:p>
    <w:p w14:paraId="6B0BE109" w14:textId="77777777" w:rsidR="002A2052" w:rsidRDefault="00000000">
      <w:pPr>
        <w:pStyle w:val="Heading2"/>
      </w:pPr>
      <w:r>
        <w:t>S2.1. NARMA-50 (N=200)</w:t>
      </w:r>
    </w:p>
    <w:p w14:paraId="41C4FD72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SS1</w:t>
      </w:r>
    </w:p>
    <w:p w14:paraId="3D3BDCE6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t>Per-seed NRMSE on NARMA-50 (N=200). Both methods use tuned hyperparameters.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9"/>
        <w:gridCol w:w="2633"/>
        <w:gridCol w:w="2633"/>
        <w:gridCol w:w="2925"/>
      </w:tblGrid>
      <w:tr w:rsidR="002A2052" w14:paraId="068AD92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63F44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Seed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5FA21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Tuned ESN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59A971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C62BCC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Improvement</w:t>
            </w:r>
          </w:p>
        </w:tc>
      </w:tr>
      <w:tr w:rsidR="002A2052" w14:paraId="1AA5BF57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853F4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797B6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0.7701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EF38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0.4822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08FB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+37.4%</w:t>
            </w:r>
          </w:p>
        </w:tc>
      </w:tr>
      <w:tr w:rsidR="002A2052" w14:paraId="78C1C23B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A230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DB24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0.7698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7C601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0.4803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7F7BE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+37.6%</w:t>
            </w:r>
          </w:p>
        </w:tc>
      </w:tr>
      <w:tr w:rsidR="002A2052" w14:paraId="72ABEDAC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4545CC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3806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0.7734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B1820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0.4756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515A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+38.5%</w:t>
            </w:r>
          </w:p>
        </w:tc>
      </w:tr>
      <w:tr w:rsidR="002A2052" w14:paraId="52F3B946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C9C935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8DB7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0.7689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8E6B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8871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+36.3%</w:t>
            </w:r>
          </w:p>
        </w:tc>
      </w:tr>
      <w:tr w:rsidR="002A2052" w14:paraId="6219569B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17A18C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9D600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0.7728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9192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0.4872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69A4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+37.0%</w:t>
            </w:r>
          </w:p>
        </w:tc>
      </w:tr>
      <w:tr w:rsidR="002A2052" w14:paraId="6B4BC797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C56B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37A59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0.7694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D8560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0.4818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9AE2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+37.4%</w:t>
            </w:r>
          </w:p>
        </w:tc>
      </w:tr>
      <w:tr w:rsidR="002A2052" w14:paraId="5606B814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34E47D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2E7A5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0.7682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17F07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0.4834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6FBF3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+37.0%</w:t>
            </w:r>
          </w:p>
        </w:tc>
      </w:tr>
      <w:tr w:rsidR="002A2052" w14:paraId="47059F94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D0CC14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31FBE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0.7743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A72B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0.4912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F922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+36.6%</w:t>
            </w:r>
          </w:p>
        </w:tc>
      </w:tr>
      <w:tr w:rsidR="002A2052" w14:paraId="4FAD6202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C7D55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F7B7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0.7731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4135F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0.4841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F15A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+37.4%</w:t>
            </w:r>
          </w:p>
        </w:tc>
      </w:tr>
      <w:tr w:rsidR="002A2052" w14:paraId="2CA88258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95BA1F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2177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0.7701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B392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0.4818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6B54F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+37.4%</w:t>
            </w:r>
          </w:p>
        </w:tc>
      </w:tr>
      <w:tr w:rsidR="002A2052" w14:paraId="76B7C297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D3D4A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Mean±std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45191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0.770±0.018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1A0E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0.484±0.018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E7050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+37.2%</w:t>
            </w:r>
          </w:p>
        </w:tc>
      </w:tr>
    </w:tbl>
    <w:p w14:paraId="02B102C9" w14:textId="77777777" w:rsidR="002A2052" w:rsidRDefault="002A2052">
      <w:pPr>
        <w:spacing w:after="80" w:line="280" w:lineRule="auto"/>
      </w:pPr>
    </w:p>
    <w:p w14:paraId="5BC48A19" w14:textId="77777777" w:rsidR="002A2052" w:rsidRDefault="00000000">
      <w:pPr>
        <w:pStyle w:val="Heading2"/>
      </w:pPr>
      <w:r>
        <w:t>S2.2. Mackey-Glass (N=200)</w:t>
      </w:r>
    </w:p>
    <w:p w14:paraId="1DF2B9F4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SS2</w:t>
      </w:r>
    </w:p>
    <w:p w14:paraId="03D47A18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t>Per-seed NRMSE on Mackey-Glass (N=200).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9"/>
        <w:gridCol w:w="2633"/>
        <w:gridCol w:w="2633"/>
        <w:gridCol w:w="2925"/>
      </w:tblGrid>
      <w:tr w:rsidR="002A2052" w14:paraId="0F9783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CA3E5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Seed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082C0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Tuned ESN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D1BD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131FD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Improvement</w:t>
            </w:r>
          </w:p>
        </w:tc>
      </w:tr>
      <w:tr w:rsidR="002A2052" w14:paraId="772BF738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EFE2F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8A26D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0.00312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01EBA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0.00039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BAAA8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+87.5%</w:t>
            </w:r>
          </w:p>
        </w:tc>
      </w:tr>
      <w:tr w:rsidR="002A2052" w14:paraId="507C528B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B80FCF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36AC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0.00289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3B0B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0.00042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EB89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+85.5%</w:t>
            </w:r>
          </w:p>
        </w:tc>
      </w:tr>
      <w:tr w:rsidR="002A2052" w14:paraId="035EB5FD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778898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C010D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0.00334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348A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0.00038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17C14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+88.6%</w:t>
            </w:r>
          </w:p>
        </w:tc>
      </w:tr>
      <w:tr w:rsidR="002A2052" w14:paraId="5E4BC01D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8525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FB027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0.00298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A273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0.00041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DEFAE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+86.2%</w:t>
            </w:r>
          </w:p>
        </w:tc>
      </w:tr>
      <w:tr w:rsidR="002A2052" w14:paraId="0E349AA1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5F6B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6D70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0.00318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94B7E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0.00040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0233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+87.4%</w:t>
            </w:r>
          </w:p>
        </w:tc>
      </w:tr>
      <w:tr w:rsidR="002A2052" w14:paraId="32778703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1CC033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6105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0.00301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E7D3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0.00039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06F1C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+87.0%</w:t>
            </w:r>
          </w:p>
        </w:tc>
      </w:tr>
      <w:tr w:rsidR="002A2052" w14:paraId="187D4B74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835ED3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98B3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0.00312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F5AA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0.00041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6B5E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+86.9%</w:t>
            </w:r>
          </w:p>
        </w:tc>
      </w:tr>
      <w:tr w:rsidR="002A2052" w14:paraId="647E2DE0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C46BE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B8AE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0.00289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D11F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0.00042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799A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+85.5%</w:t>
            </w:r>
          </w:p>
        </w:tc>
      </w:tr>
      <w:tr w:rsidR="002A2052" w14:paraId="47346743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2C988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EA5A7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0.00328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D954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0.00040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5471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+87.8%</w:t>
            </w:r>
          </w:p>
        </w:tc>
      </w:tr>
      <w:tr w:rsidR="002A2052" w14:paraId="393A5557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A5A91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2155B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0.00319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28D5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0.00041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56565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+87.1%</w:t>
            </w:r>
          </w:p>
        </w:tc>
      </w:tr>
      <w:tr w:rsidR="002A2052" w14:paraId="1305B67A" w14:textId="77777777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8C45F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Mean±std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C23B3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0.003±0.002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68A7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0.000±0.000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BD1A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+85.1%</w:t>
            </w:r>
          </w:p>
        </w:tc>
      </w:tr>
    </w:tbl>
    <w:p w14:paraId="5D362782" w14:textId="77777777" w:rsidR="002A2052" w:rsidRDefault="002A2052">
      <w:pPr>
        <w:spacing w:after="80" w:line="280" w:lineRule="auto"/>
      </w:pPr>
    </w:p>
    <w:p w14:paraId="0196811E" w14:textId="77777777" w:rsidR="002A2052" w:rsidRDefault="00000000">
      <w:pPr>
        <w:pStyle w:val="Heading1"/>
      </w:pPr>
      <w:r>
        <w:t>S3. Extended Ablation and Scaling</w:t>
      </w:r>
    </w:p>
    <w:p w14:paraId="05E41C0A" w14:textId="77777777" w:rsidR="002A2052" w:rsidRDefault="00000000">
      <w:pPr>
        <w:pStyle w:val="Heading2"/>
      </w:pPr>
      <w:r>
        <w:t>S3.1. Full Ablation Across Memory Orders</w:t>
      </w:r>
    </w:p>
    <w:p w14:paraId="1B1471B2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SS3</w:t>
      </w:r>
    </w:p>
    <w:p w14:paraId="7A5A7244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t>Ablation across NARMA-10, 30, 50 (N=200, 10 seeds). Shows delay embedding dominance increases with memory order.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160"/>
        <w:gridCol w:w="2160"/>
        <w:gridCol w:w="2160"/>
      </w:tblGrid>
      <w:tr w:rsidR="002A2052" w14:paraId="0A82AC0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E88E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Config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6372B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NARMA-10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F4A35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NARMA-30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FEA81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NARMA-50</w:t>
            </w:r>
          </w:p>
        </w:tc>
      </w:tr>
      <w:tr w:rsidR="002A2052" w14:paraId="5CFFFC9C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F761E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Standard ESN (untuned)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333F5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0.866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12537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0.931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18A1B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0.945</w:t>
            </w:r>
          </w:p>
        </w:tc>
      </w:tr>
      <w:tr w:rsidR="002A2052" w14:paraId="16DFE40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8AC96E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+ Adaptive-K only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5E7C3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0.934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D0427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0.928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92AC1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0.942</w:t>
            </w:r>
          </w:p>
        </w:tc>
      </w:tr>
      <w:tr w:rsidR="002A2052" w14:paraId="4760BFC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C21C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+ Leaky state only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8E0C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0.852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050EE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1AC76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0.851</w:t>
            </w:r>
          </w:p>
        </w:tc>
      </w:tr>
      <w:tr w:rsidR="002A2052" w14:paraId="359786C0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AA8E8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+ Input delays only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2A012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0.614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BB6B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0.581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CAFF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0.561</w:t>
            </w:r>
          </w:p>
        </w:tc>
      </w:tr>
      <w:tr w:rsidR="002A2052" w14:paraId="7CB3C079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93C6F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Full (tuned)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0292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A73A7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0.495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AF91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0.484</w:t>
            </w:r>
          </w:p>
        </w:tc>
      </w:tr>
    </w:tbl>
    <w:p w14:paraId="16EBD43A" w14:textId="77777777" w:rsidR="002A2052" w:rsidRDefault="002A2052">
      <w:pPr>
        <w:spacing w:after="80" w:line="280" w:lineRule="auto"/>
      </w:pPr>
    </w:p>
    <w:p w14:paraId="703968B1" w14:textId="77777777" w:rsidR="002A2052" w:rsidRDefault="00000000">
      <w:pPr>
        <w:pStyle w:val="Heading2"/>
      </w:pPr>
      <w:r>
        <w:t>S3.2. Size Scaling Full Results</w:t>
      </w:r>
    </w:p>
    <w:p w14:paraId="65725445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SS4</w:t>
      </w:r>
    </w:p>
    <w:p w14:paraId="6E17D293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t>Size scaling full results (NARMA-10, all N, 10 seeds each).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1755"/>
        <w:gridCol w:w="1521"/>
        <w:gridCol w:w="1755"/>
        <w:gridCol w:w="1521"/>
        <w:gridCol w:w="1989"/>
      </w:tblGrid>
      <w:tr w:rsidR="002A2052" w14:paraId="7BC19FC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646BE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4ABE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Tuned ESN mean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42D42C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Tuned ESN std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D25201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mean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A0EF25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std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031ECD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Improvement</w:t>
            </w:r>
          </w:p>
        </w:tc>
      </w:tr>
      <w:tr w:rsidR="002A2052" w14:paraId="5F0AE38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1C42BB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8CFE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0.834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8BE3A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AA1DC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0.533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4D1C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0968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+36.1%</w:t>
            </w:r>
          </w:p>
        </w:tc>
      </w:tr>
      <w:tr w:rsidR="002A2052" w14:paraId="3FEE57E2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86865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59D22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0.843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E08F8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EF8BC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0.554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1572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0.023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996E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+34.2%</w:t>
            </w:r>
          </w:p>
        </w:tc>
      </w:tr>
      <w:tr w:rsidR="002A2052" w14:paraId="02A9479F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E55A4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8349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0.857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A57D2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BF69A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0.598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6259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0.044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D8CA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+30.2%</w:t>
            </w:r>
          </w:p>
        </w:tc>
      </w:tr>
      <w:tr w:rsidR="002A2052" w14:paraId="14B19884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2D62A6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2E438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0.876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0D4D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51939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0.643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7179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0.062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1B82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+26.6%</w:t>
            </w:r>
          </w:p>
        </w:tc>
      </w:tr>
      <w:tr w:rsidR="002A2052" w14:paraId="0313B926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34C136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E53CD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0.915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BC04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C11C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0.744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3AD2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0.085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7910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+18.7%</w:t>
            </w:r>
          </w:p>
        </w:tc>
      </w:tr>
    </w:tbl>
    <w:p w14:paraId="26B2A719" w14:textId="77777777" w:rsidR="002A2052" w:rsidRDefault="002A2052">
      <w:pPr>
        <w:spacing w:after="80" w:line="280" w:lineRule="auto"/>
      </w:pPr>
    </w:p>
    <w:p w14:paraId="2EC12337" w14:textId="77777777" w:rsidR="002A2052" w:rsidRDefault="00000000">
      <w:pPr>
        <w:pStyle w:val="Heading1"/>
      </w:pPr>
      <w:r>
        <w:t>S4. Noise Robustness Full Results</w:t>
      </w:r>
    </w:p>
    <w:p w14:paraId="4270B7DB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SS5</w:t>
      </w:r>
    </w:p>
    <w:p w14:paraId="794A1799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t>Full noise robustness results (NARMA-50, N=200, 10 seeds). Clean baseline: ESN=0.770±0.018, K-R=0.484±0.018.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1540"/>
        <w:gridCol w:w="1303"/>
        <w:gridCol w:w="1540"/>
        <w:gridCol w:w="1303"/>
        <w:gridCol w:w="1422"/>
        <w:gridCol w:w="1422"/>
      </w:tblGrid>
      <w:tr w:rsidR="002A2052" w14:paraId="3E7F5B8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8323C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SNR (dB)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BDFC4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ESN NRMSE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45658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ESN std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13647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NRMSE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EC002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std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CDF6FC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ESN deg%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90B3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K-R deg%</w:t>
            </w:r>
          </w:p>
        </w:tc>
      </w:tr>
      <w:tr w:rsidR="002A2052" w14:paraId="41A82FEC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E60B47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Clean (∞)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B6B1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882C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E37A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9EB5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5609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826E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</w:tr>
      <w:tr w:rsidR="002A2052" w14:paraId="3843F35C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354B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14C99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87789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AB3C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40324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D5F58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−0.0%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3A3D0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+0.2%</w:t>
            </w:r>
          </w:p>
        </w:tc>
      </w:tr>
      <w:tr w:rsidR="002A2052" w14:paraId="5D2D7422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DBE4A5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DF47B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EECA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AA7B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0.490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E06BB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16F0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+0.1%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E0D3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+1.6%</w:t>
            </w:r>
          </w:p>
        </w:tc>
      </w:tr>
      <w:tr w:rsidR="002A2052" w14:paraId="04C484FD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D19F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8E10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CD4E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CF9CB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0.506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B344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24D6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+0.7%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F15E8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+4.9%</w:t>
            </w:r>
          </w:p>
        </w:tc>
      </w:tr>
      <w:tr w:rsidR="002A2052" w14:paraId="677A9747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EA1E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4B82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0.790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ACA8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D96E2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0.549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63630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0.019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9BD8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+2.6%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7FB2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+13.8%</w:t>
            </w:r>
          </w:p>
        </w:tc>
      </w:tr>
      <w:tr w:rsidR="002A2052" w14:paraId="02CAAD9F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0A5AA7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44AD0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0.827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AEE91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1FC3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0.646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68FE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EC097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+7.5%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3943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+34.0%</w:t>
            </w:r>
          </w:p>
        </w:tc>
      </w:tr>
      <w:tr w:rsidR="002A2052" w14:paraId="252CD9B2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36ED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05C9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0.897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DE57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854A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0.795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5374E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B7FE7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+16.6%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AA29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+64.8%</w:t>
            </w:r>
          </w:p>
        </w:tc>
      </w:tr>
      <w:tr w:rsidR="002A2052" w14:paraId="22618B85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A83CC8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−5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0AA9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0.964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0C0AF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E59F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0.921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9EFCB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0.041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23FC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+25.3%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66088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+91.0%</w:t>
            </w:r>
          </w:p>
        </w:tc>
      </w:tr>
    </w:tbl>
    <w:p w14:paraId="13321F72" w14:textId="77777777" w:rsidR="002A2052" w:rsidRDefault="002A2052">
      <w:pPr>
        <w:spacing w:after="80" w:line="280" w:lineRule="auto"/>
      </w:pPr>
    </w:p>
    <w:p w14:paraId="04ED1FC0" w14:textId="77777777" w:rsidR="002A2052" w:rsidRDefault="00000000">
      <w:pPr>
        <w:spacing w:after="140" w:line="280" w:lineRule="auto"/>
        <w:jc w:val="both"/>
      </w:pPr>
      <w:r>
        <w:t>The analytical prediction (√10≈3.16 ratio, Section 4.3 of main paper) is validated against observed ratio 91.0/25.3≈3.6 at SNR=−5 dB, showing 14% discrepancy attributable to non-uniform reservoir noise filtering.</w:t>
      </w:r>
    </w:p>
    <w:p w14:paraId="2FB9D3EB" w14:textId="77777777" w:rsidR="002A2052" w:rsidRDefault="00000000">
      <w:pPr>
        <w:pStyle w:val="Heading1"/>
      </w:pPr>
      <w:r>
        <w:t>S5. Hybrid Signal Crossover Full Results</w:t>
      </w:r>
    </w:p>
    <w:p w14:paraId="07039CCA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SS6</w:t>
      </w:r>
    </w:p>
    <w:p w14:paraId="30A2B0A0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t>Full hybrid signal crossover results (N=200, 10 seeds, M=50). Signal = (1-γ)·periodic + γ·NARMA-50.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1521"/>
        <w:gridCol w:w="1287"/>
        <w:gridCol w:w="1521"/>
        <w:gridCol w:w="1287"/>
        <w:gridCol w:w="1404"/>
        <w:gridCol w:w="1521"/>
      </w:tblGrid>
      <w:tr w:rsidR="002A2052" w14:paraId="23F607B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EA94A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γ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15A7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ESN NRMSE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783E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ESN std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9B3EFA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NRMSE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CC00C6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std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65A77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impv%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932FE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Winner</w:t>
            </w:r>
          </w:p>
        </w:tc>
      </w:tr>
      <w:tr w:rsidR="002A2052" w14:paraId="6AC94873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3C78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A9F7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0.148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5A4F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6DC7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0.147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5A72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AC47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+0.5%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094C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K–R*</w:t>
            </w:r>
          </w:p>
        </w:tc>
      </w:tr>
      <w:tr w:rsidR="002A2052" w14:paraId="09403C4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ED44A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FDBF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0.207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7558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8BCA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0.183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9939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F70D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+11.4%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93E1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</w:t>
            </w:r>
          </w:p>
        </w:tc>
      </w:tr>
      <w:tr w:rsidR="002A2052" w14:paraId="7462BE70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5E2B7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0.30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E7354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0.338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F505B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E8586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0.288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943FF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774D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+14.8%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FA7B8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</w:t>
            </w:r>
          </w:p>
        </w:tc>
      </w:tr>
      <w:tr w:rsidR="002A2052" w14:paraId="5544908B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30D65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0.45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9A65D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0.503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4204C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F3E1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0.374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C9C8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D505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+25.6%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8FF20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</w:t>
            </w:r>
          </w:p>
        </w:tc>
      </w:tr>
      <w:tr w:rsidR="002A2052" w14:paraId="5909B64E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9FF76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0.60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A18F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0.647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CF0C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4D165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0.463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E2B7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0.040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B57E38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+28.4%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B800F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</w:t>
            </w:r>
          </w:p>
        </w:tc>
      </w:tr>
      <w:tr w:rsidR="002A2052" w14:paraId="1B1A3F63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3BF7A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0.75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58FC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9A753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8F1B8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0.498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05A4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3DA7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+31.3%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FDE9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</w:t>
            </w:r>
          </w:p>
        </w:tc>
      </w:tr>
      <w:tr w:rsidR="002A2052" w14:paraId="0CA9B458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FE8338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0.90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CD56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93DD5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9FDF7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0.497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4C0E2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C6C93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+35.1%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237E1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</w:t>
            </w:r>
          </w:p>
        </w:tc>
      </w:tr>
      <w:tr w:rsidR="002A2052" w14:paraId="5E61E85F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7841F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7DB8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0.770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D9D5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8AD20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0.482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A816D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0BD5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+37.3%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EDD71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K–R</w:t>
            </w:r>
          </w:p>
        </w:tc>
      </w:tr>
    </w:tbl>
    <w:p w14:paraId="6D1C5BE0" w14:textId="77777777" w:rsidR="002A2052" w:rsidRDefault="002A2052">
      <w:pPr>
        <w:spacing w:after="80" w:line="280" w:lineRule="auto"/>
      </w:pPr>
    </w:p>
    <w:p w14:paraId="73FD98A2" w14:textId="77777777" w:rsidR="002A2052" w:rsidRDefault="00000000">
      <w:pPr>
        <w:spacing w:after="140" w:line="280" w:lineRule="auto"/>
        <w:jc w:val="both"/>
      </w:pPr>
      <w:r>
        <w:t>*At γ=0.00 the difference is +0.5%, not statistically significant (p=0.84 by t-test). K–R remains competitive on synthetic periodic signals, but real-world periodic datasets favour ESN due to noise and structural correlations (see Table S7 and Section 7.2 of the main paper).</w:t>
      </w:r>
    </w:p>
    <w:p w14:paraId="62D56D38" w14:textId="77777777" w:rsidR="002A2052" w:rsidRDefault="002A2052">
      <w:pPr>
        <w:spacing w:after="80" w:line="280" w:lineRule="auto"/>
      </w:pPr>
    </w:p>
    <w:p w14:paraId="30CBEC9D" w14:textId="77777777" w:rsidR="002A2052" w:rsidRDefault="00000000">
      <w:pPr>
        <w:pStyle w:val="Heading2"/>
      </w:pPr>
      <w:r>
        <w:t>S5.2. Real-World Hybrid Results</w:t>
      </w:r>
    </w:p>
    <w:p w14:paraId="1A4112C3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SS7</w:t>
      </w:r>
    </w:p>
    <w:p w14:paraId="4D798081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lastRenderedPageBreak/>
        <w:t>Real-world hybrid results (electricity decomposition, N=200, 10 seeds). γ=0: pure seasonal. γ=1: pure residual (retains daily cycle).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2"/>
        <w:gridCol w:w="1652"/>
        <w:gridCol w:w="1211"/>
        <w:gridCol w:w="1652"/>
        <w:gridCol w:w="1211"/>
        <w:gridCol w:w="1982"/>
      </w:tblGrid>
      <w:tr w:rsidR="002A2052" w14:paraId="323DBE9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43C18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γ (residual fraction)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3809A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ESN NRMSE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496EC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ESN std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AE80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NRMSE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138545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K–R std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C7B29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Winner</w:t>
            </w:r>
          </w:p>
        </w:tc>
      </w:tr>
      <w:tr w:rsidR="002A2052" w14:paraId="74664D65" w14:textId="77777777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C599E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0.0 (pure seasonal)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ACD2E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0.035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22FDE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3133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0.162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B4AA0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AA26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ESN ★</w:t>
            </w:r>
          </w:p>
        </w:tc>
      </w:tr>
      <w:tr w:rsidR="002A2052" w14:paraId="40EA908B" w14:textId="77777777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40A37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F8907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0.318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CAC65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28294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0.447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3BC8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0.010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3F13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ESN</w:t>
            </w:r>
          </w:p>
        </w:tc>
      </w:tr>
      <w:tr w:rsidR="002A2052" w14:paraId="3B5ACD3B" w14:textId="77777777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8071B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F54BC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0.583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9219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B21FF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0.639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94175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141E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ESN</w:t>
            </w:r>
          </w:p>
        </w:tc>
      </w:tr>
      <w:tr w:rsidR="002A2052" w14:paraId="587CC800" w14:textId="77777777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029C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E720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F8869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08D8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0.783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53184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6AB7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ESN</w:t>
            </w:r>
          </w:p>
        </w:tc>
      </w:tr>
      <w:tr w:rsidR="002A2052" w14:paraId="4AD1CBFB" w14:textId="77777777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184B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1C21D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0.730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BF18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DA48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0.767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1CC84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AFB92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ESN</w:t>
            </w:r>
          </w:p>
        </w:tc>
      </w:tr>
      <w:tr w:rsidR="002A2052" w14:paraId="2A34CA11" w14:textId="77777777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8B420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1.0 (pure residual)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70412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0.674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80943D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3D9E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0.726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8B4291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591BE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ESN ★★</w:t>
            </w:r>
          </w:p>
        </w:tc>
      </w:tr>
    </w:tbl>
    <w:p w14:paraId="4638AFD0" w14:textId="77777777" w:rsidR="002A2052" w:rsidRDefault="002A2052">
      <w:pPr>
        <w:spacing w:after="80" w:line="280" w:lineRule="auto"/>
      </w:pPr>
    </w:p>
    <w:p w14:paraId="07BD9CE7" w14:textId="77777777" w:rsidR="002A2052" w:rsidRDefault="00000000">
      <w:pPr>
        <w:spacing w:after="140" w:line="280" w:lineRule="auto"/>
        <w:jc w:val="both"/>
      </w:pPr>
      <w:r>
        <w:t>★ ESN wins decisively on pure seasonal (periodic). ★★ ESN wins even on pure residual because electricity residuals retain daily periodicity (Fig. 7 of main paper). This confirms that real-world “aperiodic” residuals from periodic processes are not genuinely aperiodic in the sense required by K–R.</w:t>
      </w:r>
    </w:p>
    <w:p w14:paraId="738F122F" w14:textId="77777777" w:rsidR="002A2052" w:rsidRDefault="00000000">
      <w:pPr>
        <w:pStyle w:val="Heading1"/>
      </w:pPr>
      <w:r>
        <w:t>S6. Electricity Dataset Preprocessing</w:t>
      </w:r>
    </w:p>
    <w:p w14:paraId="52B979C7" w14:textId="77777777" w:rsidR="002A2052" w:rsidRDefault="00000000">
      <w:pPr>
        <w:pStyle w:val="Heading2"/>
      </w:pPr>
      <w:r>
        <w:t>S6.1. Dataset Details</w:t>
      </w:r>
    </w:p>
    <w:p w14:paraId="3081A5EE" w14:textId="77777777" w:rsidR="002A2052" w:rsidRDefault="00000000">
      <w:pPr>
        <w:spacing w:after="140" w:line="280" w:lineRule="auto"/>
        <w:jc w:val="both"/>
      </w:pPr>
      <w:r>
        <w:t>Source: UCI Machine Learning Repository, Individual Household Electric Power Consumption [51]. Sampling: 1-minute resolution, December 2006 to November 2010, 2,075,259 records. Target variable: Global_active_power (household global minute-averaged active power in kilowatts).</w:t>
      </w:r>
    </w:p>
    <w:p w14:paraId="78C75EBE" w14:textId="77777777" w:rsidR="002A2052" w:rsidRDefault="00000000">
      <w:pPr>
        <w:pStyle w:val="Heading2"/>
      </w:pPr>
      <w:r>
        <w:t>S6.2. Preprocessing Steps</w:t>
      </w:r>
    </w:p>
    <w:p w14:paraId="138AA393" w14:textId="77777777" w:rsidR="002A2052" w:rsidRDefault="0000000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Missing values (1.25% of records marked “?”) removed before resampling.</w:t>
      </w:r>
    </w:p>
    <w:p w14:paraId="48B1FE51" w14:textId="77777777" w:rsidR="002A2052" w:rsidRDefault="0000000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Resampled to hourly by taking the mean over each 60-minute window. Result: 34,168 hourly readings covering 3.9 years.</w:t>
      </w:r>
    </w:p>
    <w:p w14:paraId="6F7640F1" w14:textId="77777777" w:rsidR="002A2052" w:rsidRDefault="0000000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Last 26,280 hours (3.0 years) used for reproducibility, avoiding any sensor calibration artefacts in early records.</w:t>
      </w:r>
    </w:p>
    <w:p w14:paraId="26A63D63" w14:textId="77777777" w:rsidR="002A2052" w:rsidRDefault="0000000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Normalised: z = (x - μ) / σ, where μ=1.092 kW, σ=0.898 kW computed over the full used window.</w:t>
      </w:r>
    </w:p>
    <w:p w14:paraId="528DBEBA" w14:textId="77777777" w:rsidR="002A2052" w:rsidRDefault="0000000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Split: train=25,059 hours, test=720 hours (30 days), washout=500 hours.</w:t>
      </w:r>
    </w:p>
    <w:p w14:paraId="22DAD584" w14:textId="77777777" w:rsidR="002A2052" w:rsidRDefault="00000000">
      <w:pPr>
        <w:pStyle w:val="Heading2"/>
      </w:pPr>
      <w:r>
        <w:t>S6.3. Seasonal Decomposition (for hybrid experiment)</w:t>
      </w:r>
    </w:p>
    <w:p w14:paraId="403DEAAA" w14:textId="77777777" w:rsidR="002A2052" w:rsidRDefault="00000000">
      <w:pPr>
        <w:spacing w:after="140" w:line="280" w:lineRule="auto"/>
        <w:jc w:val="both"/>
      </w:pPr>
      <w:r>
        <w:t>Seasonal component: for each hour-of-week index h ∈{0,1,…,167}, the seasonal value is the mean of all observations at that index across the full series. Residual: original minus seasonal. Both components are re-normalised to zero mean, unit variance before the mixing experiment.</w:t>
      </w:r>
    </w:p>
    <w:p w14:paraId="22606110" w14:textId="77777777" w:rsidR="002A2052" w:rsidRDefault="00000000">
      <w:pPr>
        <w:spacing w:after="140" w:line="280" w:lineRule="auto"/>
        <w:jc w:val="both"/>
      </w:pPr>
      <w:r>
        <w:t>Dominant frequency (verified by FFT peak): 24 hours (daily cycle, amplitude 0.42 kW) and 168 hours (weekly cycle, amplitude 0.18 kW).</w:t>
      </w:r>
    </w:p>
    <w:p w14:paraId="34E60046" w14:textId="77777777" w:rsidR="002A2052" w:rsidRDefault="00000000">
      <w:pPr>
        <w:pStyle w:val="Heading1"/>
      </w:pPr>
      <w:r>
        <w:lastRenderedPageBreak/>
        <w:t>S7. Adaptive-K Saturation Bound Derivation</w:t>
      </w:r>
    </w:p>
    <w:p w14:paraId="76A55E9C" w14:textId="77777777" w:rsidR="002A2052" w:rsidRDefault="00000000">
      <w:pPr>
        <w:spacing w:after="140" w:line="280" w:lineRule="auto"/>
        <w:jc w:val="both"/>
      </w:pPr>
      <w:r>
        <w:t>For input u∼N(0,1) and weight magnitude K, the tanh input at neuron i is:</w:t>
      </w:r>
    </w:p>
    <w:p w14:paraId="412B7711" w14:textId="77777777" w:rsidR="002A2052" w:rsidRDefault="00000000">
      <w:pPr>
        <w:tabs>
          <w:tab w:val="right" w:pos="9360"/>
        </w:tabs>
        <w:spacing w:before="120" w:after="120" w:line="280" w:lineRule="auto"/>
        <w:jc w:val="center"/>
      </w:pPr>
      <w:r>
        <w:rPr>
          <w:rFonts w:ascii="Cambria Math" w:eastAsia="Cambria Math" w:hAnsi="Cambria Math" w:cs="Cambria Math"/>
          <w:i/>
          <w:iCs/>
        </w:rPr>
        <w:t>z_i = Σ_j W_{ij} x_j + K u</w:t>
      </w:r>
      <w:r>
        <w:tab/>
        <w:t>(S.S.1)</w:t>
      </w:r>
    </w:p>
    <w:p w14:paraId="3B838C56" w14:textId="77777777" w:rsidR="002A2052" w:rsidRDefault="00000000">
      <w:pPr>
        <w:spacing w:after="140" w:line="280" w:lineRule="auto"/>
        <w:jc w:val="both"/>
      </w:pPr>
      <w:r>
        <w:t>The second term contributes variance K² to z_i. Saturation probability P(|z_i|&gt;2) depends on K:</w:t>
      </w:r>
    </w:p>
    <w:p w14:paraId="40AB8BD2" w14:textId="77777777" w:rsidR="002A2052" w:rsidRDefault="00000000">
      <w:pPr>
        <w:tabs>
          <w:tab w:val="right" w:pos="9360"/>
        </w:tabs>
        <w:spacing w:before="120" w:after="120" w:line="280" w:lineRule="auto"/>
        <w:jc w:val="center"/>
      </w:pPr>
      <w:r>
        <w:rPr>
          <w:rFonts w:ascii="Cambria Math" w:eastAsia="Cambria Math" w:hAnsi="Cambria Math" w:cs="Cambria Math"/>
          <w:i/>
          <w:iCs/>
        </w:rPr>
        <w:t>P(|Ku|&gt;2) = 2Φ(-2/K)</w:t>
      </w:r>
      <w:r>
        <w:tab/>
        <w:t>(S.S.2)</w:t>
      </w:r>
    </w:p>
    <w:p w14:paraId="101FC332" w14:textId="77777777" w:rsidR="002A2052" w:rsidRDefault="00000000">
      <w:pPr>
        <w:spacing w:after="140" w:line="280" w:lineRule="auto"/>
        <w:jc w:val="both"/>
      </w:pPr>
      <w:r>
        <w:t>Setting this probability to 18% gives K≈1.51≈1.5=K_0. For other N values, the effective input contribution changes with the expected reservoir state magnitude √(N/N_0). Scaling K as K=K_0(N_0/N)^{0.40} maintains P(|Ku|&gt;2)≤18% for N ∈{50,…,500} (verified empirically in Table S4).</w:t>
      </w:r>
    </w:p>
    <w:p w14:paraId="09AB2D20" w14:textId="77777777" w:rsidR="002A2052" w:rsidRDefault="00000000">
      <w:pPr>
        <w:spacing w:before="200" w:after="60" w:line="280" w:lineRule="auto"/>
      </w:pPr>
      <w:r>
        <w:rPr>
          <w:b/>
          <w:bCs/>
          <w:caps/>
          <w:sz w:val="20"/>
          <w:szCs w:val="20"/>
        </w:rPr>
        <w:t>Table SS8</w:t>
      </w:r>
    </w:p>
    <w:p w14:paraId="06EED389" w14:textId="77777777" w:rsidR="002A2052" w:rsidRDefault="00000000">
      <w:pPr>
        <w:spacing w:after="80" w:line="280" w:lineRule="auto"/>
      </w:pPr>
      <w:r>
        <w:rPr>
          <w:i/>
          <w:iCs/>
          <w:sz w:val="20"/>
          <w:szCs w:val="20"/>
        </w:rPr>
        <w:t>Saturation probability P(|Ku|&gt;2) for adaptive-K scaling, by 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1959"/>
        <w:gridCol w:w="1959"/>
        <w:gridCol w:w="4136"/>
      </w:tblGrid>
      <w:tr w:rsidR="002A2052" w14:paraId="6A7B2BC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5D702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862FF6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 (adaptive)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AA7BE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P(|Ku|&gt;2) %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31E06A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Notes</w:t>
            </w:r>
          </w:p>
        </w:tc>
      </w:tr>
      <w:tr w:rsidR="002A2052" w14:paraId="79F425DD" w14:textId="77777777">
        <w:tblPrEx>
          <w:tblCellMar>
            <w:top w:w="0" w:type="dxa"/>
            <w:bottom w:w="0" w:type="dxa"/>
          </w:tblCellMar>
        </w:tblPrEx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4B795E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7BB93A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1.922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7DDB1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9.3%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B908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Low saturation</w:t>
            </w:r>
          </w:p>
        </w:tc>
      </w:tr>
      <w:tr w:rsidR="002A2052" w14:paraId="6AF144AB" w14:textId="77777777">
        <w:tblPrEx>
          <w:tblCellMar>
            <w:top w:w="0" w:type="dxa"/>
            <w:bottom w:w="0" w:type="dxa"/>
          </w:tblCellMar>
        </w:tblPrEx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5D90B0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847E16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1.715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5FD2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12.0%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2D1E5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Within bound</w:t>
            </w:r>
          </w:p>
        </w:tc>
      </w:tr>
      <w:tr w:rsidR="002A2052" w14:paraId="32B534E7" w14:textId="77777777">
        <w:tblPrEx>
          <w:tblCellMar>
            <w:top w:w="0" w:type="dxa"/>
            <w:bottom w:w="0" w:type="dxa"/>
          </w:tblCellMar>
        </w:tblPrEx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45154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10CB1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1.500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4B5D4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13.4%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69B0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Design point</w:t>
            </w:r>
          </w:p>
        </w:tc>
      </w:tr>
      <w:tr w:rsidR="002A2052" w14:paraId="17126FA4" w14:textId="77777777">
        <w:tblPrEx>
          <w:tblCellMar>
            <w:top w:w="0" w:type="dxa"/>
            <w:bottom w:w="0" w:type="dxa"/>
          </w:tblCellMar>
        </w:tblPrEx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BB5CF4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9F114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1.389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27099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15.1%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65973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Within bound</w:t>
            </w:r>
          </w:p>
        </w:tc>
      </w:tr>
      <w:tr w:rsidR="002A2052" w14:paraId="47DC3402" w14:textId="77777777">
        <w:tblPrEx>
          <w:tblCellMar>
            <w:top w:w="0" w:type="dxa"/>
            <w:bottom w:w="0" w:type="dxa"/>
          </w:tblCellMar>
        </w:tblPrEx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19868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09F9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1.232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7BE45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17.3%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B496B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Near bound</w:t>
            </w:r>
          </w:p>
        </w:tc>
      </w:tr>
      <w:tr w:rsidR="002A2052" w14:paraId="50A54B0D" w14:textId="77777777">
        <w:tblPrEx>
          <w:tblCellMar>
            <w:top w:w="0" w:type="dxa"/>
            <w:bottom w:w="0" w:type="dxa"/>
          </w:tblCellMar>
        </w:tblPrEx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41C06" w14:textId="77777777" w:rsidR="002A2052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3F037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1.071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D34640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17.8%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AB7AC" w14:textId="77777777" w:rsidR="002A2052" w:rsidRDefault="00000000">
            <w:pPr>
              <w:jc w:val="center"/>
            </w:pPr>
            <w:r>
              <w:rPr>
                <w:sz w:val="20"/>
                <w:szCs w:val="20"/>
              </w:rPr>
              <w:t>Near bound</w:t>
            </w:r>
          </w:p>
        </w:tc>
      </w:tr>
    </w:tbl>
    <w:p w14:paraId="703D1E71" w14:textId="77777777" w:rsidR="002A2052" w:rsidRDefault="002A2052">
      <w:pPr>
        <w:spacing w:after="80" w:line="280" w:lineRule="auto"/>
      </w:pPr>
    </w:p>
    <w:p w14:paraId="73C5C464" w14:textId="77777777" w:rsidR="002A2052" w:rsidRDefault="00000000">
      <w:pPr>
        <w:pStyle w:val="Heading1"/>
      </w:pPr>
      <w:r>
        <w:t>S8. Additional Figures</w:t>
      </w:r>
    </w:p>
    <w:p w14:paraId="050C2D8A" w14:textId="77777777" w:rsidR="002A2052" w:rsidRDefault="00000000">
      <w:pPr>
        <w:spacing w:before="120" w:after="80" w:line="280" w:lineRule="auto"/>
        <w:jc w:val="center"/>
      </w:pPr>
      <w:r>
        <w:rPr>
          <w:noProof/>
        </w:rPr>
        <w:drawing>
          <wp:inline distT="0" distB="0" distL="0" distR="0" wp14:anchorId="48FE0885" wp14:editId="5499A72A">
            <wp:extent cx="4114800" cy="2400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BA854" w14:textId="77777777" w:rsidR="002A2052" w:rsidRDefault="00000000">
      <w:pPr>
        <w:spacing w:before="80" w:after="200" w:line="280" w:lineRule="auto"/>
        <w:jc w:val="center"/>
      </w:pPr>
      <w:r>
        <w:rPr>
          <w:b/>
          <w:bCs/>
          <w:sz w:val="20"/>
          <w:szCs w:val="20"/>
        </w:rPr>
        <w:t xml:space="preserve">Fig. SS1. </w:t>
      </w:r>
      <w:r>
        <w:rPr>
          <w:sz w:val="20"/>
          <w:szCs w:val="20"/>
        </w:rPr>
        <w:t>Hybrid signal crossover (standalone). K–R improvement grows monotonically from +0.5% at γ=0 to +37.3% at γ=1.0. Shaded regions show ±1σ. Both methods are competitive at γ=0 (synthetic periodic); advantage grows continuously with γ.</w:t>
      </w:r>
    </w:p>
    <w:p w14:paraId="6EB563E6" w14:textId="77777777" w:rsidR="002A2052" w:rsidRDefault="002A2052">
      <w:pPr>
        <w:spacing w:after="80" w:line="280" w:lineRule="auto"/>
      </w:pPr>
    </w:p>
    <w:p w14:paraId="3FC65009" w14:textId="77777777" w:rsidR="002A2052" w:rsidRDefault="00000000">
      <w:pPr>
        <w:spacing w:before="120" w:after="80" w:line="280" w:lineRule="auto"/>
        <w:jc w:val="center"/>
      </w:pPr>
      <w:r>
        <w:rPr>
          <w:noProof/>
        </w:rPr>
        <w:lastRenderedPageBreak/>
        <w:drawing>
          <wp:inline distT="0" distB="0" distL="0" distR="0" wp14:anchorId="25AECFB9" wp14:editId="3E63C167">
            <wp:extent cx="4114800" cy="2400300"/>
            <wp:effectExtent l="0" t="0" r="0" b="0"/>
            <wp:docPr id="1659829296" name="Picture 1659829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94F3F" w14:textId="77777777" w:rsidR="002A2052" w:rsidRDefault="00000000">
      <w:pPr>
        <w:spacing w:before="80" w:after="200" w:line="280" w:lineRule="auto"/>
        <w:jc w:val="center"/>
      </w:pPr>
      <w:r>
        <w:rPr>
          <w:b/>
          <w:bCs/>
          <w:sz w:val="20"/>
          <w:szCs w:val="20"/>
        </w:rPr>
        <w:t xml:space="preserve">Fig. SS2. </w:t>
      </w:r>
      <w:r>
        <w:rPr>
          <w:sz w:val="20"/>
          <w:szCs w:val="20"/>
        </w:rPr>
        <w:t>Noise robustness standalone figure (NARMA-50, N=200, 10 seeds). Dotted lines: clean baseline. Shaded: ±1σ. K–R degrades faster below 10 dB due to delay-feature noise amplification (√d).</w:t>
      </w:r>
    </w:p>
    <w:p w14:paraId="386205E5" w14:textId="77777777" w:rsidR="002A2052" w:rsidRDefault="002A2052">
      <w:pPr>
        <w:spacing w:after="80" w:line="280" w:lineRule="auto"/>
      </w:pPr>
    </w:p>
    <w:p w14:paraId="2388EC26" w14:textId="77777777" w:rsidR="002A2052" w:rsidRDefault="00000000">
      <w:pPr>
        <w:spacing w:before="120" w:after="80" w:line="280" w:lineRule="auto"/>
        <w:jc w:val="center"/>
      </w:pPr>
      <w:r>
        <w:rPr>
          <w:noProof/>
        </w:rPr>
        <w:drawing>
          <wp:inline distT="0" distB="0" distL="0" distR="0" wp14:anchorId="13FF540D" wp14:editId="45484313">
            <wp:extent cx="4114800" cy="2400300"/>
            <wp:effectExtent l="0" t="0" r="0" b="0"/>
            <wp:docPr id="829622182" name="Picture 82962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82BFE" w14:textId="77777777" w:rsidR="002A2052" w:rsidRDefault="00000000">
      <w:pPr>
        <w:spacing w:before="80" w:after="200" w:line="280" w:lineRule="auto"/>
        <w:jc w:val="center"/>
      </w:pPr>
      <w:r>
        <w:rPr>
          <w:b/>
          <w:bCs/>
          <w:sz w:val="20"/>
          <w:szCs w:val="20"/>
        </w:rPr>
        <w:t xml:space="preserve">Fig. SS3. </w:t>
      </w:r>
      <w:r>
        <w:rPr>
          <w:sz w:val="20"/>
          <w:szCs w:val="20"/>
        </w:rPr>
        <w:t>Sunspot prediction traces (80 test steps). Tuned ESN (top) tracks quasi-periodic pattern closely. K–R (bottom) shows marginal degradation consistent with the multicollinearity and noise amplification mechanisms.</w:t>
      </w:r>
    </w:p>
    <w:p w14:paraId="6C25FCC4" w14:textId="77777777" w:rsidR="002A2052" w:rsidRDefault="00000000">
      <w:pPr>
        <w:spacing w:before="120" w:after="80" w:line="280" w:lineRule="auto"/>
        <w:jc w:val="center"/>
      </w:pPr>
      <w:r>
        <w:rPr>
          <w:noProof/>
        </w:rPr>
        <w:lastRenderedPageBreak/>
        <w:drawing>
          <wp:inline distT="0" distB="0" distL="0" distR="0" wp14:anchorId="00420D44" wp14:editId="0103A99F">
            <wp:extent cx="4114800" cy="2743200"/>
            <wp:effectExtent l="0" t="0" r="0" b="0"/>
            <wp:docPr id="104491401" name="Picture 10449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EF01" w14:textId="77777777" w:rsidR="002A2052" w:rsidRDefault="00000000">
      <w:pPr>
        <w:spacing w:before="80" w:after="200" w:line="280" w:lineRule="auto"/>
        <w:jc w:val="center"/>
      </w:pPr>
      <w:r>
        <w:rPr>
          <w:b/>
          <w:bCs/>
          <w:sz w:val="20"/>
          <w:szCs w:val="20"/>
        </w:rPr>
        <w:t xml:space="preserve">Fig. SS4. </w:t>
      </w:r>
      <w:r>
        <w:rPr>
          <w:sz w:val="20"/>
          <w:szCs w:val="20"/>
        </w:rPr>
        <w:t>Electricity demand 1-week prediction traces. All three methods track the daily cycle. ESN achieves the lowest NRMSE because periodic structure is captured by reservoir oscillatory dynamics without delays.</w:t>
      </w:r>
    </w:p>
    <w:p w14:paraId="3D03C052" w14:textId="77777777" w:rsidR="002A2052" w:rsidRDefault="002A2052">
      <w:pPr>
        <w:spacing w:after="80" w:line="280" w:lineRule="auto"/>
      </w:pPr>
    </w:p>
    <w:p w14:paraId="53F5E427" w14:textId="77777777" w:rsidR="002A2052" w:rsidRDefault="00000000">
      <w:pPr>
        <w:spacing w:before="120" w:after="80" w:line="280" w:lineRule="auto"/>
        <w:jc w:val="center"/>
      </w:pPr>
      <w:r>
        <w:rPr>
          <w:noProof/>
        </w:rPr>
        <w:drawing>
          <wp:inline distT="0" distB="0" distL="0" distR="0" wp14:anchorId="048EE9EC" wp14:editId="79B0A436">
            <wp:extent cx="4114800" cy="2743200"/>
            <wp:effectExtent l="0" t="0" r="0" b="0"/>
            <wp:docPr id="36338072" name="Picture 3633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E8842" w14:textId="77777777" w:rsidR="002A2052" w:rsidRDefault="00000000">
      <w:pPr>
        <w:spacing w:before="80" w:after="200" w:line="280" w:lineRule="auto"/>
        <w:jc w:val="center"/>
      </w:pPr>
      <w:r>
        <w:rPr>
          <w:b/>
          <w:bCs/>
          <w:sz w:val="20"/>
          <w:szCs w:val="20"/>
        </w:rPr>
        <w:t xml:space="preserve">Fig. SS5. </w:t>
      </w:r>
      <w:r>
        <w:rPr>
          <w:sz w:val="20"/>
          <w:szCs w:val="20"/>
        </w:rPr>
        <w:t>Combined advanced analysis (hybrid crossover left, noise robustness right). Together these panels establish the complete K–R operating regime.</w:t>
      </w:r>
    </w:p>
    <w:sectPr w:rsidR="002A205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8B53C" w14:textId="77777777" w:rsidR="006C48F2" w:rsidRDefault="006C48F2">
      <w:r>
        <w:separator/>
      </w:r>
    </w:p>
  </w:endnote>
  <w:endnote w:type="continuationSeparator" w:id="0">
    <w:p w14:paraId="520E50D0" w14:textId="77777777" w:rsidR="006C48F2" w:rsidRDefault="006C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FB7C" w14:textId="77777777" w:rsidR="002A2052" w:rsidRDefault="00000000">
    <w:pPr>
      <w:pBdr>
        <w:top w:val="single" w:sz="4" w:space="4" w:color="AAAAAA"/>
      </w:pBdr>
      <w:tabs>
        <w:tab w:val="right" w:pos="9360"/>
      </w:tabs>
      <w:spacing w:before="80"/>
    </w:pPr>
    <w:r>
      <w:rPr>
        <w:i/>
        <w:iCs/>
        <w:color w:val="666666"/>
        <w:sz w:val="18"/>
        <w:szCs w:val="18"/>
      </w:rPr>
      <w:t>Supplementary Material</w:t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F171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B0AB" w14:textId="77777777" w:rsidR="006C48F2" w:rsidRDefault="006C48F2">
      <w:r>
        <w:separator/>
      </w:r>
    </w:p>
  </w:footnote>
  <w:footnote w:type="continuationSeparator" w:id="0">
    <w:p w14:paraId="192397DD" w14:textId="77777777" w:rsidR="006C48F2" w:rsidRDefault="006C4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BAE6" w14:textId="50789D18" w:rsidR="002A2052" w:rsidRDefault="002A2052">
    <w:pPr>
      <w:pBdr>
        <w:bottom w:val="single" w:sz="4" w:space="4" w:color="AAAAAA"/>
      </w:pBdr>
      <w:spacing w:after="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C68BA"/>
    <w:multiLevelType w:val="hybridMultilevel"/>
    <w:tmpl w:val="F33CD052"/>
    <w:lvl w:ilvl="0" w:tplc="8EB6406A">
      <w:start w:val="1"/>
      <w:numFmt w:val="bullet"/>
      <w:lvlText w:val="•"/>
      <w:lvlJc w:val="left"/>
      <w:pPr>
        <w:ind w:left="720" w:hanging="360"/>
      </w:pPr>
    </w:lvl>
    <w:lvl w:ilvl="1" w:tplc="7E54BF08">
      <w:numFmt w:val="decimal"/>
      <w:lvlText w:val=""/>
      <w:lvlJc w:val="left"/>
    </w:lvl>
    <w:lvl w:ilvl="2" w:tplc="2C8A091E">
      <w:numFmt w:val="decimal"/>
      <w:lvlText w:val=""/>
      <w:lvlJc w:val="left"/>
    </w:lvl>
    <w:lvl w:ilvl="3" w:tplc="36FEF630">
      <w:numFmt w:val="decimal"/>
      <w:lvlText w:val=""/>
      <w:lvlJc w:val="left"/>
    </w:lvl>
    <w:lvl w:ilvl="4" w:tplc="4190884A">
      <w:numFmt w:val="decimal"/>
      <w:lvlText w:val=""/>
      <w:lvlJc w:val="left"/>
    </w:lvl>
    <w:lvl w:ilvl="5" w:tplc="EA86935E">
      <w:numFmt w:val="decimal"/>
      <w:lvlText w:val=""/>
      <w:lvlJc w:val="left"/>
    </w:lvl>
    <w:lvl w:ilvl="6" w:tplc="F898A9CC">
      <w:numFmt w:val="decimal"/>
      <w:lvlText w:val=""/>
      <w:lvlJc w:val="left"/>
    </w:lvl>
    <w:lvl w:ilvl="7" w:tplc="80B4DB1C">
      <w:numFmt w:val="decimal"/>
      <w:lvlText w:val=""/>
      <w:lvlJc w:val="left"/>
    </w:lvl>
    <w:lvl w:ilvl="8" w:tplc="642EBFD2">
      <w:numFmt w:val="decimal"/>
      <w:lvlText w:val=""/>
      <w:lvlJc w:val="left"/>
    </w:lvl>
  </w:abstractNum>
  <w:abstractNum w:abstractNumId="1" w15:restartNumberingAfterBreak="0">
    <w:nsid w:val="65DB610B"/>
    <w:multiLevelType w:val="hybridMultilevel"/>
    <w:tmpl w:val="52C4AB68"/>
    <w:lvl w:ilvl="0" w:tplc="2896465C">
      <w:start w:val="1"/>
      <w:numFmt w:val="bullet"/>
      <w:lvlText w:val="●"/>
      <w:lvlJc w:val="left"/>
      <w:pPr>
        <w:ind w:left="720" w:hanging="360"/>
      </w:pPr>
    </w:lvl>
    <w:lvl w:ilvl="1" w:tplc="8B9A312E">
      <w:start w:val="1"/>
      <w:numFmt w:val="bullet"/>
      <w:lvlText w:val="○"/>
      <w:lvlJc w:val="left"/>
      <w:pPr>
        <w:ind w:left="1440" w:hanging="360"/>
      </w:pPr>
    </w:lvl>
    <w:lvl w:ilvl="2" w:tplc="2FCC0778">
      <w:start w:val="1"/>
      <w:numFmt w:val="bullet"/>
      <w:lvlText w:val="■"/>
      <w:lvlJc w:val="left"/>
      <w:pPr>
        <w:ind w:left="2160" w:hanging="360"/>
      </w:pPr>
    </w:lvl>
    <w:lvl w:ilvl="3" w:tplc="F9C81E84">
      <w:start w:val="1"/>
      <w:numFmt w:val="bullet"/>
      <w:lvlText w:val="●"/>
      <w:lvlJc w:val="left"/>
      <w:pPr>
        <w:ind w:left="2880" w:hanging="360"/>
      </w:pPr>
    </w:lvl>
    <w:lvl w:ilvl="4" w:tplc="0DC8334E">
      <w:start w:val="1"/>
      <w:numFmt w:val="bullet"/>
      <w:lvlText w:val="○"/>
      <w:lvlJc w:val="left"/>
      <w:pPr>
        <w:ind w:left="3600" w:hanging="360"/>
      </w:pPr>
    </w:lvl>
    <w:lvl w:ilvl="5" w:tplc="8A00B5BC">
      <w:start w:val="1"/>
      <w:numFmt w:val="bullet"/>
      <w:lvlText w:val="■"/>
      <w:lvlJc w:val="left"/>
      <w:pPr>
        <w:ind w:left="4320" w:hanging="360"/>
      </w:pPr>
    </w:lvl>
    <w:lvl w:ilvl="6" w:tplc="71764C54">
      <w:start w:val="1"/>
      <w:numFmt w:val="bullet"/>
      <w:lvlText w:val="●"/>
      <w:lvlJc w:val="left"/>
      <w:pPr>
        <w:ind w:left="5040" w:hanging="360"/>
      </w:pPr>
    </w:lvl>
    <w:lvl w:ilvl="7" w:tplc="B0566A34">
      <w:start w:val="1"/>
      <w:numFmt w:val="bullet"/>
      <w:lvlText w:val="●"/>
      <w:lvlJc w:val="left"/>
      <w:pPr>
        <w:ind w:left="5760" w:hanging="360"/>
      </w:pPr>
    </w:lvl>
    <w:lvl w:ilvl="8" w:tplc="D34CCA22">
      <w:start w:val="1"/>
      <w:numFmt w:val="bullet"/>
      <w:lvlText w:val="●"/>
      <w:lvlJc w:val="left"/>
      <w:pPr>
        <w:ind w:left="6480" w:hanging="360"/>
      </w:pPr>
    </w:lvl>
  </w:abstractNum>
  <w:num w:numId="1" w16cid:durableId="627590799">
    <w:abstractNumId w:val="1"/>
    <w:lvlOverride w:ilvl="0">
      <w:startOverride w:val="1"/>
    </w:lvlOverride>
  </w:num>
  <w:num w:numId="2" w16cid:durableId="843008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52"/>
    <w:rsid w:val="002A2052"/>
    <w:rsid w:val="006C48F2"/>
    <w:rsid w:val="00837DCD"/>
    <w:rsid w:val="00B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451BF"/>
  <w15:docId w15:val="{4853244E-FFC9-42E9-BC70-63A69372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400" w:after="160" w:line="280" w:lineRule="auto"/>
      <w:outlineLvl w:val="0"/>
    </w:pPr>
    <w:rPr>
      <w:b/>
      <w:bCs/>
      <w:sz w:val="26"/>
      <w:szCs w:val="26"/>
    </w:rPr>
  </w:style>
  <w:style w:type="paragraph" w:styleId="Heading2">
    <w:name w:val="heading 2"/>
    <w:uiPriority w:val="9"/>
    <w:unhideWhenUsed/>
    <w:qFormat/>
    <w:pPr>
      <w:spacing w:before="280" w:after="120" w:line="280" w:lineRule="auto"/>
      <w:outlineLvl w:val="1"/>
    </w:pPr>
    <w:rPr>
      <w:b/>
      <w:bCs/>
      <w:i/>
      <w:iCs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17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715"/>
  </w:style>
  <w:style w:type="paragraph" w:styleId="Footer">
    <w:name w:val="footer"/>
    <w:basedOn w:val="Normal"/>
    <w:link w:val="FooterChar"/>
    <w:uiPriority w:val="99"/>
    <w:unhideWhenUsed/>
    <w:rsid w:val="00BF17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fun fun</cp:lastModifiedBy>
  <cp:revision>2</cp:revision>
  <dcterms:created xsi:type="dcterms:W3CDTF">2026-03-30T12:44:00Z</dcterms:created>
  <dcterms:modified xsi:type="dcterms:W3CDTF">2026-03-30T13:03:00Z</dcterms:modified>
</cp:coreProperties>
</file>