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09AB4" w14:textId="77777777" w:rsidR="00B32F64" w:rsidRPr="00B32F64" w:rsidRDefault="00B32F64" w:rsidP="00B32F64">
      <w:pPr>
        <w:jc w:val="center"/>
        <w:rPr>
          <w:rFonts w:ascii="Times New Roman" w:hAnsi="Times New Roman" w:cs="Times New Roman"/>
          <w:b/>
          <w:bCs/>
          <w:sz w:val="28"/>
        </w:rPr>
      </w:pPr>
      <w:r w:rsidRPr="00B32F64">
        <w:rPr>
          <w:rFonts w:ascii="Times New Roman" w:hAnsi="Times New Roman" w:cs="Times New Roman"/>
          <w:b/>
          <w:bCs/>
          <w:sz w:val="28"/>
        </w:rPr>
        <w:t>Supporting information for</w:t>
      </w:r>
    </w:p>
    <w:p w14:paraId="566B9EA4" w14:textId="422D9DD9" w:rsidR="00B32F64" w:rsidRPr="00B32F64" w:rsidRDefault="00B32F64" w:rsidP="00B32F64">
      <w:pPr>
        <w:jc w:val="center"/>
        <w:rPr>
          <w:rFonts w:ascii="Times New Roman" w:hAnsi="Times New Roman" w:cs="Times New Roman"/>
          <w:b/>
          <w:bCs/>
          <w:sz w:val="28"/>
        </w:rPr>
      </w:pPr>
      <w:r w:rsidRPr="00B32F64">
        <w:rPr>
          <w:rFonts w:ascii="Times New Roman" w:hAnsi="Times New Roman" w:cs="Times New Roman"/>
          <w:b/>
          <w:bCs/>
          <w:sz w:val="28"/>
        </w:rPr>
        <w:t xml:space="preserve">Enhanced Chiroptical Responses of </w:t>
      </w:r>
      <w:r w:rsidR="00577B27">
        <w:rPr>
          <w:rFonts w:ascii="Times New Roman" w:hAnsi="Times New Roman" w:cs="Times New Roman"/>
          <w:b/>
          <w:bCs/>
          <w:sz w:val="28"/>
        </w:rPr>
        <w:t>Chiral</w:t>
      </w:r>
      <w:r w:rsidR="00577B27" w:rsidRPr="0097496E">
        <w:rPr>
          <w:rFonts w:ascii="Times New Roman" w:hAnsi="Times New Roman" w:cs="Times New Roman"/>
          <w:b/>
          <w:bCs/>
          <w:sz w:val="28"/>
        </w:rPr>
        <w:t xml:space="preserve"> </w:t>
      </w:r>
      <w:bookmarkStart w:id="0" w:name="_GoBack"/>
      <w:bookmarkEnd w:id="0"/>
      <w:r w:rsidRPr="00B32F64">
        <w:rPr>
          <w:rFonts w:ascii="Times New Roman" w:hAnsi="Times New Roman" w:cs="Times New Roman"/>
          <w:b/>
          <w:bCs/>
          <w:sz w:val="28"/>
        </w:rPr>
        <w:t>Nanocubes Coupled to Periodic Nanopore Arrays</w:t>
      </w:r>
    </w:p>
    <w:p w14:paraId="79B1DCB4" w14:textId="77777777" w:rsidR="00B32F64" w:rsidRPr="00B32F64" w:rsidRDefault="00B32F64" w:rsidP="00B32F64">
      <w:pPr>
        <w:ind w:firstLine="440"/>
        <w:jc w:val="center"/>
        <w:rPr>
          <w:rFonts w:ascii="Times New Roman" w:hAnsi="Times New Roman" w:cs="Times New Roman"/>
        </w:rPr>
      </w:pPr>
      <w:r w:rsidRPr="00B32F64">
        <w:rPr>
          <w:rFonts w:ascii="Times New Roman" w:hAnsi="Times New Roman" w:cs="Times New Roman"/>
        </w:rPr>
        <w:t>Shuo Zhang</w:t>
      </w:r>
      <w:r w:rsidRPr="00B32F64">
        <w:rPr>
          <w:rFonts w:ascii="Times New Roman" w:hAnsi="Times New Roman" w:cs="Times New Roman"/>
          <w:vertAlign w:val="superscript"/>
        </w:rPr>
        <w:t>1</w:t>
      </w:r>
      <w:r w:rsidRPr="00B32F64">
        <w:rPr>
          <w:rFonts w:ascii="Times New Roman" w:hAnsi="Times New Roman" w:cs="Times New Roman"/>
        </w:rPr>
        <w:t>, Yingying Qian</w:t>
      </w:r>
      <w:r w:rsidRPr="00B32F64">
        <w:rPr>
          <w:rFonts w:ascii="Times New Roman" w:hAnsi="Times New Roman" w:cs="Times New Roman"/>
          <w:vertAlign w:val="superscript"/>
        </w:rPr>
        <w:t>1</w:t>
      </w:r>
      <w:r w:rsidRPr="00B32F64">
        <w:rPr>
          <w:rFonts w:ascii="Times New Roman" w:hAnsi="Times New Roman" w:cs="Times New Roman"/>
        </w:rPr>
        <w:t>, LanLan Shen</w:t>
      </w:r>
      <w:r w:rsidRPr="00B32F64">
        <w:rPr>
          <w:rFonts w:ascii="Times New Roman" w:hAnsi="Times New Roman" w:cs="Times New Roman"/>
          <w:vertAlign w:val="superscript"/>
        </w:rPr>
        <w:t>1</w:t>
      </w:r>
      <w:r w:rsidRPr="00B32F64">
        <w:rPr>
          <w:rFonts w:ascii="Times New Roman" w:hAnsi="Times New Roman" w:cs="Times New Roman"/>
        </w:rPr>
        <w:t xml:space="preserve"> and Yurui Fang</w:t>
      </w:r>
      <w:r w:rsidRPr="00B32F64">
        <w:rPr>
          <w:rFonts w:ascii="Times New Roman" w:hAnsi="Times New Roman" w:cs="Times New Roman"/>
          <w:vertAlign w:val="superscript"/>
        </w:rPr>
        <w:t>1,*</w:t>
      </w:r>
    </w:p>
    <w:p w14:paraId="376CF182" w14:textId="77777777" w:rsidR="00B32F64" w:rsidRPr="00B32F64" w:rsidRDefault="00B32F64" w:rsidP="00B32F64">
      <w:pPr>
        <w:ind w:firstLine="420"/>
        <w:jc w:val="center"/>
        <w:rPr>
          <w:rFonts w:ascii="Times New Roman" w:eastAsia="宋体" w:hAnsi="Times New Roman" w:cs="Times New Roman"/>
          <w:i/>
          <w:iCs/>
          <w:kern w:val="0"/>
          <w:szCs w:val="18"/>
          <w14:ligatures w14:val="none"/>
        </w:rPr>
      </w:pPr>
      <w:r w:rsidRPr="00B32F64">
        <w:rPr>
          <w:rFonts w:ascii="Times New Roman" w:eastAsia="宋体" w:hAnsi="Times New Roman" w:cs="Times New Roman"/>
          <w:kern w:val="0"/>
          <w:szCs w:val="18"/>
          <w:vertAlign w:val="superscript"/>
          <w14:ligatures w14:val="none"/>
        </w:rPr>
        <w:t>1</w:t>
      </w:r>
      <w:r w:rsidRPr="00B32F64">
        <w:rPr>
          <w:rFonts w:ascii="Times New Roman" w:eastAsia="宋体" w:hAnsi="Times New Roman" w:cs="Times New Roman"/>
          <w:i/>
          <w:iCs/>
          <w:kern w:val="0"/>
          <w:szCs w:val="18"/>
          <w14:ligatures w14:val="none"/>
        </w:rPr>
        <w:t xml:space="preserve"> School of Physics, Dalian University of Technology, Dalian </w:t>
      </w:r>
      <w:r w:rsidRPr="00B32F64">
        <w:rPr>
          <w:rFonts w:ascii="Times New Roman" w:eastAsia="宋体" w:hAnsi="Times New Roman" w:cs="Times New Roman"/>
          <w:kern w:val="0"/>
          <w:szCs w:val="18"/>
          <w14:ligatures w14:val="none"/>
        </w:rPr>
        <w:t>116024</w:t>
      </w:r>
      <w:r w:rsidRPr="00B32F64">
        <w:rPr>
          <w:rFonts w:ascii="Times New Roman" w:eastAsia="宋体" w:hAnsi="Times New Roman" w:cs="Times New Roman"/>
          <w:i/>
          <w:iCs/>
          <w:kern w:val="0"/>
          <w:szCs w:val="18"/>
          <w14:ligatures w14:val="none"/>
        </w:rPr>
        <w:t>, Liaoning, China</w:t>
      </w:r>
    </w:p>
    <w:p w14:paraId="6979D57A" w14:textId="77777777" w:rsidR="00B32F64" w:rsidRPr="00B32F64" w:rsidRDefault="00B32F64" w:rsidP="00B32F64">
      <w:pPr>
        <w:ind w:firstLine="420"/>
        <w:jc w:val="center"/>
        <w:rPr>
          <w:rFonts w:ascii="Times New Roman" w:hAnsi="Times New Roman" w:cs="Times New Roman"/>
          <w:b/>
          <w:bCs/>
          <w:szCs w:val="18"/>
        </w:rPr>
      </w:pPr>
      <w:r w:rsidRPr="00B32F64">
        <w:rPr>
          <w:rFonts w:ascii="Times New Roman" w:hAnsi="Times New Roman" w:cs="Times New Roman"/>
          <w:szCs w:val="18"/>
        </w:rPr>
        <w:t xml:space="preserve">* </w:t>
      </w:r>
      <w:r w:rsidRPr="00B32F64">
        <w:rPr>
          <w:rFonts w:ascii="Times New Roman" w:eastAsia="宋体" w:hAnsi="Times New Roman" w:cs="Times New Roman"/>
          <w:i/>
          <w:iCs/>
          <w:kern w:val="0"/>
          <w:szCs w:val="18"/>
          <w14:ligatures w14:val="none"/>
        </w:rPr>
        <w:t xml:space="preserve">Corresponding authors: </w:t>
      </w:r>
      <w:hyperlink r:id="rId7" w:history="1">
        <w:r w:rsidRPr="00B32F64">
          <w:rPr>
            <w:rStyle w:val="ad"/>
            <w:rFonts w:ascii="Times New Roman" w:eastAsia="宋体" w:hAnsi="Times New Roman" w:cs="Times New Roman"/>
            <w:i/>
            <w:iCs/>
            <w:kern w:val="0"/>
            <w:szCs w:val="18"/>
            <w14:ligatures w14:val="none"/>
          </w:rPr>
          <w:t>yrfang@dlut.edu.cn</w:t>
        </w:r>
      </w:hyperlink>
      <w:r w:rsidRPr="00B32F64">
        <w:rPr>
          <w:rFonts w:ascii="Times New Roman" w:eastAsia="宋体" w:hAnsi="Times New Roman" w:cs="Times New Roman"/>
          <w:i/>
          <w:iCs/>
          <w:kern w:val="0"/>
          <w:szCs w:val="18"/>
          <w14:ligatures w14:val="none"/>
        </w:rPr>
        <w:t xml:space="preserve"> (Y.F.)</w:t>
      </w:r>
    </w:p>
    <w:p w14:paraId="050D004C" w14:textId="6409C39D" w:rsidR="005B71C8" w:rsidRPr="00BA3AF9" w:rsidRDefault="005B71C8" w:rsidP="001E5F9C">
      <w:pPr>
        <w:spacing w:line="240" w:lineRule="auto"/>
        <w:rPr>
          <w:rFonts w:ascii="Times New Roman" w:hAnsi="Times New Roman" w:cs="Times New Roman"/>
          <w:b/>
          <w:bCs/>
          <w:sz w:val="24"/>
          <w:szCs w:val="21"/>
        </w:rPr>
      </w:pPr>
      <w:r w:rsidRPr="00BA3AF9">
        <w:rPr>
          <w:rFonts w:ascii="Times New Roman" w:hAnsi="Times New Roman" w:cs="Times New Roman"/>
          <w:b/>
          <w:bCs/>
          <w:sz w:val="24"/>
          <w:szCs w:val="21"/>
        </w:rPr>
        <w:t>Section 1. Preparation of Au Nanopore Array</w:t>
      </w:r>
    </w:p>
    <w:p w14:paraId="5ED12672" w14:textId="77777777" w:rsidR="005B71C8" w:rsidRPr="00B32F64" w:rsidRDefault="005B71C8" w:rsidP="001E5F9C">
      <w:pPr>
        <w:spacing w:line="240" w:lineRule="auto"/>
        <w:jc w:val="both"/>
        <w:rPr>
          <w:rFonts w:ascii="Times New Roman" w:hAnsi="Times New Roman" w:cs="Times New Roman"/>
          <w:szCs w:val="21"/>
        </w:rPr>
      </w:pPr>
      <w:r w:rsidRPr="00B32F64">
        <w:rPr>
          <w:rFonts w:ascii="Times New Roman" w:hAnsi="Times New Roman" w:cs="Times New Roman"/>
          <w:szCs w:val="21"/>
        </w:rPr>
        <w:t>The Au nanopore array was fabricated through a nanoimprint lithography (NIL) process using a PDMS soft template replicated from a silicon (Si) master mold.</w:t>
      </w:r>
    </w:p>
    <w:p w14:paraId="18BCBE28" w14:textId="77777777" w:rsidR="005B71C8" w:rsidRPr="00B32F64" w:rsidRDefault="005B71C8" w:rsidP="006B4129">
      <w:pPr>
        <w:spacing w:line="240" w:lineRule="auto"/>
        <w:ind w:firstLineChars="200" w:firstLine="420"/>
        <w:jc w:val="both"/>
        <w:rPr>
          <w:rFonts w:ascii="Times New Roman" w:hAnsi="Times New Roman" w:cs="Times New Roman"/>
          <w:szCs w:val="21"/>
        </w:rPr>
      </w:pPr>
      <w:r w:rsidRPr="00B32F64">
        <w:rPr>
          <w:rFonts w:ascii="Times New Roman" w:hAnsi="Times New Roman" w:cs="Times New Roman"/>
          <w:szCs w:val="21"/>
        </w:rPr>
        <w:t>The Si master mold with a hexagonal nanohole array (period ≈ 450 nm, diameter≈ 220 nm, depth ≈ 60 nm) was first prepared by deep ultraviolet (DUV) lithography combined with inductively coupled plasma (ICP) etching. Briefly, a single-crystal Si wafer was sequentially cleaned with acetone, isopropanol, and Piranha solution, followed by rinsing with ultrapure water and nitrogen drying. A PMMA photoresist layer was spin-coated and prebaked at 100 °C for 60 s. The nanohole pattern was defined by DUV exposure and subsequently developed to remove the exposed regions. The pattern was then transferred into the Si substrate via ICP etching, followed by complete removal of residual resist to obtain the Si master mold.</w:t>
      </w:r>
    </w:p>
    <w:p w14:paraId="1BD7B6BC" w14:textId="77777777" w:rsidR="005B71C8" w:rsidRPr="00B32F64" w:rsidRDefault="005B71C8" w:rsidP="006B4129">
      <w:pPr>
        <w:spacing w:line="240" w:lineRule="auto"/>
        <w:ind w:firstLineChars="200" w:firstLine="420"/>
        <w:jc w:val="both"/>
        <w:rPr>
          <w:rFonts w:ascii="Times New Roman" w:hAnsi="Times New Roman" w:cs="Times New Roman"/>
          <w:szCs w:val="21"/>
        </w:rPr>
      </w:pPr>
      <w:r w:rsidRPr="00B32F64">
        <w:rPr>
          <w:rFonts w:ascii="Times New Roman" w:hAnsi="Times New Roman" w:cs="Times New Roman"/>
          <w:szCs w:val="21"/>
        </w:rPr>
        <w:t>An anti-adhesion layer was spin-coated onto the Si mold and allowed to stabilize for more than 8 h. PDMS was then cast onto the treated mold and peeled off after curing to obtain an inverse nanodisk array soft template.</w:t>
      </w:r>
    </w:p>
    <w:p w14:paraId="3D8A1899" w14:textId="77777777" w:rsidR="005B71C8" w:rsidRPr="00B32F64" w:rsidRDefault="005B71C8" w:rsidP="006B4129">
      <w:pPr>
        <w:spacing w:line="240" w:lineRule="auto"/>
        <w:ind w:firstLineChars="200" w:firstLine="420"/>
        <w:jc w:val="both"/>
        <w:rPr>
          <w:rFonts w:ascii="Times New Roman" w:hAnsi="Times New Roman" w:cs="Times New Roman"/>
          <w:szCs w:val="21"/>
        </w:rPr>
      </w:pPr>
      <w:r w:rsidRPr="00B32F64">
        <w:rPr>
          <w:rFonts w:ascii="Times New Roman" w:hAnsi="Times New Roman" w:cs="Times New Roman"/>
          <w:szCs w:val="21"/>
        </w:rPr>
        <w:t>For nanoimprinting, a UV-curable resist was coated onto a Si substrate. The PDMS template was brought into conformal contact under vacuum conditions (20 kPa, room temperature), followed by UV curing (80 mW cm</w:t>
      </w:r>
      <w:r w:rsidRPr="00B32F64">
        <w:rPr>
          <w:rFonts w:ascii="Times New Roman" w:hAnsi="Times New Roman" w:cs="Times New Roman"/>
          <w:szCs w:val="21"/>
          <w:vertAlign w:val="superscript"/>
        </w:rPr>
        <w:t>-2</w:t>
      </w:r>
      <w:r w:rsidRPr="00B32F64">
        <w:rPr>
          <w:rFonts w:ascii="Times New Roman" w:hAnsi="Times New Roman" w:cs="Times New Roman"/>
          <w:szCs w:val="21"/>
        </w:rPr>
        <w:t>, 60 s). After curing, the PDMS template was gently detached, resulting in a replicated nanohole array in the resist layer.</w:t>
      </w:r>
      <w:bookmarkStart w:id="1" w:name="OLE_LINK2"/>
    </w:p>
    <w:p w14:paraId="75DE784D" w14:textId="77777777" w:rsidR="005B71C8" w:rsidRPr="00B32F64" w:rsidRDefault="005B71C8" w:rsidP="006B4129">
      <w:pPr>
        <w:spacing w:line="240" w:lineRule="auto"/>
        <w:ind w:firstLineChars="200" w:firstLine="420"/>
        <w:jc w:val="both"/>
        <w:rPr>
          <w:rFonts w:ascii="Times New Roman" w:hAnsi="Times New Roman" w:cs="Times New Roman"/>
          <w:szCs w:val="21"/>
        </w:rPr>
      </w:pPr>
      <w:r w:rsidRPr="00B32F64">
        <w:rPr>
          <w:rFonts w:ascii="Times New Roman" w:hAnsi="Times New Roman" w:cs="Times New Roman"/>
          <w:szCs w:val="21"/>
        </w:rPr>
        <w:t>Finally, 100 nm Au film was deposited by electron-beam evaporation to form the Au nanopore array. The fabricated samples were diced and cleaned prior to use.</w:t>
      </w:r>
    </w:p>
    <w:bookmarkEnd w:id="1"/>
    <w:p w14:paraId="1CBC7624" w14:textId="77777777" w:rsidR="005B71C8" w:rsidRPr="00B32F64" w:rsidRDefault="005B71C8" w:rsidP="006B4129">
      <w:pPr>
        <w:spacing w:line="240" w:lineRule="auto"/>
        <w:ind w:firstLine="422"/>
        <w:rPr>
          <w:rFonts w:ascii="Times New Roman" w:hAnsi="Times New Roman" w:cs="Times New Roman"/>
          <w:b/>
          <w:bCs/>
          <w:szCs w:val="21"/>
        </w:rPr>
      </w:pPr>
    </w:p>
    <w:p w14:paraId="7912C824" w14:textId="1B579D46" w:rsidR="0049223A" w:rsidRPr="00BA3AF9" w:rsidRDefault="00712503" w:rsidP="001E5F9C">
      <w:pPr>
        <w:spacing w:line="240" w:lineRule="auto"/>
        <w:rPr>
          <w:rFonts w:ascii="Times New Roman" w:hAnsi="Times New Roman" w:cs="Times New Roman"/>
          <w:b/>
          <w:bCs/>
          <w:sz w:val="24"/>
          <w:szCs w:val="21"/>
        </w:rPr>
      </w:pPr>
      <w:r w:rsidRPr="00BA3AF9">
        <w:rPr>
          <w:rFonts w:ascii="Times New Roman" w:hAnsi="Times New Roman" w:cs="Times New Roman"/>
          <w:b/>
          <w:bCs/>
          <w:sz w:val="24"/>
          <w:szCs w:val="21"/>
        </w:rPr>
        <w:t xml:space="preserve">Section </w:t>
      </w:r>
      <w:r w:rsidR="005B71C8" w:rsidRPr="00BA3AF9">
        <w:rPr>
          <w:rFonts w:ascii="Times New Roman" w:hAnsi="Times New Roman" w:cs="Times New Roman"/>
          <w:b/>
          <w:bCs/>
          <w:sz w:val="24"/>
          <w:szCs w:val="21"/>
        </w:rPr>
        <w:t>2</w:t>
      </w:r>
      <w:r w:rsidRPr="00BA3AF9">
        <w:rPr>
          <w:rFonts w:ascii="Times New Roman" w:hAnsi="Times New Roman" w:cs="Times New Roman"/>
          <w:b/>
          <w:bCs/>
          <w:sz w:val="24"/>
          <w:szCs w:val="21"/>
        </w:rPr>
        <w:t>. Synthesis of Chiral Au Nanocubes</w:t>
      </w:r>
    </w:p>
    <w:p w14:paraId="6094FCDF" w14:textId="77777777" w:rsidR="0049223A" w:rsidRPr="00B32F64" w:rsidRDefault="00712503" w:rsidP="001E5F9C">
      <w:pPr>
        <w:spacing w:line="240" w:lineRule="auto"/>
        <w:jc w:val="both"/>
        <w:rPr>
          <w:rFonts w:ascii="Times New Roman" w:hAnsi="Times New Roman" w:cs="Times New Roman"/>
          <w:szCs w:val="21"/>
        </w:rPr>
      </w:pPr>
      <w:r w:rsidRPr="00B32F64">
        <w:rPr>
          <w:rFonts w:ascii="Times New Roman" w:hAnsi="Times New Roman" w:cs="Times New Roman"/>
          <w:szCs w:val="21"/>
        </w:rPr>
        <w:t>Chiral Au nanocube</w:t>
      </w:r>
      <w:r w:rsidRPr="00B32F64">
        <w:rPr>
          <w:rFonts w:ascii="Times New Roman" w:hAnsi="Times New Roman" w:cs="Times New Roman"/>
          <w:szCs w:val="21"/>
        </w:rPr>
        <w:t>s were synthesized via a seed-mediated growth approach combined with amino-acid-directed surface modulation. The procedure consists of three steps: seed preparation, growth of intermediate Au nanocubes, and chirality induction using cysteine molecules.</w:t>
      </w:r>
    </w:p>
    <w:p w14:paraId="4EB5D126" w14:textId="77777777" w:rsidR="0049223A" w:rsidRPr="00B32F64" w:rsidRDefault="00712503" w:rsidP="001E5F9C">
      <w:pPr>
        <w:spacing w:line="240" w:lineRule="auto"/>
        <w:jc w:val="both"/>
        <w:rPr>
          <w:rFonts w:ascii="Times New Roman" w:hAnsi="Times New Roman" w:cs="Times New Roman"/>
          <w:szCs w:val="21"/>
        </w:rPr>
      </w:pPr>
      <w:r w:rsidRPr="00B32F64">
        <w:rPr>
          <w:rFonts w:ascii="Times New Roman" w:hAnsi="Times New Roman" w:cs="Times New Roman"/>
          <w:b/>
          <w:bCs/>
          <w:szCs w:val="21"/>
        </w:rPr>
        <w:t>Pre</w:t>
      </w:r>
      <w:r w:rsidRPr="00B32F64">
        <w:rPr>
          <w:rFonts w:ascii="Times New Roman" w:hAnsi="Times New Roman" w:cs="Times New Roman"/>
          <w:b/>
          <w:bCs/>
          <w:szCs w:val="21"/>
        </w:rPr>
        <w:t>paration of Au seeds:</w:t>
      </w:r>
      <w:r w:rsidRPr="00B32F64">
        <w:rPr>
          <w:rFonts w:ascii="Times New Roman" w:hAnsi="Times New Roman" w:cs="Times New Roman"/>
          <w:szCs w:val="21"/>
        </w:rPr>
        <w:t xml:space="preserve"> </w:t>
      </w:r>
    </w:p>
    <w:p w14:paraId="30258C5A" w14:textId="77777777" w:rsidR="0049223A" w:rsidRPr="00B32F64" w:rsidRDefault="00712503" w:rsidP="001E5F9C">
      <w:pPr>
        <w:spacing w:line="240" w:lineRule="auto"/>
        <w:jc w:val="both"/>
        <w:rPr>
          <w:rFonts w:ascii="Times New Roman" w:hAnsi="Times New Roman" w:cs="Times New Roman"/>
          <w:szCs w:val="21"/>
        </w:rPr>
      </w:pPr>
      <w:r w:rsidRPr="00B32F64">
        <w:rPr>
          <w:rFonts w:ascii="Times New Roman" w:hAnsi="Times New Roman" w:cs="Times New Roman"/>
          <w:szCs w:val="21"/>
        </w:rPr>
        <w:t xml:space="preserve">Au seed nanoparticles were first prepared using a rapid reduction method in a </w:t>
      </w:r>
      <w:r w:rsidRPr="00B32F64">
        <w:rPr>
          <w:rFonts w:ascii="Times New Roman" w:hAnsi="Times New Roman" w:cs="Times New Roman"/>
          <w:szCs w:val="21"/>
        </w:rPr>
        <w:lastRenderedPageBreak/>
        <w:t>cetyltrimethylammonium bromide (CTAB) solution. Specifically, 0.25 mL of HAuCl</w:t>
      </w:r>
      <w:r w:rsidRPr="00B32F64">
        <w:rPr>
          <w:rFonts w:ascii="Cambria Math" w:hAnsi="Cambria Math" w:cs="Cambria Math"/>
          <w:szCs w:val="21"/>
        </w:rPr>
        <w:t>₄</w:t>
      </w:r>
      <w:r w:rsidRPr="00B32F64">
        <w:rPr>
          <w:rFonts w:ascii="Times New Roman" w:hAnsi="Times New Roman" w:cs="Times New Roman"/>
          <w:szCs w:val="21"/>
        </w:rPr>
        <w:t xml:space="preserve"> solution (10 mM) was added to 7.5 mL of CTAB aqueous solution (30 mM) under</w:t>
      </w:r>
      <w:r w:rsidRPr="00B32F64">
        <w:rPr>
          <w:rFonts w:ascii="Times New Roman" w:hAnsi="Times New Roman" w:cs="Times New Roman"/>
          <w:szCs w:val="21"/>
        </w:rPr>
        <w:t xml:space="preserve"> gentle stirring. Subsequently, 0.8 mL of freshly prepared NaBH</w:t>
      </w:r>
      <w:r w:rsidRPr="00B32F64">
        <w:rPr>
          <w:rFonts w:ascii="Cambria Math" w:hAnsi="Cambria Math" w:cs="Cambria Math"/>
          <w:szCs w:val="21"/>
        </w:rPr>
        <w:t>₄</w:t>
      </w:r>
      <w:r w:rsidRPr="00B32F64">
        <w:rPr>
          <w:rFonts w:ascii="Times New Roman" w:hAnsi="Times New Roman" w:cs="Times New Roman"/>
          <w:szCs w:val="21"/>
        </w:rPr>
        <w:t xml:space="preserve"> solution (20 mM) was rapidly injected into the mixture. The solution immediately turned brown, indicating the formation of small Au seed particles. The seed solution was then aged at 30 °C fo</w:t>
      </w:r>
      <w:r w:rsidRPr="00B32F64">
        <w:rPr>
          <w:rFonts w:ascii="Times New Roman" w:hAnsi="Times New Roman" w:cs="Times New Roman"/>
          <w:szCs w:val="21"/>
        </w:rPr>
        <w:t>r 3 h before use to ensure stabilization.</w:t>
      </w:r>
    </w:p>
    <w:p w14:paraId="2B86219A" w14:textId="77777777" w:rsidR="0049223A" w:rsidRPr="00B32F64" w:rsidRDefault="00712503" w:rsidP="001E5F9C">
      <w:pPr>
        <w:spacing w:line="240" w:lineRule="auto"/>
        <w:jc w:val="both"/>
        <w:rPr>
          <w:rFonts w:ascii="Times New Roman" w:hAnsi="Times New Roman" w:cs="Times New Roman"/>
          <w:b/>
          <w:bCs/>
          <w:szCs w:val="21"/>
        </w:rPr>
      </w:pPr>
      <w:bookmarkStart w:id="2" w:name="OLE_LINK1"/>
      <w:r w:rsidRPr="00B32F64">
        <w:rPr>
          <w:rFonts w:ascii="Times New Roman" w:hAnsi="Times New Roman" w:cs="Times New Roman"/>
          <w:b/>
          <w:bCs/>
          <w:szCs w:val="21"/>
        </w:rPr>
        <w:t>Preparation of Au Nanocubes</w:t>
      </w:r>
      <w:bookmarkEnd w:id="2"/>
      <w:r w:rsidRPr="00B32F64">
        <w:rPr>
          <w:rFonts w:ascii="Times New Roman" w:hAnsi="Times New Roman" w:cs="Times New Roman"/>
          <w:b/>
          <w:bCs/>
          <w:szCs w:val="21"/>
        </w:rPr>
        <w:t>:</w:t>
      </w:r>
    </w:p>
    <w:p w14:paraId="53C3E0AB" w14:textId="4A584E8D" w:rsidR="0049223A" w:rsidRPr="00B32F64" w:rsidRDefault="00712503" w:rsidP="001E5F9C">
      <w:pPr>
        <w:spacing w:line="240" w:lineRule="auto"/>
        <w:jc w:val="both"/>
        <w:rPr>
          <w:rFonts w:ascii="Times New Roman" w:hAnsi="Times New Roman" w:cs="Times New Roman"/>
          <w:szCs w:val="21"/>
        </w:rPr>
      </w:pPr>
      <w:r w:rsidRPr="00B32F64">
        <w:rPr>
          <w:rFonts w:ascii="Times New Roman" w:hAnsi="Times New Roman" w:cs="Times New Roman"/>
          <w:szCs w:val="21"/>
        </w:rPr>
        <w:t>Au nanocubes were grown from the as-prepared seeds in a CTAB-mediated growth solution. In a typical procedure, 1.6 mL of CTAB solution (100 mM) and 0.2 mL of HAuCl</w:t>
      </w:r>
      <w:r w:rsidRPr="00B32F64">
        <w:rPr>
          <w:rFonts w:ascii="Cambria Math" w:hAnsi="Cambria Math" w:cs="Cambria Math"/>
          <w:szCs w:val="21"/>
        </w:rPr>
        <w:t>₄</w:t>
      </w:r>
      <w:r w:rsidRPr="00B32F64">
        <w:rPr>
          <w:rFonts w:ascii="Times New Roman" w:hAnsi="Times New Roman" w:cs="Times New Roman"/>
          <w:szCs w:val="21"/>
        </w:rPr>
        <w:t xml:space="preserve"> solution (10 mM) wer</w:t>
      </w:r>
      <w:r w:rsidRPr="00B32F64">
        <w:rPr>
          <w:rFonts w:ascii="Times New Roman" w:hAnsi="Times New Roman" w:cs="Times New Roman"/>
          <w:szCs w:val="21"/>
        </w:rPr>
        <w:t>e added to 8 mL of deionized water. Subsequently, 0.95 mL of ascorbic acid solution (AA, 100 mM) was introduced as a mild reducing agent. A small amount (5 μL) of diluted seed solution was then added to initiate the growth process. The reaction mixture was</w:t>
      </w:r>
      <w:r w:rsidRPr="00B32F64">
        <w:rPr>
          <w:rFonts w:ascii="Times New Roman" w:hAnsi="Times New Roman" w:cs="Times New Roman"/>
          <w:szCs w:val="21"/>
        </w:rPr>
        <w:t xml:space="preserve"> gently mixed and allowed to stand at ~26–30 °C for 15 min.</w:t>
      </w:r>
      <w:r w:rsidRPr="00B32F64">
        <w:rPr>
          <w:rFonts w:ascii="Times New Roman" w:hAnsi="Times New Roman" w:cs="Times New Roman"/>
          <w:szCs w:val="21"/>
        </w:rPr>
        <w:fldChar w:fldCharType="begin"/>
      </w:r>
      <w:r w:rsidR="00B32F64">
        <w:rPr>
          <w:rFonts w:ascii="Times New Roman" w:hAnsi="Times New Roman" w:cs="Times New Roman"/>
          <w:szCs w:val="21"/>
        </w:rPr>
        <w:instrText xml:space="preserve"> ADDIN EN.CITE &lt;EndNote&gt;&lt;Cite&gt;&lt;Author&gt;Xia&lt;/Author&gt;&lt;Year&gt;2009&lt;/Year&gt;&lt;RecNum&gt;118&lt;/RecNum&gt;&lt;DisplayText&gt;&lt;style face="superscript"&gt;1&lt;/style&gt;&lt;/DisplayText&gt;&lt;record&gt;&lt;rec-number&gt;118&lt;/rec-number&gt;&lt;foreign-keys&gt;&lt;key app="EN" db-id="fw2wt225pvfta1e9tw8v5x96frfxr5p90td5" timestamp="1776257727"&gt;118&lt;/key&gt;&lt;/foreign-keys&gt;&lt;ref-type name="Journal Article"&gt;17&lt;/ref-type&gt;&lt;contributors&gt;&lt;authors&gt;&lt;author&gt;Xia, Y.&lt;/author&gt;&lt;author&gt;Xiong, Y.&lt;/author&gt;&lt;author&gt;Lim, B.&lt;/author&gt;&lt;author&gt;Skrabalak, S. E.&lt;/author&gt;&lt;/authors&gt;&lt;/contributors&gt;&lt;auth-address&gt;Department of Biomedical Engineering, Washington University, St. Louis, MO 63130-4899, USA. xia@biomed.wustl.edu&lt;/auth-address&gt;&lt;titles&gt;&lt;title&gt;Shape-controlled synthesis of metal nanocrystals: simple chemistry meets complex physics?&lt;/title&gt;&lt;secondary-title&gt;Angew Chem Int Ed Engl&lt;/secondary-title&gt;&lt;/titles&gt;&lt;periodical&gt;&lt;full-title&gt;Angew Chem Int Ed Engl&lt;/full-title&gt;&lt;/periodical&gt;&lt;pages&gt;60-103&lt;/pages&gt;&lt;volume&gt;48&lt;/volume&gt;&lt;number&gt;1&lt;/number&gt;&lt;keywords&gt;&lt;keyword&gt;Kinetics&lt;/keyword&gt;&lt;keyword&gt;Metal Nanoparticles/*chemistry/ultrastructure&lt;/keyword&gt;&lt;keyword&gt;Oxidation-Reduction&lt;/keyword&gt;&lt;keyword&gt;*Physics&lt;/keyword&gt;&lt;keyword&gt;Surface Properties&lt;/keyword&gt;&lt;keyword&gt;Thermodynamics&lt;/keyword&gt;&lt;/keywords&gt;&lt;dates&gt;&lt;year&gt;2009&lt;/year&gt;&lt;/dates&gt;&lt;isbn&gt;1521-3773 (Electronic)&amp;#xD;1433-7851 (Print)&amp;#xD;1433-7851 (Linking)&lt;/isbn&gt;&lt;accession-num&gt;19053095&lt;/accession-num&gt;&lt;urls&gt;&lt;related-urls&gt;&lt;url&gt;https://www.ncbi.nlm.nih.gov/pubmed/19053095&lt;/url&gt;&lt;/related-urls&gt;&lt;/urls&gt;&lt;custom2&gt;PMC2791829&lt;/custom2&gt;&lt;electronic-resource-num&gt;10.1002/anie.200802248&lt;/electronic-resource-num&gt;&lt;remote-database-name&gt;Medline&lt;/remote-database-name&gt;&lt;remote-database-provider&gt;NLM&lt;/remote-database-provider&gt;&lt;/record&gt;&lt;/Cite&gt;&lt;/EndNote&gt;</w:instrText>
      </w:r>
      <w:r w:rsidRPr="00B32F64">
        <w:rPr>
          <w:rFonts w:ascii="Times New Roman" w:hAnsi="Times New Roman" w:cs="Times New Roman"/>
          <w:szCs w:val="21"/>
        </w:rPr>
        <w:fldChar w:fldCharType="separate"/>
      </w:r>
      <w:r w:rsidR="00B32F64" w:rsidRPr="00B32F64">
        <w:rPr>
          <w:rFonts w:ascii="Times New Roman" w:hAnsi="Times New Roman" w:cs="Times New Roman"/>
          <w:noProof/>
          <w:szCs w:val="21"/>
          <w:vertAlign w:val="superscript"/>
        </w:rPr>
        <w:t>1</w:t>
      </w:r>
      <w:r w:rsidRPr="00B32F64">
        <w:rPr>
          <w:rFonts w:ascii="Times New Roman" w:hAnsi="Times New Roman" w:cs="Times New Roman"/>
          <w:szCs w:val="21"/>
        </w:rPr>
        <w:fldChar w:fldCharType="end"/>
      </w:r>
    </w:p>
    <w:p w14:paraId="1C8EE427" w14:textId="77777777" w:rsidR="0049223A" w:rsidRPr="00B32F64" w:rsidRDefault="00712503" w:rsidP="006B4129">
      <w:pPr>
        <w:spacing w:line="240" w:lineRule="auto"/>
        <w:ind w:firstLineChars="200" w:firstLine="420"/>
        <w:jc w:val="both"/>
        <w:rPr>
          <w:rFonts w:ascii="Times New Roman" w:hAnsi="Times New Roman" w:cs="Times New Roman"/>
          <w:szCs w:val="21"/>
        </w:rPr>
      </w:pPr>
      <w:r w:rsidRPr="00B32F64">
        <w:rPr>
          <w:rFonts w:ascii="Times New Roman" w:hAnsi="Times New Roman" w:cs="Times New Roman"/>
          <w:szCs w:val="21"/>
        </w:rPr>
        <w:t xml:space="preserve">After the reaction, the products were collected by centrifugation and washed twice to remove excess surfactant and unreacted species. The purified nanoparticles were re-dispersed in a dilute CTAB solution (1 mM) for further use. </w:t>
      </w:r>
    </w:p>
    <w:p w14:paraId="30D37274" w14:textId="77777777" w:rsidR="0049223A" w:rsidRPr="00B32F64" w:rsidRDefault="00712503" w:rsidP="001E5F9C">
      <w:pPr>
        <w:spacing w:line="240" w:lineRule="auto"/>
        <w:jc w:val="both"/>
        <w:rPr>
          <w:rFonts w:ascii="Times New Roman" w:hAnsi="Times New Roman" w:cs="Times New Roman"/>
          <w:b/>
          <w:bCs/>
          <w:szCs w:val="21"/>
        </w:rPr>
      </w:pPr>
      <w:r w:rsidRPr="00B32F64">
        <w:rPr>
          <w:rFonts w:ascii="Times New Roman" w:hAnsi="Times New Roman" w:cs="Times New Roman"/>
          <w:b/>
          <w:bCs/>
          <w:szCs w:val="21"/>
        </w:rPr>
        <w:t xml:space="preserve">Amino acid-induced chiral </w:t>
      </w:r>
      <w:r w:rsidRPr="00B32F64">
        <w:rPr>
          <w:rFonts w:ascii="Times New Roman" w:hAnsi="Times New Roman" w:cs="Times New Roman"/>
          <w:b/>
          <w:bCs/>
          <w:szCs w:val="21"/>
        </w:rPr>
        <w:t xml:space="preserve">growth: </w:t>
      </w:r>
    </w:p>
    <w:p w14:paraId="3ADA8E27" w14:textId="1169691F" w:rsidR="0049223A" w:rsidRPr="00B32F64" w:rsidRDefault="00712503" w:rsidP="001E5F9C">
      <w:pPr>
        <w:spacing w:line="240" w:lineRule="auto"/>
        <w:jc w:val="both"/>
        <w:rPr>
          <w:rFonts w:ascii="Times New Roman" w:hAnsi="Times New Roman" w:cs="Times New Roman"/>
          <w:szCs w:val="21"/>
        </w:rPr>
      </w:pPr>
      <w:r w:rsidRPr="00B32F64">
        <w:rPr>
          <w:rFonts w:ascii="Times New Roman" w:hAnsi="Times New Roman" w:cs="Times New Roman"/>
          <w:szCs w:val="21"/>
        </w:rPr>
        <w:t>The chiral features of the Au nanocubes were introduced through surface modification during a secondary growth process using cysteine as a chiral ligand. A growth solution was prepared by mixing CTAB (100 mM), HAuCl</w:t>
      </w:r>
      <w:r w:rsidRPr="00B32F64">
        <w:rPr>
          <w:rFonts w:ascii="Cambria Math" w:hAnsi="Cambria Math" w:cs="Cambria Math"/>
          <w:szCs w:val="21"/>
        </w:rPr>
        <w:t>₄</w:t>
      </w:r>
      <w:r w:rsidRPr="00B32F64">
        <w:rPr>
          <w:rFonts w:ascii="Times New Roman" w:hAnsi="Times New Roman" w:cs="Times New Roman"/>
          <w:szCs w:val="21"/>
        </w:rPr>
        <w:t xml:space="preserve"> (10 mM), and deionized water t</w:t>
      </w:r>
      <w:r w:rsidRPr="00B32F64">
        <w:rPr>
          <w:rFonts w:ascii="Times New Roman" w:hAnsi="Times New Roman" w:cs="Times New Roman"/>
          <w:szCs w:val="21"/>
        </w:rPr>
        <w:t xml:space="preserve">o form a </w:t>
      </w:r>
      <w:r w:rsidR="00967176" w:rsidRPr="00B32F64">
        <w:rPr>
          <w:rFonts w:ascii="Times New Roman" w:eastAsiaTheme="minorEastAsia" w:hAnsi="Times New Roman" w:cs="Times New Roman"/>
          <w:szCs w:val="21"/>
        </w:rPr>
        <w:t>[</w:t>
      </w:r>
      <w:r w:rsidRPr="00B32F64">
        <w:rPr>
          <w:rFonts w:ascii="Times New Roman" w:hAnsi="Times New Roman" w:cs="Times New Roman"/>
          <w:szCs w:val="21"/>
        </w:rPr>
        <w:t>AuBr</w:t>
      </w:r>
      <w:r w:rsidRPr="00B32F64">
        <w:rPr>
          <w:rFonts w:ascii="Cambria Math" w:hAnsi="Cambria Math" w:cs="Cambria Math"/>
          <w:szCs w:val="21"/>
        </w:rPr>
        <w:t>₄</w:t>
      </w:r>
      <w:r w:rsidR="00967176" w:rsidRPr="00B32F64">
        <w:rPr>
          <w:rFonts w:ascii="Times New Roman" w:eastAsiaTheme="minorEastAsia" w:hAnsi="Times New Roman" w:cs="Times New Roman"/>
          <w:szCs w:val="21"/>
        </w:rPr>
        <w:t>]</w:t>
      </w:r>
      <w:r w:rsidR="00967176" w:rsidRPr="00B32F64">
        <w:rPr>
          <w:rFonts w:ascii="Times New Roman" w:eastAsiaTheme="minorEastAsia" w:hAnsi="Times New Roman" w:cs="Times New Roman"/>
          <w:szCs w:val="21"/>
          <w:vertAlign w:val="superscript"/>
        </w:rPr>
        <w:t>-</w:t>
      </w:r>
      <w:r w:rsidRPr="00B32F64">
        <w:rPr>
          <w:rFonts w:ascii="Times New Roman" w:hAnsi="Times New Roman" w:cs="Times New Roman"/>
          <w:szCs w:val="21"/>
        </w:rPr>
        <w:t xml:space="preserve"> complex. AA (100 mM) was then added to reduce Au</w:t>
      </w:r>
      <w:r w:rsidR="005B71C8" w:rsidRPr="00B32F64">
        <w:rPr>
          <w:rFonts w:ascii="Times New Roman" w:eastAsia="等线" w:hAnsi="Times New Roman" w:cs="Times New Roman"/>
          <w:szCs w:val="21"/>
          <w:vertAlign w:val="superscript"/>
        </w:rPr>
        <w:t>3+</w:t>
      </w:r>
      <w:r w:rsidRPr="00B32F64">
        <w:rPr>
          <w:rFonts w:ascii="Times New Roman" w:hAnsi="Times New Roman" w:cs="Times New Roman"/>
          <w:szCs w:val="21"/>
        </w:rPr>
        <w:t xml:space="preserve"> to Au</w:t>
      </w:r>
      <w:r w:rsidR="005B71C8" w:rsidRPr="00B32F64">
        <w:rPr>
          <w:rFonts w:ascii="Times New Roman" w:hAnsi="Times New Roman" w:cs="Times New Roman"/>
          <w:szCs w:val="21"/>
          <w:vertAlign w:val="superscript"/>
        </w:rPr>
        <w:t>+</w:t>
      </w:r>
      <w:r w:rsidRPr="00B32F64">
        <w:rPr>
          <w:rFonts w:ascii="Times New Roman" w:hAnsi="Times New Roman" w:cs="Times New Roman"/>
          <w:szCs w:val="21"/>
        </w:rPr>
        <w:t>, generating a mild growth environment. Subsequently, cysteine solution (0.1 mM) was introduced into the growth solution, followed by the addition of pre-formed Au nanocubes</w:t>
      </w:r>
      <w:r w:rsidRPr="00B32F64">
        <w:rPr>
          <w:rFonts w:ascii="Times New Roman" w:hAnsi="Times New Roman" w:cs="Times New Roman"/>
          <w:szCs w:val="21"/>
        </w:rPr>
        <w:t>. The reaction was carried out at 30 °C for 1 h. During this process, cysteine molecules selectively adsorb onto specific crystallographic facets of the Au nanocubes, inducing asymmetric surface growth and resulting in chiral morphology.</w:t>
      </w:r>
      <w:r w:rsidRPr="00B32F64">
        <w:rPr>
          <w:rFonts w:ascii="Times New Roman" w:hAnsi="Times New Roman" w:cs="Times New Roman"/>
          <w:szCs w:val="21"/>
        </w:rPr>
        <w:fldChar w:fldCharType="begin"/>
      </w:r>
      <w:r w:rsidR="00B32F64">
        <w:rPr>
          <w:rFonts w:ascii="Times New Roman" w:hAnsi="Times New Roman" w:cs="Times New Roman"/>
          <w:szCs w:val="21"/>
        </w:rPr>
        <w:instrText xml:space="preserve"> ADDIN EN.CITE &lt;EndNote&gt;&lt;Cite&gt;&lt;Author&gt;Lee&lt;/Author&gt;&lt;Year&gt;2018&lt;/Year&gt;&lt;RecNum&gt;96&lt;/RecNum&gt;&lt;DisplayText&gt;&lt;style face="superscript"&gt;2&lt;/style&gt;&lt;/DisplayText&gt;&lt;record&gt;&lt;rec-number&gt;96&lt;/rec-number&gt;&lt;foreign-keys&gt;&lt;key app="EN" db-id="fw2wt225pvfta1e9tw8v5x96frfxr5p90td5" timestamp="1776216322"&gt;96&lt;/key&gt;&lt;/foreign-keys&gt;&lt;ref-type name="Journal Article"&gt;17&lt;/ref-type&gt;&lt;contributors&gt;&lt;authors&gt;&lt;author&gt;Lee, H. E.&lt;/author&gt;&lt;author&gt;Ahn, H. Y.&lt;/author&gt;&lt;author&gt;Mun, J.&lt;/author&gt;&lt;author&gt;Lee, Y. Y.&lt;/author&gt;&lt;author&gt;Kim, M.&lt;/author&gt;&lt;author&gt;Cho, N. H.&lt;/author&gt;&lt;author&gt;Chang, K.&lt;/author&gt;&lt;author&gt;Kim, W. S.&lt;/author&gt;&lt;author&gt;Rho, J.&lt;/author&gt;&lt;author&gt;Nam, K. T.&lt;/author&gt;&lt;/authors&gt;&lt;/contributors&gt;&lt;auth-address&gt;Seoul Natl Univ, Dept Mat Sci &amp;amp; Engn, Seoul, South Korea&amp;#xD;Pohang Univ Sci &amp;amp; Technol POSTECH, Dept Chem Engn, Pohang, South Korea&amp;#xD;POSTECH, Dept Mech Engn, Pohang, South Korea&amp;#xD;LG Display, R&amp;amp;D Ctr, LG Sci Pk, Seoul, South Korea&amp;#xD;POSTECH, Dept Elect Engn, Pohang, South Korea&lt;/auth-address&gt;&lt;titles&gt;&lt;title&gt;Amino-acid- and peptide-directed synthesis of chiral plasmonic gold nanoparticles&lt;/title&gt;&lt;secondary-title&gt;Nature&lt;/secondary-title&gt;&lt;alt-title&gt;Nature&lt;/alt-title&gt;&lt;/titles&gt;&lt;periodical&gt;&lt;full-title&gt;Nature&lt;/full-title&gt;&lt;/periodical&gt;&lt;alt-periodical&gt;&lt;full-title&gt;Nature&lt;/full-title&gt;&lt;/alt-periodical&gt;&lt;pages&gt;360-+&lt;/pages&gt;&lt;volume&gt;556&lt;/volume&gt;&lt;number&gt;7701&lt;/number&gt;&lt;keywords&gt;&lt;keyword&gt;situ atr-ir&lt;/keyword&gt;&lt;keyword&gt;rhombic dodecahedra&lt;/keyword&gt;&lt;keyword&gt;structural-changes&lt;/keyword&gt;&lt;keyword&gt;metal-surfaces&lt;/keyword&gt;&lt;keyword&gt;l-glutathione&lt;/keyword&gt;&lt;keyword&gt;nanostructures&lt;/keyword&gt;&lt;keyword&gt;adsorption&lt;/keyword&gt;&lt;keyword&gt;cysteine&lt;/keyword&gt;&lt;keyword&gt;recognition&lt;/keyword&gt;&lt;/keywords&gt;&lt;dates&gt;&lt;year&gt;2018&lt;/year&gt;&lt;pub-dates&gt;&lt;date&gt;Apr 19&lt;/date&gt;&lt;/pub-dates&gt;&lt;/dates&gt;&lt;isbn&gt;0028-0836&lt;/isbn&gt;&lt;accession-num&gt;WOS:000430285200048&lt;/accession-num&gt;&lt;urls&gt;&lt;related-urls&gt;&lt;url&gt;&amp;lt;Go to ISI&amp;gt;://WOS:000430285200048&lt;/url&gt;&lt;/related-urls&gt;&lt;/urls&gt;&lt;electronic-resource-num&gt;10.1038/s41586-018-0034-1&lt;/electronic-resource-num&gt;&lt;language&gt;English&lt;/language&gt;&lt;/record&gt;&lt;/Cite&gt;&lt;/EndNote&gt;</w:instrText>
      </w:r>
      <w:r w:rsidRPr="00B32F64">
        <w:rPr>
          <w:rFonts w:ascii="Times New Roman" w:hAnsi="Times New Roman" w:cs="Times New Roman"/>
          <w:szCs w:val="21"/>
        </w:rPr>
        <w:fldChar w:fldCharType="separate"/>
      </w:r>
      <w:r w:rsidR="00B32F64" w:rsidRPr="00B32F64">
        <w:rPr>
          <w:rFonts w:ascii="Times New Roman" w:hAnsi="Times New Roman" w:cs="Times New Roman"/>
          <w:noProof/>
          <w:szCs w:val="21"/>
          <w:vertAlign w:val="superscript"/>
        </w:rPr>
        <w:t>2</w:t>
      </w:r>
      <w:r w:rsidRPr="00B32F64">
        <w:rPr>
          <w:rFonts w:ascii="Times New Roman" w:hAnsi="Times New Roman" w:cs="Times New Roman"/>
          <w:szCs w:val="21"/>
        </w:rPr>
        <w:fldChar w:fldCharType="end"/>
      </w:r>
    </w:p>
    <w:p w14:paraId="6D8C48FB" w14:textId="77777777" w:rsidR="0049223A" w:rsidRPr="00B32F64" w:rsidRDefault="00712503" w:rsidP="006B4129">
      <w:pPr>
        <w:spacing w:line="240" w:lineRule="auto"/>
        <w:ind w:firstLineChars="200" w:firstLine="420"/>
        <w:jc w:val="both"/>
        <w:rPr>
          <w:rFonts w:ascii="Times New Roman" w:hAnsi="Times New Roman" w:cs="Times New Roman"/>
          <w:szCs w:val="21"/>
        </w:rPr>
      </w:pPr>
      <w:r w:rsidRPr="00B32F64">
        <w:rPr>
          <w:rFonts w:ascii="Times New Roman" w:hAnsi="Times New Roman" w:cs="Times New Roman"/>
          <w:szCs w:val="21"/>
        </w:rPr>
        <w:t>After the reaction, the products w</w:t>
      </w:r>
      <w:r w:rsidRPr="00B32F64">
        <w:rPr>
          <w:rFonts w:ascii="Times New Roman" w:hAnsi="Times New Roman" w:cs="Times New Roman"/>
          <w:szCs w:val="21"/>
        </w:rPr>
        <w:t>ere collected by centrifugation and washed twice. The final chiral Au nanocubes were re-dispersed in either dilute CTAB solution or deionized water for subsequent optical measurements.</w:t>
      </w:r>
    </w:p>
    <w:p w14:paraId="23EE1E8A" w14:textId="77777777" w:rsidR="00554B9A" w:rsidRPr="00B32F64" w:rsidRDefault="00554B9A" w:rsidP="006B4129">
      <w:pPr>
        <w:spacing w:line="240" w:lineRule="auto"/>
        <w:ind w:firstLineChars="200" w:firstLine="420"/>
        <w:jc w:val="both"/>
        <w:rPr>
          <w:rFonts w:ascii="Times New Roman" w:hAnsi="Times New Roman" w:cs="Times New Roman"/>
          <w:szCs w:val="21"/>
        </w:rPr>
      </w:pPr>
    </w:p>
    <w:p w14:paraId="156D9E5B" w14:textId="50050EFD" w:rsidR="007030CA" w:rsidRPr="00BA3AF9" w:rsidRDefault="00554B9A" w:rsidP="006B4129">
      <w:pPr>
        <w:spacing w:line="240" w:lineRule="auto"/>
        <w:rPr>
          <w:rFonts w:ascii="Times New Roman" w:hAnsi="Times New Roman" w:cs="Times New Roman"/>
          <w:b/>
          <w:bCs/>
          <w:sz w:val="24"/>
          <w:szCs w:val="21"/>
        </w:rPr>
      </w:pPr>
      <w:r w:rsidRPr="00BA3AF9">
        <w:rPr>
          <w:rFonts w:ascii="Times New Roman" w:hAnsi="Times New Roman" w:cs="Times New Roman"/>
          <w:b/>
          <w:bCs/>
          <w:sz w:val="24"/>
          <w:szCs w:val="21"/>
        </w:rPr>
        <w:t>Section 3. Incorporation of Chiral Au Nanocubes into Periodic Nanopore Arrays</w:t>
      </w:r>
    </w:p>
    <w:p w14:paraId="52036234" w14:textId="279BF6EB" w:rsidR="00554B9A" w:rsidRPr="00B32F64" w:rsidRDefault="00554B9A" w:rsidP="001E5F9C">
      <w:pPr>
        <w:spacing w:line="240" w:lineRule="auto"/>
        <w:jc w:val="both"/>
        <w:rPr>
          <w:rFonts w:ascii="Times New Roman" w:hAnsi="Times New Roman" w:cs="Times New Roman"/>
          <w:szCs w:val="21"/>
        </w:rPr>
      </w:pPr>
      <w:r w:rsidRPr="00B32F64">
        <w:rPr>
          <w:rFonts w:ascii="Times New Roman" w:hAnsi="Times New Roman" w:cs="Times New Roman"/>
          <w:szCs w:val="21"/>
        </w:rPr>
        <w:t>Chiral Au nanocubes were first dispersed in an aqueous solution to form a stable colloidal suspension. The as-fabricated Au nanopore array substrate was then fully immersed in the suspension and kept undisturbed for approximately 30 min to allow nanoparticle adsorption and localization within the nanopores.</w:t>
      </w:r>
    </w:p>
    <w:p w14:paraId="02CBEB94" w14:textId="255C694B" w:rsidR="00554B9A" w:rsidRPr="00B32F64" w:rsidRDefault="00554B9A" w:rsidP="006B4129">
      <w:pPr>
        <w:spacing w:line="240" w:lineRule="auto"/>
        <w:ind w:firstLineChars="200" w:firstLine="420"/>
        <w:jc w:val="both"/>
        <w:rPr>
          <w:rFonts w:ascii="Times New Roman" w:hAnsi="Times New Roman" w:cs="Times New Roman"/>
          <w:szCs w:val="21"/>
        </w:rPr>
      </w:pPr>
      <w:bookmarkStart w:id="3" w:name="OLE_LINK31"/>
      <w:r w:rsidRPr="00B32F64">
        <w:rPr>
          <w:rFonts w:ascii="Times New Roman" w:hAnsi="Times New Roman" w:cs="Times New Roman"/>
          <w:szCs w:val="21"/>
        </w:rPr>
        <w:t>After immersion, the substrate was carefully removed from the suspension and gently rinsed with deionized (DI) water to eliminate loosely attached nanoparticles and residual impurities. The sample was subsequently dried under ambient conditions in a clean environment, allowing slow solvent evaporation to minimize particle redistribution or aggregation induced by rapid drying.</w:t>
      </w:r>
    </w:p>
    <w:bookmarkEnd w:id="3"/>
    <w:p w14:paraId="1E9549E7" w14:textId="6D1CDC38" w:rsidR="007030CA" w:rsidRPr="00B32F64" w:rsidRDefault="00554B9A" w:rsidP="006B4129">
      <w:pPr>
        <w:spacing w:line="240" w:lineRule="auto"/>
        <w:ind w:firstLineChars="200" w:firstLine="420"/>
        <w:jc w:val="both"/>
        <w:rPr>
          <w:rFonts w:ascii="Times New Roman" w:hAnsi="Times New Roman" w:cs="Times New Roman"/>
          <w:szCs w:val="21"/>
        </w:rPr>
      </w:pPr>
      <w:r w:rsidRPr="00B32F64">
        <w:rPr>
          <w:rFonts w:ascii="Times New Roman" w:hAnsi="Times New Roman" w:cs="Times New Roman"/>
          <w:szCs w:val="21"/>
        </w:rPr>
        <w:t xml:space="preserve">This immersion-based assembly approach enables efficient incorporation of chiral Au nanocubes into the nanopore cavities, facilitating subsequent plasmonic coupling and optical </w:t>
      </w:r>
      <w:r w:rsidRPr="00B32F64">
        <w:rPr>
          <w:rFonts w:ascii="Times New Roman" w:hAnsi="Times New Roman" w:cs="Times New Roman"/>
          <w:szCs w:val="21"/>
        </w:rPr>
        <w:lastRenderedPageBreak/>
        <w:t>measurements.</w:t>
      </w:r>
    </w:p>
    <w:p w14:paraId="361F67D1" w14:textId="77777777" w:rsidR="007030CA" w:rsidRPr="00B32F64" w:rsidRDefault="007030CA" w:rsidP="006B4129">
      <w:pPr>
        <w:spacing w:line="240" w:lineRule="auto"/>
        <w:ind w:firstLineChars="200" w:firstLine="420"/>
        <w:jc w:val="both"/>
        <w:rPr>
          <w:rFonts w:ascii="Times New Roman" w:hAnsi="Times New Roman" w:cs="Times New Roman"/>
          <w:szCs w:val="21"/>
        </w:rPr>
      </w:pPr>
    </w:p>
    <w:p w14:paraId="671C32F7" w14:textId="3B26BDF1" w:rsidR="00E7630F" w:rsidRPr="00BA3AF9" w:rsidRDefault="00E7630F" w:rsidP="006B4129">
      <w:pPr>
        <w:spacing w:line="240" w:lineRule="auto"/>
        <w:jc w:val="both"/>
        <w:rPr>
          <w:rFonts w:ascii="Times New Roman" w:hAnsi="Times New Roman" w:cs="Times New Roman"/>
          <w:b/>
          <w:bCs/>
          <w:sz w:val="24"/>
          <w:szCs w:val="21"/>
        </w:rPr>
      </w:pPr>
      <w:r w:rsidRPr="00BA3AF9">
        <w:rPr>
          <w:rFonts w:ascii="Times New Roman" w:hAnsi="Times New Roman" w:cs="Times New Roman"/>
          <w:b/>
          <w:bCs/>
          <w:sz w:val="24"/>
          <w:szCs w:val="21"/>
        </w:rPr>
        <w:t>Section 4.</w:t>
      </w:r>
      <w:r w:rsidRPr="00BA3AF9">
        <w:rPr>
          <w:rFonts w:ascii="Times New Roman" w:hAnsi="Times New Roman" w:cs="Times New Roman"/>
          <w:sz w:val="24"/>
        </w:rPr>
        <w:t xml:space="preserve"> </w:t>
      </w:r>
      <w:r w:rsidRPr="00BA3AF9">
        <w:rPr>
          <w:rFonts w:ascii="Times New Roman" w:hAnsi="Times New Roman" w:cs="Times New Roman"/>
          <w:b/>
          <w:bCs/>
          <w:sz w:val="24"/>
          <w:szCs w:val="21"/>
        </w:rPr>
        <w:t>Numerical Simulation Details</w:t>
      </w:r>
    </w:p>
    <w:p w14:paraId="6A5FA8A9" w14:textId="77777777" w:rsidR="00E7630F" w:rsidRPr="00B32F64" w:rsidRDefault="00E7630F" w:rsidP="001E5F9C">
      <w:pPr>
        <w:spacing w:line="240" w:lineRule="auto"/>
        <w:jc w:val="both"/>
        <w:rPr>
          <w:rFonts w:ascii="Times New Roman" w:eastAsiaTheme="minorEastAsia" w:hAnsi="Times New Roman" w:cs="Times New Roman"/>
        </w:rPr>
      </w:pPr>
      <w:r w:rsidRPr="00B32F64">
        <w:rPr>
          <w:rFonts w:ascii="Times New Roman" w:hAnsi="Times New Roman" w:cs="Times New Roman"/>
        </w:rPr>
        <w:t>The electromagnetic response of the plasmonic nanopore array coupled with chiral Au nanocubes was investigated using the finite element method (FEM) implemented in COMSOL Multiphysics.</w:t>
      </w:r>
    </w:p>
    <w:p w14:paraId="00ECA1D1" w14:textId="4DCA1021" w:rsidR="00E7630F" w:rsidRPr="00B32F64" w:rsidRDefault="00E7630F" w:rsidP="006B4129">
      <w:pPr>
        <w:spacing w:line="240" w:lineRule="auto"/>
        <w:ind w:firstLine="480"/>
        <w:jc w:val="both"/>
        <w:rPr>
          <w:rFonts w:ascii="Times New Roman" w:eastAsiaTheme="minorEastAsia" w:hAnsi="Times New Roman" w:cs="Times New Roman"/>
        </w:rPr>
      </w:pPr>
      <w:r w:rsidRPr="00B32F64">
        <w:rPr>
          <w:rFonts w:ascii="Times New Roman" w:hAnsi="Times New Roman" w:cs="Times New Roman"/>
        </w:rPr>
        <w:t xml:space="preserve">A three-dimensional unit cell model was constructed with geometric parameters consistent with the experimental structure (period </w:t>
      </w:r>
      <w:r w:rsidRPr="00B32F64">
        <w:rPr>
          <w:rStyle w:val="katex-mathml"/>
          <w:rFonts w:ascii="Times New Roman" w:hAnsi="Times New Roman" w:cs="Times New Roman"/>
        </w:rPr>
        <w:t>P</w:t>
      </w:r>
      <w:r w:rsidR="00795413">
        <w:rPr>
          <w:rStyle w:val="katex-mathml"/>
          <w:rFonts w:ascii="Times New Roman" w:hAnsi="Times New Roman" w:cs="Times New Roman"/>
        </w:rPr>
        <w:t xml:space="preserve"> = </w:t>
      </w:r>
      <w:r w:rsidRPr="00B32F64">
        <w:rPr>
          <w:rStyle w:val="katex-mathml"/>
          <w:rFonts w:ascii="Times New Roman" w:hAnsi="Times New Roman" w:cs="Times New Roman"/>
        </w:rPr>
        <w:t>450</w:t>
      </w:r>
      <w:r w:rsidR="00ED5B12" w:rsidRPr="00B32F64">
        <w:rPr>
          <w:rStyle w:val="katex-mathml"/>
          <w:rFonts w:ascii="Times New Roman" w:eastAsiaTheme="minorEastAsia" w:hAnsi="Times New Roman" w:cs="Times New Roman"/>
        </w:rPr>
        <w:t xml:space="preserve"> nm</w:t>
      </w:r>
      <w:r w:rsidRPr="00B32F64">
        <w:rPr>
          <w:rFonts w:ascii="Times New Roman" w:hAnsi="Times New Roman" w:cs="Times New Roman"/>
        </w:rPr>
        <w:t xml:space="preserve">, nanopore diameter </w:t>
      </w:r>
      <w:r w:rsidRPr="00B32F64">
        <w:rPr>
          <w:rStyle w:val="katex-mathml"/>
          <w:rFonts w:ascii="Times New Roman" w:hAnsi="Times New Roman" w:cs="Times New Roman"/>
        </w:rPr>
        <w:t>D</w:t>
      </w:r>
      <w:r w:rsidR="00795413">
        <w:rPr>
          <w:rStyle w:val="katex-mathml"/>
          <w:rFonts w:ascii="Times New Roman" w:hAnsi="Times New Roman" w:cs="Times New Roman"/>
        </w:rPr>
        <w:t xml:space="preserve"> </w:t>
      </w:r>
      <w:r w:rsidRPr="00B32F64">
        <w:rPr>
          <w:rStyle w:val="katex-mathml"/>
          <w:rFonts w:ascii="Times New Roman" w:hAnsi="Times New Roman" w:cs="Times New Roman"/>
        </w:rPr>
        <w:t>=</w:t>
      </w:r>
      <w:r w:rsidR="00795413">
        <w:rPr>
          <w:rStyle w:val="katex-mathml"/>
          <w:rFonts w:ascii="Times New Roman" w:hAnsi="Times New Roman" w:cs="Times New Roman"/>
        </w:rPr>
        <w:t xml:space="preserve"> </w:t>
      </w:r>
      <w:r w:rsidRPr="00B32F64">
        <w:rPr>
          <w:rStyle w:val="katex-mathml"/>
          <w:rFonts w:ascii="Times New Roman" w:hAnsi="Times New Roman" w:cs="Times New Roman"/>
        </w:rPr>
        <w:t>220</w:t>
      </w:r>
      <w:r w:rsidR="00ED5B12" w:rsidRPr="00B32F64">
        <w:rPr>
          <w:rStyle w:val="katex-mathml"/>
          <w:rFonts w:ascii="Times New Roman" w:eastAsiaTheme="minorEastAsia" w:hAnsi="Times New Roman" w:cs="Times New Roman"/>
        </w:rPr>
        <w:t xml:space="preserve"> nm</w:t>
      </w:r>
      <w:r w:rsidRPr="00B32F64">
        <w:rPr>
          <w:rFonts w:ascii="Times New Roman" w:hAnsi="Times New Roman" w:cs="Times New Roman"/>
        </w:rPr>
        <w:t xml:space="preserve">, and pore depth </w:t>
      </w:r>
      <w:r w:rsidRPr="00B32F64">
        <w:rPr>
          <w:rStyle w:val="katex-mathml"/>
          <w:rFonts w:ascii="Times New Roman" w:hAnsi="Times New Roman" w:cs="Times New Roman"/>
        </w:rPr>
        <w:t>h</w:t>
      </w:r>
      <w:r w:rsidR="00795413">
        <w:rPr>
          <w:rStyle w:val="katex-mathml"/>
          <w:rFonts w:ascii="Times New Roman" w:hAnsi="Times New Roman" w:cs="Times New Roman"/>
        </w:rPr>
        <w:t xml:space="preserve"> </w:t>
      </w:r>
      <w:r w:rsidRPr="00B32F64">
        <w:rPr>
          <w:rStyle w:val="katex-mathml"/>
          <w:rFonts w:ascii="Times New Roman" w:hAnsi="Times New Roman" w:cs="Times New Roman"/>
        </w:rPr>
        <w:t>=</w:t>
      </w:r>
      <w:r w:rsidR="00795413">
        <w:rPr>
          <w:rStyle w:val="katex-mathml"/>
          <w:rFonts w:ascii="Times New Roman" w:hAnsi="Times New Roman" w:cs="Times New Roman"/>
        </w:rPr>
        <w:t xml:space="preserve"> </w:t>
      </w:r>
      <w:r w:rsidRPr="00B32F64">
        <w:rPr>
          <w:rStyle w:val="katex-mathml"/>
          <w:rFonts w:ascii="Times New Roman" w:hAnsi="Times New Roman" w:cs="Times New Roman"/>
        </w:rPr>
        <w:t>60</w:t>
      </w:r>
      <w:r w:rsidR="00ED5B12" w:rsidRPr="00B32F64">
        <w:rPr>
          <w:rStyle w:val="katex-mathml"/>
          <w:rFonts w:ascii="Times New Roman" w:eastAsiaTheme="minorEastAsia" w:hAnsi="Times New Roman" w:cs="Times New Roman"/>
        </w:rPr>
        <w:t xml:space="preserve"> nm</w:t>
      </w:r>
      <w:r w:rsidRPr="00B32F64">
        <w:rPr>
          <w:rFonts w:ascii="Times New Roman" w:hAnsi="Times New Roman" w:cs="Times New Roman"/>
        </w:rPr>
        <w:t>). Floquet periodic boundary conditions were applied along the in-plane directions to model the infinite periodic array.</w:t>
      </w:r>
    </w:p>
    <w:p w14:paraId="091EA277" w14:textId="206FED3B" w:rsidR="00E7630F" w:rsidRPr="00B32F64" w:rsidRDefault="00E7630F" w:rsidP="006B4129">
      <w:pPr>
        <w:spacing w:line="240" w:lineRule="auto"/>
        <w:ind w:firstLine="480"/>
        <w:jc w:val="both"/>
        <w:rPr>
          <w:rFonts w:ascii="Times New Roman" w:eastAsiaTheme="minorEastAsia" w:hAnsi="Times New Roman" w:cs="Times New Roman"/>
        </w:rPr>
      </w:pPr>
      <w:r w:rsidRPr="00B32F64">
        <w:rPr>
          <w:rFonts w:ascii="Times New Roman" w:hAnsi="Times New Roman" w:cs="Times New Roman"/>
        </w:rPr>
        <w:t>The excitation was introduced via port boundary conditions along the surface-normal (z) direction. The incident wave was defined with a total input power of 1 W. To ensure consistent comparison between different polarization states and spectral responses, the incident electric field amplitude was normalized according to the input power using:</w:t>
      </w:r>
    </w:p>
    <w:p w14:paraId="0CC7AEE2" w14:textId="78E73122" w:rsidR="00E7630F" w:rsidRPr="00B32F64" w:rsidRDefault="00712503" w:rsidP="006B4129">
      <w:pPr>
        <w:spacing w:line="240" w:lineRule="auto"/>
        <w:ind w:firstLine="480"/>
        <w:jc w:val="both"/>
        <w:rPr>
          <w:rFonts w:ascii="Times New Roman" w:eastAsiaTheme="minorEastAsia" w:hAnsi="Times New Roman" w:cs="Times New Roman"/>
          <w:i/>
        </w:rPr>
      </w:pPr>
      <m:oMathPara>
        <m:oMath>
          <m:sSub>
            <m:sSubPr>
              <m:ctrlPr>
                <w:rPr>
                  <w:rFonts w:ascii="Cambria Math" w:hAnsi="Cambria Math" w:cs="Times New Roman"/>
                  <w:color w:val="000000"/>
                </w:rPr>
              </m:ctrlPr>
            </m:sSubPr>
            <m:e>
              <m:r>
                <m:rPr>
                  <m:sty m:val="p"/>
                </m:rPr>
                <w:rPr>
                  <w:rFonts w:ascii="Cambria Math" w:hAnsi="Cambria Math" w:cs="Times New Roman"/>
                  <w:color w:val="000000"/>
                </w:rPr>
                <m:t>E</m:t>
              </m:r>
            </m:e>
            <m:sub>
              <m:r>
                <m:rPr>
                  <m:sty m:val="p"/>
                </m:rPr>
                <w:rPr>
                  <w:rFonts w:ascii="Cambria Math" w:hAnsi="Cambria Math" w:cs="Times New Roman"/>
                  <w:color w:val="000000"/>
                </w:rPr>
                <m:t>0</m:t>
              </m:r>
            </m:sub>
          </m:sSub>
          <m:r>
            <m:rPr>
              <m:sty m:val="p"/>
            </m:rPr>
            <w:rPr>
              <w:rFonts w:ascii="Cambria Math" w:hAnsi="Cambria Math" w:cs="Times New Roman"/>
              <w:color w:val="000000"/>
            </w:rPr>
            <m:t>=</m:t>
          </m:r>
          <m:rad>
            <m:radPr>
              <m:degHide m:val="1"/>
              <m:ctrlPr>
                <w:rPr>
                  <w:rFonts w:ascii="Cambria Math" w:hAnsi="Cambria Math" w:cs="Times New Roman"/>
                  <w:color w:val="000000"/>
                </w:rPr>
              </m:ctrlPr>
            </m:radPr>
            <m:deg>
              <m:ctrlPr>
                <w:rPr>
                  <w:rFonts w:ascii="Cambria Math" w:hAnsi="Cambria Math" w:cs="Times New Roman"/>
                  <w:i/>
                  <w:color w:val="000000"/>
                </w:rPr>
              </m:ctrlPr>
            </m:deg>
            <m:e>
              <m:f>
                <m:fPr>
                  <m:ctrlPr>
                    <w:rPr>
                      <w:rFonts w:ascii="Cambria Math" w:hAnsi="Cambria Math" w:cs="Times New Roman"/>
                      <w:color w:val="000000"/>
                    </w:rPr>
                  </m:ctrlPr>
                </m:fPr>
                <m:num>
                  <m:r>
                    <m:rPr>
                      <m:sty m:val="p"/>
                    </m:rPr>
                    <w:rPr>
                      <w:rFonts w:ascii="Cambria Math" w:hAnsi="Cambria Math" w:cs="Times New Roman"/>
                      <w:color w:val="000000"/>
                    </w:rPr>
                    <m:t>2I</m:t>
                  </m:r>
                </m:num>
                <m:den>
                  <m:r>
                    <m:rPr>
                      <m:sty m:val="p"/>
                    </m:rPr>
                    <w:rPr>
                      <w:rFonts w:ascii="Cambria Math" w:hAnsi="Cambria Math" w:cs="Times New Roman"/>
                      <w:color w:val="000000"/>
                    </w:rPr>
                    <m:t>c</m:t>
                  </m:r>
                  <m:sSub>
                    <m:sSubPr>
                      <m:ctrlPr>
                        <w:rPr>
                          <w:rFonts w:ascii="Cambria Math" w:hAnsi="Cambria Math" w:cs="Times New Roman"/>
                          <w:color w:val="000000"/>
                        </w:rPr>
                      </m:ctrlPr>
                    </m:sSubPr>
                    <m:e>
                      <m:r>
                        <m:rPr>
                          <m:sty m:val="p"/>
                        </m:rPr>
                        <w:rPr>
                          <w:rFonts w:ascii="Cambria Math" w:hAnsi="Cambria Math" w:cs="Times New Roman"/>
                          <w:color w:val="000000"/>
                        </w:rPr>
                        <m:t>ε</m:t>
                      </m:r>
                    </m:e>
                    <m:sub>
                      <m:r>
                        <m:rPr>
                          <m:sty m:val="p"/>
                        </m:rPr>
                        <w:rPr>
                          <w:rFonts w:ascii="Cambria Math" w:hAnsi="Cambria Math" w:cs="Times New Roman"/>
                          <w:color w:val="000000"/>
                        </w:rPr>
                        <m:t>0</m:t>
                      </m:r>
                    </m:sub>
                  </m:sSub>
                </m:den>
              </m:f>
            </m:e>
          </m:rad>
        </m:oMath>
      </m:oMathPara>
    </w:p>
    <w:p w14:paraId="2F5143A6" w14:textId="77777777" w:rsidR="00E7630F" w:rsidRPr="00B32F64" w:rsidRDefault="00E7630F" w:rsidP="006B4129">
      <w:pPr>
        <w:spacing w:line="240" w:lineRule="auto"/>
        <w:ind w:firstLine="480"/>
        <w:jc w:val="both"/>
        <w:rPr>
          <w:rFonts w:ascii="Times New Roman" w:eastAsiaTheme="minorEastAsia" w:hAnsi="Times New Roman" w:cs="Times New Roman"/>
        </w:rPr>
      </w:pPr>
      <w:r w:rsidRPr="00B32F64">
        <w:rPr>
          <w:rFonts w:ascii="Times New Roman" w:hAnsi="Times New Roman" w:cs="Times New Roman"/>
        </w:rPr>
        <w:t xml:space="preserve">where </w:t>
      </w:r>
      <w:r w:rsidRPr="00B32F64">
        <w:rPr>
          <w:rStyle w:val="katex-mathml"/>
          <w:rFonts w:ascii="Times New Roman" w:hAnsi="Times New Roman" w:cs="Times New Roman"/>
        </w:rPr>
        <w:t>I</w:t>
      </w:r>
      <w:r w:rsidRPr="00B32F64">
        <w:rPr>
          <w:rFonts w:ascii="Times New Roman" w:hAnsi="Times New Roman" w:cs="Times New Roman"/>
        </w:rPr>
        <w:t xml:space="preserve"> is the incident intensity corresponding to the input power, </w:t>
      </w:r>
      <m:oMath>
        <m:r>
          <w:rPr>
            <w:rFonts w:ascii="Cambria Math" w:hAnsi="Cambria Math" w:cs="Times New Roman"/>
          </w:rPr>
          <m:t>c</m:t>
        </m:r>
      </m:oMath>
      <w:r w:rsidRPr="00B32F64">
        <w:rPr>
          <w:rFonts w:ascii="Times New Roman" w:eastAsiaTheme="minorEastAsia" w:hAnsi="Times New Roman" w:cs="Times New Roman"/>
        </w:rPr>
        <w:t xml:space="preserve"> </w:t>
      </w:r>
      <w:r w:rsidRPr="00B32F64">
        <w:rPr>
          <w:rFonts w:ascii="Times New Roman" w:hAnsi="Times New Roman" w:cs="Times New Roman"/>
        </w:rPr>
        <w:t xml:space="preserve">is the speed of light in vacuum, and </w:t>
      </w: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oMath>
      <w:r w:rsidRPr="00B32F64">
        <w:rPr>
          <w:rFonts w:ascii="Times New Roman" w:eastAsiaTheme="minorEastAsia" w:hAnsi="Times New Roman" w:cs="Times New Roman"/>
        </w:rPr>
        <w:t xml:space="preserve"> </w:t>
      </w:r>
      <w:r w:rsidRPr="00B32F64">
        <w:rPr>
          <w:rFonts w:ascii="Times New Roman" w:hAnsi="Times New Roman" w:cs="Times New Roman"/>
        </w:rPr>
        <w:t>is the vacuum permittivity. This normalization ensures that all simulated field intensities and derived quantities (e.g., scattering and chirality) are referenced to the same incident energy flux.</w:t>
      </w:r>
    </w:p>
    <w:p w14:paraId="1ECAD76E" w14:textId="77777777" w:rsidR="00E7630F" w:rsidRPr="00B32F64" w:rsidRDefault="00E7630F" w:rsidP="006B4129">
      <w:pPr>
        <w:spacing w:line="240" w:lineRule="auto"/>
        <w:ind w:firstLine="480"/>
        <w:jc w:val="both"/>
        <w:rPr>
          <w:rFonts w:ascii="Times New Roman" w:eastAsiaTheme="minorEastAsia" w:hAnsi="Times New Roman" w:cs="Times New Roman"/>
        </w:rPr>
      </w:pPr>
      <w:r w:rsidRPr="00B32F64">
        <w:rPr>
          <w:rFonts w:ascii="Times New Roman" w:hAnsi="Times New Roman" w:cs="Times New Roman"/>
        </w:rPr>
        <w:t>The polarization state of the incident light was controlled by a parameter</w:t>
      </w:r>
      <w:r w:rsidRPr="00B32F64">
        <w:rPr>
          <w:rStyle w:val="katex-mathml"/>
          <w:rFonts w:ascii="Times New Roman" w:eastAsiaTheme="minorEastAsia" w:hAnsi="Times New Roman" w:cs="Times New Roman"/>
        </w:rPr>
        <w:t xml:space="preserve"> </w:t>
      </w:r>
      <m:oMath>
        <m:r>
          <m:rPr>
            <m:sty m:val="bi"/>
          </m:rPr>
          <w:rPr>
            <w:rStyle w:val="katex-mathml"/>
            <w:rFonts w:ascii="Cambria Math" w:eastAsiaTheme="minorEastAsia" w:hAnsi="Cambria Math" w:cs="Times New Roman"/>
          </w:rPr>
          <m:t>pol=±1</m:t>
        </m:r>
      </m:oMath>
      <w:r w:rsidRPr="00B32F64">
        <w:rPr>
          <w:rFonts w:ascii="Times New Roman" w:hAnsi="Times New Roman" w:cs="Times New Roman"/>
        </w:rPr>
        <w:t>, corresponding to left circular polarization (LCP) and right circular polarization (RCP), respectively. Parametric sweeps over this parameter were performed to extract polarization-dependent optical responses.</w:t>
      </w:r>
    </w:p>
    <w:p w14:paraId="175C3D52" w14:textId="24FC6AD4" w:rsidR="00E7630F" w:rsidRPr="00B32F64" w:rsidRDefault="00E7630F" w:rsidP="006B4129">
      <w:pPr>
        <w:spacing w:line="240" w:lineRule="auto"/>
        <w:ind w:firstLine="480"/>
        <w:jc w:val="both"/>
        <w:rPr>
          <w:rFonts w:ascii="Times New Roman" w:eastAsiaTheme="minorEastAsia" w:hAnsi="Times New Roman" w:cs="Times New Roman"/>
        </w:rPr>
      </w:pPr>
      <w:r w:rsidRPr="00B32F64">
        <w:rPr>
          <w:rFonts w:ascii="Times New Roman" w:hAnsi="Times New Roman" w:cs="Times New Roman"/>
        </w:rPr>
        <w:t xml:space="preserve">To quantify the chiral electromagnetic response, the optical chirality density </w:t>
      </w:r>
      <w:r w:rsidRPr="00B32F64">
        <w:rPr>
          <w:rStyle w:val="katex-mathml"/>
          <w:rFonts w:ascii="Times New Roman" w:eastAsiaTheme="minorEastAsia" w:hAnsi="Times New Roman" w:cs="Times New Roman"/>
        </w:rPr>
        <w:t>C</w:t>
      </w:r>
      <w:r w:rsidRPr="00B32F64">
        <w:rPr>
          <w:rFonts w:ascii="Times New Roman" w:hAnsi="Times New Roman" w:cs="Times New Roman"/>
        </w:rPr>
        <w:t xml:space="preserve"> was calculated from the simulated fields, which is proportional to:</w:t>
      </w:r>
    </w:p>
    <w:p w14:paraId="13652D73" w14:textId="20F29E51" w:rsidR="00E7630F" w:rsidRPr="00B32F64" w:rsidRDefault="00E7630F" w:rsidP="006B4129">
      <w:pPr>
        <w:spacing w:line="240" w:lineRule="auto"/>
        <w:ind w:firstLine="480"/>
        <w:jc w:val="both"/>
        <w:rPr>
          <w:rFonts w:ascii="Times New Roman" w:eastAsiaTheme="minorEastAsia" w:hAnsi="Times New Roman" w:cs="Times New Roman"/>
        </w:rPr>
      </w:pPr>
      <m:oMathPara>
        <m:oMath>
          <m:r>
            <m:rPr>
              <m:sty m:val="p"/>
            </m:rPr>
            <w:rPr>
              <w:rFonts w:ascii="Cambria Math" w:hAnsi="Cambria Math" w:cs="Times New Roman"/>
              <w:color w:val="000000"/>
            </w:rPr>
            <m:t>C</m:t>
          </m:r>
          <m:r>
            <m:rPr>
              <m:sty m:val="p"/>
            </m:rPr>
            <w:rPr>
              <w:rFonts w:ascii="Cambria Math" w:eastAsia="宋体" w:hAnsi="Cambria Math" w:cs="Times New Roman"/>
              <w:color w:val="000000"/>
            </w:rPr>
            <m:t>∝</m:t>
          </m:r>
          <m:r>
            <m:rPr>
              <m:nor/>
            </m:rPr>
            <w:rPr>
              <w:rFonts w:ascii="Times New Roman" w:hAnsi="Times New Roman" w:cs="Times New Roman"/>
              <w:color w:val="000000"/>
            </w:rPr>
            <m:t>Im</m:t>
          </m:r>
          <m:d>
            <m:dPr>
              <m:ctrlPr>
                <w:rPr>
                  <w:rFonts w:ascii="Cambria Math" w:hAnsi="Cambria Math" w:cs="Times New Roman"/>
                  <w:color w:val="000000"/>
                </w:rPr>
              </m:ctrlPr>
            </m:dPr>
            <m:e>
              <m:sSup>
                <m:sSupPr>
                  <m:ctrlPr>
                    <w:rPr>
                      <w:rFonts w:ascii="Cambria Math" w:hAnsi="Cambria Math" w:cs="Times New Roman"/>
                      <w:b/>
                      <w:color w:val="000000"/>
                    </w:rPr>
                  </m:ctrlPr>
                </m:sSupPr>
                <m:e>
                  <m:r>
                    <m:rPr>
                      <m:sty m:val="b"/>
                    </m:rPr>
                    <w:rPr>
                      <w:rFonts w:ascii="Cambria Math" w:hAnsi="Cambria Math" w:cs="Times New Roman"/>
                      <w:color w:val="000000"/>
                    </w:rPr>
                    <m:t>E</m:t>
                  </m:r>
                </m:e>
                <m:sup>
                  <m:r>
                    <m:rPr>
                      <m:sty m:val="b"/>
                    </m:rPr>
                    <w:rPr>
                      <w:rFonts w:ascii="Cambria Math" w:hAnsi="Cambria Math" w:cs="Times New Roman"/>
                      <w:color w:val="000000"/>
                    </w:rPr>
                    <m:t>*</m:t>
                  </m:r>
                </m:sup>
              </m:sSup>
              <m:r>
                <m:rPr>
                  <m:sty m:val="p"/>
                </m:rPr>
                <w:rPr>
                  <w:rFonts w:ascii="Cambria Math" w:hAnsi="Cambria Math" w:cs="Times New Roman"/>
                  <w:color w:val="000000"/>
                </w:rPr>
                <m:t>⋅</m:t>
              </m:r>
              <m:r>
                <m:rPr>
                  <m:sty m:val="b"/>
                </m:rPr>
                <w:rPr>
                  <w:rFonts w:ascii="Cambria Math" w:hAnsi="Cambria Math" w:cs="Times New Roman"/>
                  <w:color w:val="000000"/>
                </w:rPr>
                <m:t>B</m:t>
              </m:r>
            </m:e>
          </m:d>
        </m:oMath>
      </m:oMathPara>
    </w:p>
    <w:p w14:paraId="159DE2C2" w14:textId="534FA69B" w:rsidR="00E7630F" w:rsidRPr="00B32F64" w:rsidRDefault="00E7630F" w:rsidP="006B4129">
      <w:pPr>
        <w:spacing w:line="240" w:lineRule="auto"/>
        <w:ind w:firstLine="480"/>
        <w:jc w:val="both"/>
        <w:rPr>
          <w:rFonts w:ascii="Times New Roman" w:eastAsiaTheme="minorEastAsia" w:hAnsi="Times New Roman" w:cs="Times New Roman"/>
        </w:rPr>
      </w:pPr>
      <w:r w:rsidRPr="00B32F64">
        <w:rPr>
          <w:rFonts w:ascii="Times New Roman" w:eastAsiaTheme="minorEastAsia" w:hAnsi="Times New Roman" w:cs="Times New Roman"/>
        </w:rPr>
        <w:t>In addition, to enable direct comparison between different excitation conditions, the calculated optical chirality was further normalized by the incident field intensity, ensuring that the observed variations arise solely from structural effects rather than differences in excitation amplitude.</w:t>
      </w:r>
    </w:p>
    <w:p w14:paraId="2ED082E7" w14:textId="77777777" w:rsidR="00E7630F" w:rsidRPr="00B32F64" w:rsidRDefault="00E7630F" w:rsidP="006B4129">
      <w:pPr>
        <w:spacing w:line="240" w:lineRule="auto"/>
        <w:ind w:firstLine="480"/>
        <w:jc w:val="both"/>
        <w:rPr>
          <w:rFonts w:ascii="Times New Roman" w:eastAsiaTheme="minorEastAsia" w:hAnsi="Times New Roman" w:cs="Times New Roman"/>
        </w:rPr>
      </w:pPr>
      <w:r w:rsidRPr="00B32F64">
        <w:rPr>
          <w:rFonts w:ascii="Times New Roman" w:eastAsiaTheme="minorEastAsia" w:hAnsi="Times New Roman" w:cs="Times New Roman"/>
        </w:rPr>
        <w:t>All simulations were performed in the frequency domain. A non-uniform mesh with local refinement near the nanopore and nanoparticle regions was employed to ensure numerical accuracy. The resulting field distributions and derived quantities were obtained through post-processing within COMSOL.</w:t>
      </w:r>
      <w:bookmarkStart w:id="4" w:name="OLE_LINK30"/>
    </w:p>
    <w:p w14:paraId="44328721" w14:textId="77777777" w:rsidR="006B4129" w:rsidRPr="00B32F64" w:rsidRDefault="006B4129" w:rsidP="006B4129">
      <w:pPr>
        <w:spacing w:line="240" w:lineRule="auto"/>
        <w:ind w:firstLine="480"/>
        <w:jc w:val="both"/>
        <w:rPr>
          <w:rFonts w:ascii="Times New Roman" w:eastAsiaTheme="minorEastAsia" w:hAnsi="Times New Roman" w:cs="Times New Roman"/>
        </w:rPr>
      </w:pPr>
    </w:p>
    <w:p w14:paraId="101BF4E4" w14:textId="108B3605" w:rsidR="006B4129" w:rsidRPr="00BA3AF9" w:rsidRDefault="006B4129" w:rsidP="006B4129">
      <w:pPr>
        <w:spacing w:line="240" w:lineRule="auto"/>
        <w:jc w:val="both"/>
        <w:rPr>
          <w:rFonts w:ascii="Times New Roman" w:eastAsiaTheme="minorEastAsia" w:hAnsi="Times New Roman" w:cs="Times New Roman"/>
          <w:b/>
          <w:bCs/>
          <w:sz w:val="24"/>
        </w:rPr>
      </w:pPr>
      <w:r w:rsidRPr="00BA3AF9">
        <w:rPr>
          <w:rFonts w:ascii="Times New Roman" w:hAnsi="Times New Roman" w:cs="Times New Roman"/>
          <w:b/>
          <w:bCs/>
          <w:sz w:val="24"/>
          <w:szCs w:val="21"/>
        </w:rPr>
        <w:t xml:space="preserve">Section </w:t>
      </w:r>
      <w:r w:rsidRPr="00BA3AF9">
        <w:rPr>
          <w:rFonts w:ascii="Times New Roman" w:eastAsiaTheme="minorEastAsia" w:hAnsi="Times New Roman" w:cs="Times New Roman"/>
          <w:b/>
          <w:bCs/>
          <w:sz w:val="24"/>
          <w:szCs w:val="21"/>
        </w:rPr>
        <w:t>5</w:t>
      </w:r>
      <w:r w:rsidRPr="00BA3AF9">
        <w:rPr>
          <w:rFonts w:ascii="Times New Roman" w:hAnsi="Times New Roman" w:cs="Times New Roman"/>
          <w:b/>
          <w:bCs/>
          <w:sz w:val="24"/>
          <w:szCs w:val="21"/>
        </w:rPr>
        <w:t xml:space="preserve">. </w:t>
      </w:r>
      <w:r w:rsidRPr="00BA3AF9">
        <w:rPr>
          <w:rFonts w:ascii="Times New Roman" w:hAnsi="Times New Roman" w:cs="Times New Roman"/>
          <w:b/>
          <w:bCs/>
          <w:sz w:val="24"/>
        </w:rPr>
        <w:t>Born–Kuhn Model Analysis of Coupling-Induced g-Factor Reversal</w:t>
      </w:r>
    </w:p>
    <w:p w14:paraId="780FCE63" w14:textId="77777777" w:rsidR="00B32F64" w:rsidRPr="007F6F00" w:rsidRDefault="00B32F64" w:rsidP="00B32F64">
      <w:pPr>
        <w:spacing w:line="240" w:lineRule="auto"/>
        <w:jc w:val="both"/>
        <w:rPr>
          <w:rFonts w:ascii="Times New Roman" w:hAnsi="Times New Roman" w:cs="Times New Roman"/>
        </w:rPr>
      </w:pPr>
      <w:r>
        <w:rPr>
          <w:rFonts w:ascii="Times New Roman" w:hAnsi="Times New Roman" w:cs="Times New Roman"/>
        </w:rPr>
        <w:t>T</w:t>
      </w:r>
      <w:r w:rsidRPr="007F6F00">
        <w:rPr>
          <w:rFonts w:ascii="Times New Roman" w:hAnsi="Times New Roman" w:cs="Times New Roman"/>
        </w:rPr>
        <w:t>he coupled</w:t>
      </w:r>
      <w:r>
        <w:rPr>
          <w:rFonts w:ascii="Times New Roman" w:hAnsi="Times New Roman" w:cs="Times New Roman"/>
        </w:rPr>
        <w:t xml:space="preserve"> </w:t>
      </w:r>
      <w:r w:rsidRPr="007F6F00">
        <w:rPr>
          <w:rFonts w:ascii="Times New Roman" w:hAnsi="Times New Roman" w:cs="Times New Roman"/>
        </w:rPr>
        <w:t>dipole approximation (CDA), where each particle is</w:t>
      </w:r>
      <w:r>
        <w:rPr>
          <w:rFonts w:ascii="Times New Roman" w:hAnsi="Times New Roman" w:cs="Times New Roman"/>
        </w:rPr>
        <w:t xml:space="preserve"> </w:t>
      </w:r>
      <w:r w:rsidRPr="007F6F00">
        <w:rPr>
          <w:rFonts w:ascii="Times New Roman" w:hAnsi="Times New Roman" w:cs="Times New Roman"/>
        </w:rPr>
        <w:t xml:space="preserve">represented by a point dipole with </w:t>
      </w:r>
      <w:r w:rsidRPr="007F6F00">
        <w:rPr>
          <w:rFonts w:ascii="Times New Roman" w:hAnsi="Times New Roman" w:cs="Times New Roman"/>
        </w:rPr>
        <w:lastRenderedPageBreak/>
        <w:t>an effective polarizability</w:t>
      </w:r>
      <w:r>
        <w:rPr>
          <w:rFonts w:ascii="Times New Roman" w:hAnsi="Times New Roman" w:cs="Times New Roman"/>
        </w:rPr>
        <w:t xml:space="preserve"> </w:t>
      </w:r>
      <w:r w:rsidRPr="007F6F00">
        <w:rPr>
          <w:rFonts w:ascii="Times New Roman" w:hAnsi="Times New Roman" w:cs="Times New Roman"/>
        </w:rPr>
        <w:t>obtained by solving the coupled dipole equation. The</w:t>
      </w:r>
      <w:r>
        <w:rPr>
          <w:rFonts w:ascii="Times New Roman" w:hAnsi="Times New Roman" w:cs="Times New Roman"/>
        </w:rPr>
        <w:t xml:space="preserve"> </w:t>
      </w:r>
      <w:r w:rsidRPr="007F6F00">
        <w:rPr>
          <w:rFonts w:ascii="Times New Roman" w:hAnsi="Times New Roman" w:cs="Times New Roman"/>
        </w:rPr>
        <w:t>corresponding uncoupled dipole polarizabilities are obtained</w:t>
      </w:r>
      <w:r>
        <w:rPr>
          <w:rFonts w:ascii="Times New Roman" w:hAnsi="Times New Roman" w:cs="Times New Roman"/>
        </w:rPr>
        <w:t xml:space="preserve"> </w:t>
      </w:r>
      <w:r w:rsidRPr="007F6F00">
        <w:rPr>
          <w:rFonts w:ascii="Times New Roman" w:hAnsi="Times New Roman" w:cs="Times New Roman"/>
        </w:rPr>
        <w:t>by approximating each disk by an oblate spheroid with similar</w:t>
      </w:r>
      <w:r>
        <w:rPr>
          <w:rFonts w:ascii="Times New Roman" w:hAnsi="Times New Roman" w:cs="Times New Roman"/>
        </w:rPr>
        <w:t xml:space="preserve"> </w:t>
      </w:r>
      <w:r w:rsidRPr="007F6F00">
        <w:rPr>
          <w:rFonts w:ascii="Times New Roman" w:hAnsi="Times New Roman" w:cs="Times New Roman"/>
        </w:rPr>
        <w:t>dimensions to those</w:t>
      </w:r>
      <w:r>
        <w:rPr>
          <w:rFonts w:ascii="Times New Roman" w:hAnsi="Times New Roman" w:cs="Times New Roman"/>
        </w:rPr>
        <w:t xml:space="preserve"> particles</w:t>
      </w:r>
      <w:r>
        <w:rPr>
          <w:rFonts w:ascii="Times New Roman" w:hAnsi="Times New Roman" w:cs="Times New Roman"/>
        </w:rPr>
        <w:fldChar w:fldCharType="begin"/>
      </w:r>
      <w:r>
        <w:rPr>
          <w:rFonts w:ascii="Times New Roman" w:hAnsi="Times New Roman" w:cs="Times New Roman"/>
        </w:rPr>
        <w:instrText xml:space="preserve"> ADDIN EN.CITE &lt;EndNote&gt;&lt;Cite&gt;&lt;Author&gt;Hu&lt;/Author&gt;&lt;Year&gt;2017&lt;/Year&gt;&lt;RecNum&gt;1898&lt;/RecNum&gt;&lt;DisplayText&gt;&lt;style face="superscript"&gt;3&lt;/style&gt;&lt;/DisplayText&gt;&lt;record&gt;&lt;rec-number&gt;1898&lt;/rec-number&gt;&lt;foreign-keys&gt;&lt;key app="EN" db-id="f5f2vdpe8se20qerex45vta9r2azvpt0ez5e"&gt;1898&lt;/key&gt;&lt;/foreign-keys&gt;&lt;ref-type name="Journal Article"&gt;17&lt;/ref-type&gt;&lt;contributors&gt;&lt;authors&gt;&lt;author&gt;Hu, L.&lt;/author&gt;&lt;author&gt;Huang, Y. Z.&lt;/author&gt;&lt;author&gt;Pan, L. J.&lt;/author&gt;&lt;author&gt;Fang, Y. R.&lt;/author&gt;&lt;/authors&gt;&lt;/contributors&gt;&lt;auth-address&gt;Chongqing Technol &amp;amp; Business Univ, Sch Comp Sci &amp;amp; Informat Engn, Chongqing Engn Lab Detect Control &amp;amp; Integrated Sy, Chongqing 400067, Peoples R China&amp;#xD;Chongqing Univ, Coll Phys, Soft Matter &amp;amp; Interdisciplinary Res Ctr, Chongqing 400044, Peoples R China&amp;#xD;Chalmers Univ Technol, Dept Phys, SE-41296 Gorthenburg, Sweden&amp;#xD;Dalian Univ Technol, Sch Phys, Minist Educ, Key Lab Mat Modificat Laser Electron &amp;amp; Ion Beams, Dalian 116024, Peoples R China&lt;/auth-address&gt;&lt;titles&gt;&lt;title&gt;Analyzing intrinsic plasmonic chirality by tracking the interplay of electric and magnetic dipole modes&lt;/title&gt;&lt;secondary-title&gt;Scientific Reports&lt;/secondary-title&gt;&lt;alt-title&gt;Sci Rep-Uk&lt;/alt-title&gt;&lt;/titles&gt;&lt;periodical&gt;&lt;full-title&gt;Scientific Reports&lt;/full-title&gt;&lt;abbr-1&gt;Sci Rep-Uk&lt;/abbr-1&gt;&lt;/periodical&gt;&lt;alt-periodical&gt;&lt;full-title&gt;Scientific Reports&lt;/full-title&gt;&lt;abbr-1&gt;Sci Rep-Uk&lt;/abbr-1&gt;&lt;/alt-periodical&gt;&lt;pages&gt;11151&lt;/pages&gt;&lt;volume&gt;7&lt;/volume&gt;&lt;keywords&gt;&lt;keyword&gt;circular-dichroism&lt;/keyword&gt;&lt;keyword&gt;nanostructures&lt;/keyword&gt;&lt;keyword&gt;nanocrystals&lt;/keyword&gt;&lt;keyword&gt;oligomers&lt;/keyword&gt;&lt;keyword&gt;spectra&lt;/keyword&gt;&lt;keyword&gt;fields&lt;/keyword&gt;&lt;keyword&gt;media&lt;/keyword&gt;&lt;/keywords&gt;&lt;dates&gt;&lt;year&gt;2017&lt;/year&gt;&lt;pub-dates&gt;&lt;date&gt;Sep 11&lt;/date&gt;&lt;/pub-dates&gt;&lt;/dates&gt;&lt;isbn&gt;2045-2322&lt;/isbn&gt;&lt;accession-num&gt;WOS:000410063400080&lt;/accession-num&gt;&lt;urls&gt;&lt;related-urls&gt;&lt;url&gt;&amp;lt;Go to ISI&amp;gt;://WOS:000410063400080&lt;/url&gt;&lt;/related-urls&gt;&lt;/urls&gt;&lt;electronic-resource-num&gt;Artn 11151&amp;#xD;10.1038/S41598-017-11571-9&lt;/electronic-resource-num&gt;&lt;language&gt;English&lt;/language&gt;&lt;/record&gt;&lt;/Cite&gt;&lt;/EndNote&gt;</w:instrText>
      </w:r>
      <w:r>
        <w:rPr>
          <w:rFonts w:ascii="Times New Roman" w:hAnsi="Times New Roman" w:cs="Times New Roman"/>
        </w:rPr>
        <w:fldChar w:fldCharType="separate"/>
      </w:r>
      <w:r w:rsidRPr="007561B2">
        <w:rPr>
          <w:rFonts w:ascii="Times New Roman" w:hAnsi="Times New Roman" w:cs="Times New Roman"/>
          <w:noProof/>
          <w:vertAlign w:val="superscript"/>
        </w:rPr>
        <w:t>3</w:t>
      </w:r>
      <w:r>
        <w:rPr>
          <w:rFonts w:ascii="Times New Roman" w:hAnsi="Times New Roman" w:cs="Times New Roman"/>
        </w:rPr>
        <w:fldChar w:fldCharType="end"/>
      </w:r>
      <w:r w:rsidRPr="007F6F00">
        <w:rPr>
          <w:rFonts w:ascii="Times New Roman" w:hAnsi="Times New Roman" w:cs="Times New Roman"/>
        </w:rPr>
        <w:t>.</w:t>
      </w:r>
    </w:p>
    <w:p w14:paraId="46945320" w14:textId="77777777" w:rsidR="006B4129" w:rsidRPr="00B32F64" w:rsidRDefault="006B4129" w:rsidP="00BA3AF9">
      <w:pPr>
        <w:keepNext/>
        <w:spacing w:line="240" w:lineRule="auto"/>
        <w:ind w:firstLine="440"/>
        <w:rPr>
          <w:rFonts w:ascii="Times New Roman" w:eastAsiaTheme="minorEastAsia" w:hAnsi="Times New Roman" w:cs="Times New Roman"/>
        </w:rPr>
      </w:pPr>
      <w:r w:rsidRPr="00B32F64">
        <w:rPr>
          <w:rFonts w:ascii="Times New Roman" w:hAnsi="Times New Roman" w:cs="Times New Roman"/>
          <w:noProof/>
        </w:rPr>
        <w:drawing>
          <wp:inline distT="0" distB="0" distL="0" distR="0" wp14:anchorId="6A654482" wp14:editId="3C3CD7A2">
            <wp:extent cx="3689338" cy="2398858"/>
            <wp:effectExtent l="0" t="0" r="698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rotWithShape="1">
                    <a:blip r:embed="rId8" cstate="print">
                      <a:extLst>
                        <a:ext uri="{28A0092B-C50C-407E-A947-70E740481C1C}">
                          <a14:useLocalDpi xmlns:a14="http://schemas.microsoft.com/office/drawing/2010/main" val="0"/>
                        </a:ext>
                      </a:extLst>
                    </a:blip>
                    <a:srcRect l="12861" t="8236" r="14766" b="8016"/>
                    <a:stretch/>
                  </pic:blipFill>
                  <pic:spPr bwMode="auto">
                    <a:xfrm>
                      <a:off x="0" y="0"/>
                      <a:ext cx="3705942" cy="2409654"/>
                    </a:xfrm>
                    <a:prstGeom prst="rect">
                      <a:avLst/>
                    </a:prstGeom>
                    <a:ln>
                      <a:noFill/>
                    </a:ln>
                    <a:extLst>
                      <a:ext uri="{53640926-AAD7-44D8-BBD7-CCE9431645EC}">
                        <a14:shadowObscured xmlns:a14="http://schemas.microsoft.com/office/drawing/2010/main"/>
                      </a:ext>
                    </a:extLst>
                  </pic:spPr>
                </pic:pic>
              </a:graphicData>
            </a:graphic>
          </wp:inline>
        </w:drawing>
      </w:r>
    </w:p>
    <w:p w14:paraId="6138CEF6" w14:textId="3CDAC2AA" w:rsidR="006B4129" w:rsidRPr="00B32F64" w:rsidRDefault="006B4129" w:rsidP="00B32F64">
      <w:pPr>
        <w:spacing w:line="240" w:lineRule="auto"/>
        <w:jc w:val="both"/>
        <w:rPr>
          <w:rFonts w:ascii="Times New Roman" w:eastAsia="宋体" w:hAnsi="Times New Roman" w:cs="Times New Roman"/>
          <w:kern w:val="0"/>
          <w:szCs w:val="20"/>
          <w:lang w:bidi="en-US"/>
          <w14:ligatures w14:val="none"/>
        </w:rPr>
      </w:pPr>
      <w:r w:rsidRPr="00B32F64">
        <w:rPr>
          <w:rFonts w:ascii="Times New Roman" w:eastAsia="宋体" w:hAnsi="Times New Roman" w:cs="Times New Roman"/>
          <w:b/>
          <w:bCs/>
          <w:kern w:val="0"/>
          <w:szCs w:val="20"/>
          <w:lang w:bidi="en-US"/>
          <w14:ligatures w14:val="none"/>
        </w:rPr>
        <w:t xml:space="preserve">Figure S1. </w:t>
      </w:r>
      <w:r w:rsidR="00B32F64" w:rsidRPr="00B32F64">
        <w:rPr>
          <w:rFonts w:ascii="Times New Roman" w:eastAsia="宋体" w:hAnsi="Times New Roman" w:cs="Times New Roman"/>
          <w:b/>
          <w:bCs/>
          <w:kern w:val="0"/>
          <w:szCs w:val="20"/>
          <w:lang w:bidi="en-US"/>
          <w14:ligatures w14:val="none"/>
        </w:rPr>
        <w:t>Coupled dipole approximation simulated Born-Kuhn model of coupling-induced chiroptical response.</w:t>
      </w:r>
      <w:r w:rsidRPr="00B32F64">
        <w:rPr>
          <w:rFonts w:ascii="Times New Roman" w:eastAsia="宋体" w:hAnsi="Times New Roman" w:cs="Times New Roman"/>
          <w:kern w:val="0"/>
          <w:szCs w:val="20"/>
          <w:lang w:bidi="en-US"/>
          <w14:ligatures w14:val="none"/>
        </w:rPr>
        <w:t xml:space="preserve"> Simulated spectra for (a, c) a single chiral oscillator and (b, d) a coupled dimer system. (a, b) LCP (blue) and RCP (red) scattering spectra, and (c, d) the corresponding g-factor spectra. While the single oscillator exhibits a negative g-factor response (c), the coupled dimer displays a pronounced polarity reversal with a positive peak (d). The agreement with the experimental trend confirms that the observed g-factor inversion can be understood as a general consequence of inter-particle coupling.</w:t>
      </w:r>
    </w:p>
    <w:p w14:paraId="2D4C0ED3" w14:textId="77777777" w:rsidR="00E7630F" w:rsidRPr="00B32F64" w:rsidRDefault="00E7630F" w:rsidP="006B4129">
      <w:pPr>
        <w:spacing w:line="240" w:lineRule="auto"/>
        <w:jc w:val="both"/>
        <w:rPr>
          <w:rFonts w:ascii="Times New Roman" w:eastAsiaTheme="minorEastAsia" w:hAnsi="Times New Roman" w:cs="Times New Roman"/>
        </w:rPr>
      </w:pPr>
    </w:p>
    <w:p w14:paraId="3D300C59" w14:textId="77777777" w:rsidR="006B4129" w:rsidRPr="00BA3AF9" w:rsidRDefault="00712503" w:rsidP="006B4129">
      <w:pPr>
        <w:spacing w:line="240" w:lineRule="auto"/>
        <w:jc w:val="both"/>
        <w:rPr>
          <w:rFonts w:ascii="Times New Roman" w:eastAsiaTheme="minorEastAsia" w:hAnsi="Times New Roman" w:cs="Times New Roman"/>
          <w:b/>
          <w:bCs/>
          <w:sz w:val="24"/>
          <w:szCs w:val="21"/>
          <w:lang w:bidi="en-US"/>
        </w:rPr>
      </w:pPr>
      <w:r w:rsidRPr="00BA3AF9">
        <w:rPr>
          <w:rFonts w:ascii="Times New Roman" w:hAnsi="Times New Roman" w:cs="Times New Roman"/>
          <w:b/>
          <w:bCs/>
          <w:sz w:val="24"/>
          <w:szCs w:val="21"/>
        </w:rPr>
        <w:t xml:space="preserve">Section </w:t>
      </w:r>
      <w:r w:rsidR="006B4129" w:rsidRPr="00BA3AF9">
        <w:rPr>
          <w:rFonts w:ascii="Times New Roman" w:eastAsiaTheme="minorEastAsia" w:hAnsi="Times New Roman" w:cs="Times New Roman"/>
          <w:b/>
          <w:bCs/>
          <w:sz w:val="24"/>
          <w:szCs w:val="21"/>
        </w:rPr>
        <w:t>6</w:t>
      </w:r>
      <w:r w:rsidRPr="00BA3AF9">
        <w:rPr>
          <w:rFonts w:ascii="Times New Roman" w:hAnsi="Times New Roman" w:cs="Times New Roman"/>
          <w:b/>
          <w:bCs/>
          <w:sz w:val="24"/>
          <w:szCs w:val="21"/>
        </w:rPr>
        <w:t>.</w:t>
      </w:r>
      <w:bookmarkEnd w:id="4"/>
      <w:r w:rsidRPr="00BA3AF9">
        <w:rPr>
          <w:rFonts w:ascii="Times New Roman" w:hAnsi="Times New Roman" w:cs="Times New Roman"/>
          <w:b/>
          <w:bCs/>
          <w:sz w:val="24"/>
          <w:szCs w:val="21"/>
        </w:rPr>
        <w:t xml:space="preserve"> </w:t>
      </w:r>
      <w:r w:rsidRPr="00BA3AF9">
        <w:rPr>
          <w:rFonts w:ascii="Times New Roman" w:hAnsi="Times New Roman" w:cs="Times New Roman"/>
          <w:b/>
          <w:bCs/>
          <w:sz w:val="24"/>
          <w:szCs w:val="21"/>
          <w:lang w:bidi="en-US"/>
        </w:rPr>
        <w:t>Near-</w:t>
      </w:r>
      <w:r w:rsidRPr="00BA3AF9">
        <w:rPr>
          <w:rFonts w:ascii="Times New Roman" w:hAnsi="Times New Roman" w:cs="Times New Roman"/>
          <w:b/>
          <w:bCs/>
          <w:sz w:val="24"/>
          <w:szCs w:val="21"/>
          <w:lang w:bidi="en-US"/>
        </w:rPr>
        <w:t>Field Electromagnetic and Chiral Field Distributions at 850 nm</w:t>
      </w:r>
    </w:p>
    <w:p w14:paraId="4733F119" w14:textId="6E834662" w:rsidR="0049223A" w:rsidRPr="00B32F64" w:rsidRDefault="00712503" w:rsidP="006B4129">
      <w:pPr>
        <w:spacing w:line="240" w:lineRule="auto"/>
        <w:jc w:val="center"/>
        <w:rPr>
          <w:rFonts w:ascii="Times New Roman" w:eastAsiaTheme="minorEastAsia" w:hAnsi="Times New Roman" w:cs="Times New Roman"/>
        </w:rPr>
      </w:pPr>
      <w:r w:rsidRPr="00B32F64">
        <w:rPr>
          <w:rFonts w:ascii="Times New Roman" w:hAnsi="Times New Roman" w:cs="Times New Roman"/>
          <w:noProof/>
          <w:szCs w:val="21"/>
        </w:rPr>
        <w:drawing>
          <wp:inline distT="0" distB="0" distL="0" distR="0" wp14:anchorId="0D7426A6" wp14:editId="429D2072">
            <wp:extent cx="5353050" cy="2641895"/>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rotWithShape="1">
                    <a:blip r:embed="rId9" cstate="print">
                      <a:extLst>
                        <a:ext uri="{28A0092B-C50C-407E-A947-70E740481C1C}">
                          <a14:useLocalDpi xmlns:a14="http://schemas.microsoft.com/office/drawing/2010/main" val="0"/>
                        </a:ext>
                      </a:extLst>
                    </a:blip>
                    <a:srcRect l="4558" t="9633" r="4662" b="10747"/>
                    <a:stretch/>
                  </pic:blipFill>
                  <pic:spPr bwMode="auto">
                    <a:xfrm>
                      <a:off x="0" y="0"/>
                      <a:ext cx="5357816" cy="2644247"/>
                    </a:xfrm>
                    <a:prstGeom prst="rect">
                      <a:avLst/>
                    </a:prstGeom>
                    <a:ln>
                      <a:noFill/>
                    </a:ln>
                    <a:extLst>
                      <a:ext uri="{53640926-AAD7-44D8-BBD7-CCE9431645EC}">
                        <a14:shadowObscured xmlns:a14="http://schemas.microsoft.com/office/drawing/2010/main"/>
                      </a:ext>
                    </a:extLst>
                  </pic:spPr>
                </pic:pic>
              </a:graphicData>
            </a:graphic>
          </wp:inline>
        </w:drawing>
      </w:r>
    </w:p>
    <w:p w14:paraId="2EB52626" w14:textId="1ACA5F59" w:rsidR="0049223A" w:rsidRPr="00B32F64" w:rsidRDefault="00712503" w:rsidP="00BA3AF9">
      <w:pPr>
        <w:pStyle w:val="a3"/>
        <w:spacing w:line="276" w:lineRule="auto"/>
        <w:jc w:val="both"/>
        <w:rPr>
          <w:szCs w:val="21"/>
        </w:rPr>
      </w:pPr>
      <w:r w:rsidRPr="00B32F64">
        <w:rPr>
          <w:b/>
          <w:bCs/>
          <w:szCs w:val="21"/>
        </w:rPr>
        <w:t>Figure S</w:t>
      </w:r>
      <w:r w:rsidR="006B4129" w:rsidRPr="00B32F64">
        <w:rPr>
          <w:b/>
          <w:bCs/>
          <w:szCs w:val="21"/>
        </w:rPr>
        <w:t>2</w:t>
      </w:r>
      <w:r w:rsidR="00BA3AF9">
        <w:rPr>
          <w:b/>
          <w:bCs/>
          <w:szCs w:val="21"/>
        </w:rPr>
        <w:t>.</w:t>
      </w:r>
      <w:r w:rsidRPr="00B32F64">
        <w:rPr>
          <w:szCs w:val="21"/>
        </w:rPr>
        <w:t xml:space="preserve"> </w:t>
      </w:r>
      <w:r w:rsidRPr="00B32F64">
        <w:rPr>
          <w:b/>
          <w:bCs/>
          <w:szCs w:val="21"/>
        </w:rPr>
        <w:t xml:space="preserve">Near-field electromagnetic and chiral field distributions of the nanopore–nanocube coupled systems at 850 nm. </w:t>
      </w:r>
      <w:r w:rsidRPr="00B32F64">
        <w:rPr>
          <w:szCs w:val="21"/>
        </w:rPr>
        <w:t>Simulated (a) electric field enhancement (</w:t>
      </w:r>
      <m:oMath>
        <m:func>
          <m:funcPr>
            <m:ctrlPr>
              <w:rPr>
                <w:rFonts w:ascii="Cambria Math" w:hAnsi="Cambria Math"/>
                <w:b/>
                <w:bCs/>
                <w:i/>
                <w:iCs/>
                <w:szCs w:val="21"/>
              </w:rPr>
            </m:ctrlPr>
          </m:funcPr>
          <m:fName>
            <m:r>
              <m:rPr>
                <m:sty m:val="p"/>
              </m:rPr>
              <w:rPr>
                <w:rFonts w:ascii="Cambria Math" w:hAnsi="Cambria Math"/>
                <w:szCs w:val="21"/>
              </w:rPr>
              <m:t>log</m:t>
            </m:r>
          </m:fName>
          <m:e>
            <m:sSup>
              <m:sSupPr>
                <m:ctrlPr>
                  <w:rPr>
                    <w:rFonts w:ascii="Cambria Math" w:hAnsi="Cambria Math"/>
                    <w:b/>
                    <w:bCs/>
                    <w:i/>
                    <w:iCs/>
                    <w:szCs w:val="21"/>
                  </w:rPr>
                </m:ctrlPr>
              </m:sSupPr>
              <m:e>
                <m:d>
                  <m:dPr>
                    <m:begChr m:val="|"/>
                    <m:endChr m:val="|"/>
                    <m:ctrlPr>
                      <w:rPr>
                        <w:rFonts w:ascii="Cambria Math" w:hAnsi="Cambria Math"/>
                        <w:b/>
                        <w:bCs/>
                        <w:i/>
                        <w:iCs/>
                        <w:szCs w:val="21"/>
                      </w:rPr>
                    </m:ctrlPr>
                  </m:dPr>
                  <m:e>
                    <m:r>
                      <m:rPr>
                        <m:sty m:val="bi"/>
                      </m:rPr>
                      <w:rPr>
                        <w:rFonts w:ascii="Cambria Math" w:hAnsi="Cambria Math"/>
                        <w:szCs w:val="21"/>
                      </w:rPr>
                      <m:t>E</m:t>
                    </m:r>
                    <m:r>
                      <m:rPr>
                        <m:sty m:val="bi"/>
                      </m:rPr>
                      <w:rPr>
                        <w:rFonts w:ascii="Cambria Math" w:hAnsi="Cambria Math"/>
                        <w:szCs w:val="21"/>
                      </w:rPr>
                      <m:t>/</m:t>
                    </m:r>
                    <m:sSub>
                      <m:sSubPr>
                        <m:ctrlPr>
                          <w:rPr>
                            <w:rFonts w:ascii="Cambria Math" w:hAnsi="Cambria Math"/>
                            <w:b/>
                            <w:bCs/>
                            <w:i/>
                            <w:iCs/>
                            <w:szCs w:val="21"/>
                          </w:rPr>
                        </m:ctrlPr>
                      </m:sSubPr>
                      <m:e>
                        <m:r>
                          <m:rPr>
                            <m:sty m:val="bi"/>
                          </m:rPr>
                          <w:rPr>
                            <w:rFonts w:ascii="Cambria Math" w:hAnsi="Cambria Math"/>
                            <w:szCs w:val="21"/>
                          </w:rPr>
                          <m:t>E</m:t>
                        </m:r>
                      </m:e>
                      <m:sub>
                        <m:r>
                          <m:rPr>
                            <m:sty m:val="bi"/>
                          </m:rPr>
                          <w:rPr>
                            <w:rFonts w:ascii="Cambria Math" w:hAnsi="Cambria Math"/>
                            <w:szCs w:val="21"/>
                          </w:rPr>
                          <m:t>0</m:t>
                        </m:r>
                      </m:sub>
                    </m:sSub>
                  </m:e>
                </m:d>
              </m:e>
              <m:sup>
                <m:r>
                  <m:rPr>
                    <m:sty m:val="bi"/>
                  </m:rPr>
                  <w:rPr>
                    <w:rFonts w:ascii="Cambria Math" w:hAnsi="Cambria Math"/>
                    <w:szCs w:val="21"/>
                  </w:rPr>
                  <m:t>2</m:t>
                </m:r>
              </m:sup>
            </m:sSup>
          </m:e>
        </m:func>
      </m:oMath>
      <w:r w:rsidRPr="00B32F64">
        <w:rPr>
          <w:szCs w:val="21"/>
        </w:rPr>
        <w:t xml:space="preserve">) and (b) </w:t>
      </w:r>
      <w:r w:rsidRPr="00B32F64">
        <w:rPr>
          <w:szCs w:val="21"/>
        </w:rPr>
        <w:t>optical chiral field (</w:t>
      </w:r>
      <m:oMath>
        <m:r>
          <m:rPr>
            <m:sty m:val="bi"/>
          </m:rPr>
          <w:rPr>
            <w:rFonts w:ascii="Cambria Math" w:hAnsi="Cambria Math"/>
            <w:szCs w:val="21"/>
          </w:rPr>
          <m:t>C</m:t>
        </m:r>
        <m:r>
          <m:rPr>
            <m:sty m:val="bi"/>
          </m:rPr>
          <w:rPr>
            <w:rFonts w:ascii="Cambria Math" w:hAnsi="Cambria Math"/>
            <w:szCs w:val="21"/>
          </w:rPr>
          <m:t>/</m:t>
        </m:r>
        <m:d>
          <m:dPr>
            <m:begChr m:val="|"/>
            <m:endChr m:val="|"/>
            <m:ctrlPr>
              <w:rPr>
                <w:rFonts w:ascii="Cambria Math" w:hAnsi="Cambria Math"/>
                <w:b/>
                <w:bCs/>
                <w:i/>
                <w:iCs/>
                <w:szCs w:val="21"/>
              </w:rPr>
            </m:ctrlPr>
          </m:dPr>
          <m:e>
            <m:sSub>
              <m:sSubPr>
                <m:ctrlPr>
                  <w:rPr>
                    <w:rFonts w:ascii="Cambria Math" w:hAnsi="Cambria Math"/>
                    <w:b/>
                    <w:bCs/>
                    <w:i/>
                    <w:iCs/>
                    <w:szCs w:val="21"/>
                  </w:rPr>
                </m:ctrlPr>
              </m:sSubPr>
              <m:e>
                <m:r>
                  <m:rPr>
                    <m:sty m:val="bi"/>
                  </m:rPr>
                  <w:rPr>
                    <w:rFonts w:ascii="Cambria Math" w:hAnsi="Cambria Math"/>
                    <w:szCs w:val="21"/>
                  </w:rPr>
                  <m:t>C</m:t>
                </m:r>
              </m:e>
              <m:sub>
                <m:r>
                  <m:rPr>
                    <m:sty m:val="bi"/>
                  </m:rPr>
                  <w:rPr>
                    <w:rFonts w:ascii="Cambria Math" w:hAnsi="Cambria Math"/>
                    <w:szCs w:val="21"/>
                  </w:rPr>
                  <m:t>CPL</m:t>
                </m:r>
              </m:sub>
            </m:sSub>
          </m:e>
        </m:d>
      </m:oMath>
      <w:r w:rsidRPr="00B32F64">
        <w:rPr>
          <w:szCs w:val="21"/>
        </w:rPr>
        <w:t xml:space="preserve">) under left- and right-circularly polarized (LCP/RCP) excitations for (I) a </w:t>
      </w:r>
      <w:r w:rsidRPr="00B32F64">
        <w:rPr>
          <w:szCs w:val="21"/>
        </w:rPr>
        <w:lastRenderedPageBreak/>
        <w:t>single nanocube embedded within a nanopore cavity and (II) an inter-cavity nanocube dimer embedded within adjacent nanopore cavities. The correspo</w:t>
      </w:r>
      <w:r w:rsidRPr="00B32F64">
        <w:rPr>
          <w:szCs w:val="21"/>
        </w:rPr>
        <w:t>nding difference maps (</w:t>
      </w:r>
      <m:oMath>
        <m:r>
          <m:rPr>
            <m:sty m:val="bi"/>
          </m:rPr>
          <w:rPr>
            <w:rFonts w:ascii="Cambria Math" w:hAnsi="Cambria Math"/>
            <w:szCs w:val="21"/>
          </w:rPr>
          <m:t>∆</m:t>
        </m:r>
        <m:r>
          <m:rPr>
            <m:sty m:val="bi"/>
          </m:rPr>
          <w:rPr>
            <w:rFonts w:ascii="Cambria Math" w:hAnsi="Cambria Math"/>
            <w:szCs w:val="21"/>
          </w:rPr>
          <m:t>E</m:t>
        </m:r>
      </m:oMath>
      <w:r w:rsidRPr="00B32F64">
        <w:rPr>
          <w:szCs w:val="21"/>
        </w:rPr>
        <w:t xml:space="preserve"> and </w:t>
      </w:r>
      <m:oMath>
        <m:r>
          <m:rPr>
            <m:sty m:val="bi"/>
          </m:rPr>
          <w:rPr>
            <w:rFonts w:ascii="Cambria Math" w:hAnsi="Cambria Math"/>
            <w:szCs w:val="21"/>
          </w:rPr>
          <m:t>∆</m:t>
        </m:r>
        <m:r>
          <m:rPr>
            <m:sty m:val="bi"/>
          </m:rPr>
          <w:rPr>
            <w:rFonts w:ascii="Cambria Math" w:hAnsi="Cambria Math"/>
            <w:szCs w:val="21"/>
          </w:rPr>
          <m:t>C</m:t>
        </m:r>
      </m:oMath>
      <w:r w:rsidRPr="00B32F64">
        <w:rPr>
          <w:szCs w:val="21"/>
        </w:rPr>
        <w:t>) highlight the near-field asymmetry. At this off-resonant wavelength, the chiral field distribution remains relatively weak and spatially localized compared to the resonance conditions shown in the main text, while the di</w:t>
      </w:r>
      <w:r w:rsidRPr="00B32F64">
        <w:rPr>
          <w:szCs w:val="21"/>
        </w:rPr>
        <w:t>mer configuration exhibits a modified spatial symmetry due to inter-cavity coupling, consistent with the role of lattice-mediated interactions in governing the far-field response in governing the far-field chiroptical response.</w:t>
      </w:r>
    </w:p>
    <w:p w14:paraId="76854004" w14:textId="77777777" w:rsidR="0049223A" w:rsidRPr="00B32F64" w:rsidRDefault="0049223A" w:rsidP="006B4129">
      <w:pPr>
        <w:spacing w:line="240" w:lineRule="auto"/>
        <w:ind w:firstLine="420"/>
        <w:rPr>
          <w:rFonts w:ascii="Times New Roman" w:hAnsi="Times New Roman" w:cs="Times New Roman"/>
          <w:szCs w:val="21"/>
        </w:rPr>
      </w:pPr>
    </w:p>
    <w:p w14:paraId="70F5CCD7" w14:textId="17032CCC" w:rsidR="0049223A" w:rsidRPr="003A2D04" w:rsidRDefault="003A2D04" w:rsidP="003A2D04">
      <w:pPr>
        <w:spacing w:line="240" w:lineRule="auto"/>
        <w:jc w:val="both"/>
        <w:rPr>
          <w:rFonts w:ascii="Times New Roman" w:hAnsi="Times New Roman" w:cs="Times New Roman"/>
          <w:b/>
          <w:szCs w:val="21"/>
        </w:rPr>
      </w:pPr>
      <w:r w:rsidRPr="003A2D04">
        <w:rPr>
          <w:rFonts w:ascii="Times New Roman" w:hAnsi="Times New Roman" w:cs="Times New Roman"/>
          <w:b/>
          <w:szCs w:val="21"/>
        </w:rPr>
        <w:t>References:</w:t>
      </w:r>
    </w:p>
    <w:p w14:paraId="4F965D4C" w14:textId="77777777" w:rsidR="003A2D04" w:rsidRPr="003A2D04" w:rsidRDefault="00712503" w:rsidP="003A2D04">
      <w:pPr>
        <w:pStyle w:val="EndNoteBibliography"/>
        <w:spacing w:after="0"/>
        <w:ind w:left="140" w:hanging="140"/>
        <w:jc w:val="both"/>
        <w:rPr>
          <w:rFonts w:ascii="Times New Roman" w:hAnsi="Times New Roman" w:cs="Times New Roman"/>
          <w:noProof/>
        </w:rPr>
      </w:pPr>
      <w:r w:rsidRPr="003A2D04">
        <w:rPr>
          <w:rFonts w:ascii="Times New Roman" w:hAnsi="Times New Roman" w:cs="Times New Roman"/>
          <w:szCs w:val="21"/>
        </w:rPr>
        <w:fldChar w:fldCharType="begin"/>
      </w:r>
      <w:r w:rsidRPr="003A2D04">
        <w:rPr>
          <w:rFonts w:ascii="Times New Roman" w:hAnsi="Times New Roman" w:cs="Times New Roman"/>
          <w:szCs w:val="21"/>
        </w:rPr>
        <w:instrText xml:space="preserve"> ADDIN EN.REFLIST </w:instrText>
      </w:r>
      <w:r w:rsidRPr="003A2D04">
        <w:rPr>
          <w:rFonts w:ascii="Times New Roman" w:hAnsi="Times New Roman" w:cs="Times New Roman"/>
          <w:szCs w:val="21"/>
        </w:rPr>
        <w:fldChar w:fldCharType="separate"/>
      </w:r>
      <w:r w:rsidR="003A2D04" w:rsidRPr="003A2D04">
        <w:rPr>
          <w:rFonts w:ascii="Times New Roman" w:hAnsi="Times New Roman" w:cs="Times New Roman"/>
          <w:noProof/>
        </w:rPr>
        <w:t xml:space="preserve">1. Xia, Y.; Xiong, Y.; Lim, B.; Skrabalak, S. E., Shape-Controlled Synthesis of Metal Nanocrystals: Simple Chemistry Meets Complex Physics? </w:t>
      </w:r>
      <w:r w:rsidR="003A2D04" w:rsidRPr="003A2D04">
        <w:rPr>
          <w:rFonts w:ascii="Times New Roman" w:hAnsi="Times New Roman" w:cs="Times New Roman"/>
          <w:i/>
          <w:noProof/>
        </w:rPr>
        <w:t xml:space="preserve">Angew Chem Int Ed Engl </w:t>
      </w:r>
      <w:r w:rsidR="003A2D04" w:rsidRPr="003A2D04">
        <w:rPr>
          <w:rFonts w:ascii="Times New Roman" w:hAnsi="Times New Roman" w:cs="Times New Roman"/>
          <w:b/>
          <w:noProof/>
        </w:rPr>
        <w:t>2009</w:t>
      </w:r>
      <w:r w:rsidR="003A2D04" w:rsidRPr="003A2D04">
        <w:rPr>
          <w:rFonts w:ascii="Times New Roman" w:hAnsi="Times New Roman" w:cs="Times New Roman"/>
          <w:noProof/>
        </w:rPr>
        <w:t xml:space="preserve">, </w:t>
      </w:r>
      <w:r w:rsidR="003A2D04" w:rsidRPr="003A2D04">
        <w:rPr>
          <w:rFonts w:ascii="Times New Roman" w:hAnsi="Times New Roman" w:cs="Times New Roman"/>
          <w:i/>
          <w:noProof/>
        </w:rPr>
        <w:t>48</w:t>
      </w:r>
      <w:r w:rsidR="003A2D04" w:rsidRPr="003A2D04">
        <w:rPr>
          <w:rFonts w:ascii="Times New Roman" w:hAnsi="Times New Roman" w:cs="Times New Roman"/>
          <w:noProof/>
        </w:rPr>
        <w:t>, 60-103.</w:t>
      </w:r>
    </w:p>
    <w:p w14:paraId="27577766" w14:textId="77777777" w:rsidR="003A2D04" w:rsidRPr="003A2D04" w:rsidRDefault="003A2D04" w:rsidP="003A2D04">
      <w:pPr>
        <w:pStyle w:val="EndNoteBibliography"/>
        <w:spacing w:after="0"/>
        <w:ind w:left="140" w:hanging="140"/>
        <w:jc w:val="both"/>
        <w:rPr>
          <w:rFonts w:ascii="Times New Roman" w:hAnsi="Times New Roman" w:cs="Times New Roman"/>
          <w:noProof/>
        </w:rPr>
      </w:pPr>
      <w:r w:rsidRPr="003A2D04">
        <w:rPr>
          <w:rFonts w:ascii="Times New Roman" w:hAnsi="Times New Roman" w:cs="Times New Roman"/>
          <w:noProof/>
        </w:rPr>
        <w:t xml:space="preserve">2. Lee, H. E.; Ahn, H. Y.; Mun, J.; Lee, Y. Y.; Kim, M.; Cho, N. H.; Chang, K.; Kim, W. S.; Rho, J.; Nam, K. T., Amino-Acid- and Peptide-Directed Synthesis of Chiral Plasmonic Gold Nanoparticles. </w:t>
      </w:r>
      <w:r w:rsidRPr="003A2D04">
        <w:rPr>
          <w:rFonts w:ascii="Times New Roman" w:hAnsi="Times New Roman" w:cs="Times New Roman"/>
          <w:i/>
          <w:noProof/>
        </w:rPr>
        <w:t xml:space="preserve">Nature </w:t>
      </w:r>
      <w:r w:rsidRPr="003A2D04">
        <w:rPr>
          <w:rFonts w:ascii="Times New Roman" w:hAnsi="Times New Roman" w:cs="Times New Roman"/>
          <w:b/>
          <w:noProof/>
        </w:rPr>
        <w:t>2018</w:t>
      </w:r>
      <w:r w:rsidRPr="003A2D04">
        <w:rPr>
          <w:rFonts w:ascii="Times New Roman" w:hAnsi="Times New Roman" w:cs="Times New Roman"/>
          <w:noProof/>
        </w:rPr>
        <w:t xml:space="preserve">, </w:t>
      </w:r>
      <w:r w:rsidRPr="003A2D04">
        <w:rPr>
          <w:rFonts w:ascii="Times New Roman" w:hAnsi="Times New Roman" w:cs="Times New Roman"/>
          <w:i/>
          <w:noProof/>
        </w:rPr>
        <w:t>556</w:t>
      </w:r>
      <w:r w:rsidRPr="003A2D04">
        <w:rPr>
          <w:rFonts w:ascii="Times New Roman" w:hAnsi="Times New Roman" w:cs="Times New Roman"/>
          <w:noProof/>
        </w:rPr>
        <w:t>, 360-+.</w:t>
      </w:r>
    </w:p>
    <w:p w14:paraId="4100C1CA" w14:textId="77777777" w:rsidR="003A2D04" w:rsidRPr="003A2D04" w:rsidRDefault="003A2D04" w:rsidP="003A2D04">
      <w:pPr>
        <w:pStyle w:val="EndNoteBibliography"/>
        <w:ind w:left="140" w:hanging="140"/>
        <w:jc w:val="both"/>
        <w:rPr>
          <w:rFonts w:ascii="Times New Roman" w:hAnsi="Times New Roman" w:cs="Times New Roman"/>
          <w:noProof/>
        </w:rPr>
      </w:pPr>
      <w:r w:rsidRPr="003A2D04">
        <w:rPr>
          <w:rFonts w:ascii="Times New Roman" w:hAnsi="Times New Roman" w:cs="Times New Roman"/>
          <w:noProof/>
        </w:rPr>
        <w:t xml:space="preserve">3. Hu, L.; Huang, Y. Z.; Pan, L. J.; Fang, Y. R., Analyzing Intrinsic Plasmonic Chirality by Tracking the Interplay of Electric and Magnetic Dipole Modes. </w:t>
      </w:r>
      <w:r w:rsidRPr="003A2D04">
        <w:rPr>
          <w:rFonts w:ascii="Times New Roman" w:hAnsi="Times New Roman" w:cs="Times New Roman"/>
          <w:i/>
          <w:noProof/>
        </w:rPr>
        <w:t xml:space="preserve">Sci Rep-Uk </w:t>
      </w:r>
      <w:r w:rsidRPr="003A2D04">
        <w:rPr>
          <w:rFonts w:ascii="Times New Roman" w:hAnsi="Times New Roman" w:cs="Times New Roman"/>
          <w:b/>
          <w:noProof/>
        </w:rPr>
        <w:t>2017</w:t>
      </w:r>
      <w:r w:rsidRPr="003A2D04">
        <w:rPr>
          <w:rFonts w:ascii="Times New Roman" w:hAnsi="Times New Roman" w:cs="Times New Roman"/>
          <w:noProof/>
        </w:rPr>
        <w:t xml:space="preserve">, </w:t>
      </w:r>
      <w:r w:rsidRPr="003A2D04">
        <w:rPr>
          <w:rFonts w:ascii="Times New Roman" w:hAnsi="Times New Roman" w:cs="Times New Roman"/>
          <w:i/>
          <w:noProof/>
        </w:rPr>
        <w:t>7</w:t>
      </w:r>
      <w:r w:rsidRPr="003A2D04">
        <w:rPr>
          <w:rFonts w:ascii="Times New Roman" w:hAnsi="Times New Roman" w:cs="Times New Roman"/>
          <w:noProof/>
        </w:rPr>
        <w:t>, 11151.</w:t>
      </w:r>
    </w:p>
    <w:p w14:paraId="2E870915" w14:textId="5E320BEF" w:rsidR="0049223A" w:rsidRPr="00B32F64" w:rsidRDefault="00712503" w:rsidP="003A2D04">
      <w:pPr>
        <w:spacing w:line="240" w:lineRule="auto"/>
        <w:ind w:firstLine="420"/>
        <w:jc w:val="both"/>
        <w:rPr>
          <w:rFonts w:ascii="Times New Roman" w:hAnsi="Times New Roman" w:cs="Times New Roman"/>
          <w:szCs w:val="21"/>
        </w:rPr>
      </w:pPr>
      <w:r w:rsidRPr="003A2D04">
        <w:rPr>
          <w:rFonts w:ascii="Times New Roman" w:hAnsi="Times New Roman" w:cs="Times New Roman"/>
          <w:szCs w:val="21"/>
        </w:rPr>
        <w:fldChar w:fldCharType="end"/>
      </w:r>
    </w:p>
    <w:sectPr w:rsidR="0049223A" w:rsidRPr="00B32F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B71BC" w14:textId="77777777" w:rsidR="00712503" w:rsidRDefault="00712503">
      <w:pPr>
        <w:spacing w:line="240" w:lineRule="auto"/>
      </w:pPr>
      <w:r>
        <w:separator/>
      </w:r>
    </w:p>
  </w:endnote>
  <w:endnote w:type="continuationSeparator" w:id="0">
    <w:p w14:paraId="72B106CA" w14:textId="77777777" w:rsidR="00712503" w:rsidRDefault="00712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54632" w14:textId="77777777" w:rsidR="00712503" w:rsidRDefault="00712503">
      <w:pPr>
        <w:spacing w:after="0"/>
      </w:pPr>
      <w:r>
        <w:separator/>
      </w:r>
    </w:p>
  </w:footnote>
  <w:footnote w:type="continuationSeparator" w:id="0">
    <w:p w14:paraId="651658FD" w14:textId="77777777" w:rsidR="00712503" w:rsidRDefault="0071250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A3NDMyNDe3NDO1NDZX0lEKTi0uzszPAykwqgUAEtqPaywAAAA="/>
    <w:docVar w:name="EN.InstantFormat" w:val="&lt;ENInstantFormat&gt;&lt;Enabled&gt;1&lt;/Enabled&gt;&lt;ScanUnformatted&gt;1&lt;/ScanUnformatted&gt;&lt;ScanChanges&gt;1&lt;/ScanChanges&gt;&lt;Suspended&gt;0&lt;/Suspended&gt;&lt;/ENInstantFormat&gt;"/>
    <w:docVar w:name="EN.Layout" w:val="&lt;ENLayout&gt;&lt;Style&gt;J Physical Chem C 复制&lt;/Style&gt;&lt;LeftDelim&gt;{&lt;/LeftDelim&gt;&lt;RightDelim&gt;}&lt;/RightDelim&gt;&lt;FontName&gt;&lt;/FontName&gt;&lt;FontSize&gt;11&lt;/FontSize&gt;&lt;ReflistTitle&gt;&lt;/ReflistTitle&gt;&lt;StartingRefnum&gt;1&lt;/StartingRefnum&gt;&lt;FirstLineIndent&gt;0&lt;/FirstLineIndent&gt;&lt;HangingIndent&gt;15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f2vdpe8se20qerex45vta9r2azvpt0ez5e&quot;&gt;PSPP modes&lt;record-ids&gt;&lt;item&gt;1898&lt;/item&gt;&lt;/record-ids&gt;&lt;/item&gt;&lt;/Libraries&gt;"/>
  </w:docVars>
  <w:rsids>
    <w:rsidRoot w:val="007A1654"/>
    <w:rsid w:val="0002476F"/>
    <w:rsid w:val="00043B09"/>
    <w:rsid w:val="00060041"/>
    <w:rsid w:val="001C23FD"/>
    <w:rsid w:val="001E5F9C"/>
    <w:rsid w:val="002B6813"/>
    <w:rsid w:val="002D45E1"/>
    <w:rsid w:val="003A2D04"/>
    <w:rsid w:val="003B758A"/>
    <w:rsid w:val="003C3248"/>
    <w:rsid w:val="0049223A"/>
    <w:rsid w:val="004B123A"/>
    <w:rsid w:val="00554B9A"/>
    <w:rsid w:val="00577B27"/>
    <w:rsid w:val="005B71C8"/>
    <w:rsid w:val="00604DFE"/>
    <w:rsid w:val="006B4129"/>
    <w:rsid w:val="007030CA"/>
    <w:rsid w:val="00712503"/>
    <w:rsid w:val="00795413"/>
    <w:rsid w:val="007A1654"/>
    <w:rsid w:val="00874C5F"/>
    <w:rsid w:val="00967176"/>
    <w:rsid w:val="009E67BF"/>
    <w:rsid w:val="009F5B3C"/>
    <w:rsid w:val="00A5311C"/>
    <w:rsid w:val="00B32F64"/>
    <w:rsid w:val="00BA3AF9"/>
    <w:rsid w:val="00E53093"/>
    <w:rsid w:val="00E7630F"/>
    <w:rsid w:val="00ED5B12"/>
    <w:rsid w:val="00EE6855"/>
    <w:rsid w:val="00F1279E"/>
    <w:rsid w:val="00F176A5"/>
    <w:rsid w:val="00F84686"/>
    <w:rsid w:val="00FF2252"/>
    <w:rsid w:val="3FA4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6A0E"/>
  <w15:docId w15:val="{8F0F6AD6-A3A5-4C81-BE11-C8853819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30F"/>
    <w:pPr>
      <w:widowControl w:val="0"/>
      <w:spacing w:after="160" w:line="278" w:lineRule="auto"/>
    </w:pPr>
    <w:rPr>
      <w:rFonts w:ascii="Arial" w:eastAsia="Arial" w:hAnsi="Arial"/>
      <w:kern w:val="2"/>
      <w:sz w:val="21"/>
      <w:szCs w:val="24"/>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napToGrid w:val="0"/>
      <w:spacing w:after="0" w:line="300" w:lineRule="auto"/>
      <w:jc w:val="center"/>
    </w:pPr>
    <w:rPr>
      <w:rFonts w:ascii="Times New Roman" w:eastAsia="宋体" w:hAnsi="Times New Roman" w:cs="Times New Roman"/>
      <w:kern w:val="0"/>
      <w:szCs w:val="20"/>
      <w:lang w:bidi="en-US"/>
      <w14:ligatures w14:val="none"/>
    </w:rPr>
  </w:style>
  <w:style w:type="paragraph" w:styleId="a4">
    <w:name w:val="footer"/>
    <w:basedOn w:val="a"/>
    <w:link w:val="Char"/>
    <w:uiPriority w:val="99"/>
    <w:unhideWhenUsed/>
    <w:pPr>
      <w:tabs>
        <w:tab w:val="center" w:pos="4153"/>
        <w:tab w:val="right" w:pos="8306"/>
      </w:tabs>
      <w:snapToGrid w:val="0"/>
      <w:spacing w:line="240" w:lineRule="auto"/>
    </w:pPr>
    <w:rPr>
      <w:sz w:val="18"/>
      <w:szCs w:val="18"/>
    </w:rPr>
  </w:style>
  <w:style w:type="paragraph" w:styleId="a5">
    <w:name w:val="header"/>
    <w:basedOn w:val="a"/>
    <w:link w:val="Char0"/>
    <w:uiPriority w:val="99"/>
    <w:unhideWhenUsed/>
    <w:pPr>
      <w:tabs>
        <w:tab w:val="center" w:pos="4153"/>
        <w:tab w:val="right" w:pos="8306"/>
      </w:tabs>
      <w:snapToGrid w:val="0"/>
      <w:spacing w:line="240" w:lineRule="auto"/>
      <w:jc w:val="center"/>
    </w:pPr>
    <w:rPr>
      <w:sz w:val="18"/>
      <w:szCs w:val="18"/>
    </w:rPr>
  </w:style>
  <w:style w:type="paragraph" w:styleId="a6">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7">
    <w:name w:val="Normal (Web)"/>
    <w:basedOn w:val="a"/>
    <w:uiPriority w:val="99"/>
    <w:semiHidden/>
    <w:unhideWhenUsed/>
    <w:pPr>
      <w:widowControl/>
      <w:spacing w:before="100" w:beforeAutospacing="1" w:after="100" w:afterAutospacing="1" w:line="240" w:lineRule="auto"/>
    </w:pPr>
    <w:rPr>
      <w:rFonts w:ascii="宋体" w:eastAsia="宋体" w:hAnsi="宋体" w:cs="宋体"/>
      <w:kern w:val="0"/>
      <w:sz w:val="24"/>
      <w14:ligatures w14:val="none"/>
    </w:rPr>
  </w:style>
  <w:style w:type="paragraph" w:styleId="a8">
    <w:name w:val="Title"/>
    <w:basedOn w:val="a"/>
    <w:next w:val="a"/>
    <w:link w:val="Char2"/>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2Char">
    <w:name w:val="标题 2 Char"/>
    <w:basedOn w:val="a0"/>
    <w:link w:val="2"/>
    <w:uiPriority w:val="9"/>
    <w:rPr>
      <w:rFonts w:asciiTheme="majorHAnsi" w:eastAsiaTheme="majorEastAsia" w:hAnsiTheme="majorHAnsi" w:cstheme="majorBidi"/>
      <w:color w:val="0F4761" w:themeColor="accent1" w:themeShade="BF"/>
      <w:sz w:val="40"/>
      <w:szCs w:val="40"/>
    </w:r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rPr>
      <w:rFonts w:cstheme="majorBidi"/>
      <w:b/>
      <w:bCs/>
      <w:color w:val="0F4761" w:themeColor="accent1" w:themeShade="BF"/>
    </w:rPr>
  </w:style>
  <w:style w:type="character" w:customStyle="1" w:styleId="7Char">
    <w:name w:val="标题 7 Char"/>
    <w:basedOn w:val="a0"/>
    <w:link w:val="7"/>
    <w:uiPriority w:val="9"/>
    <w:semiHidden/>
    <w:rPr>
      <w:rFonts w:cstheme="majorBidi"/>
      <w:b/>
      <w:bCs/>
      <w:color w:val="595959" w:themeColor="text1" w:themeTint="A6"/>
    </w:rPr>
  </w:style>
  <w:style w:type="character" w:customStyle="1" w:styleId="8Char">
    <w:name w:val="标题 8 Char"/>
    <w:basedOn w:val="a0"/>
    <w:link w:val="8"/>
    <w:uiPriority w:val="9"/>
    <w:semiHidden/>
    <w:rPr>
      <w:rFonts w:cstheme="majorBidi"/>
      <w:color w:val="595959" w:themeColor="text1" w:themeTint="A6"/>
    </w:rPr>
  </w:style>
  <w:style w:type="character" w:customStyle="1" w:styleId="9Char">
    <w:name w:val="标题 9 Char"/>
    <w:basedOn w:val="a0"/>
    <w:link w:val="9"/>
    <w:uiPriority w:val="9"/>
    <w:semiHidden/>
    <w:rPr>
      <w:rFonts w:eastAsiaTheme="majorEastAsia" w:cstheme="majorBidi"/>
      <w:color w:val="595959" w:themeColor="text1" w:themeTint="A6"/>
    </w:rPr>
  </w:style>
  <w:style w:type="character" w:customStyle="1" w:styleId="Char2">
    <w:name w:val="标题 Char"/>
    <w:basedOn w:val="a0"/>
    <w:link w:val="a8"/>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6"/>
    <w:uiPriority w:val="11"/>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9"/>
    <w:uiPriority w:val="29"/>
    <w:rPr>
      <w:i/>
      <w:iCs/>
      <w:color w:val="404040" w:themeColor="text1" w:themeTint="BF"/>
    </w:rPr>
  </w:style>
  <w:style w:type="paragraph" w:styleId="aa">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b">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b"/>
    <w:uiPriority w:val="30"/>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paragraph" w:customStyle="1" w:styleId="EndNoteBibliographyTitle">
    <w:name w:val="EndNote Bibliography Title"/>
    <w:basedOn w:val="a"/>
    <w:link w:val="EndNoteBibliographyTitle0"/>
    <w:pPr>
      <w:spacing w:after="0"/>
      <w:jc w:val="center"/>
    </w:pPr>
    <w:rPr>
      <w:rFonts w:ascii="等线" w:eastAsia="等线" w:hAnsi="等线"/>
      <w:sz w:val="22"/>
    </w:rPr>
  </w:style>
  <w:style w:type="character" w:customStyle="1" w:styleId="EndNoteBibliographyTitle0">
    <w:name w:val="EndNote Bibliography Title 字符"/>
    <w:basedOn w:val="a0"/>
    <w:link w:val="EndNoteBibliographyTitle"/>
    <w:rPr>
      <w:rFonts w:ascii="等线" w:eastAsia="等线" w:hAnsi="等线"/>
      <w:kern w:val="2"/>
      <w:sz w:val="22"/>
      <w:szCs w:val="24"/>
      <w14:ligatures w14:val="standardContextual"/>
    </w:rPr>
  </w:style>
  <w:style w:type="paragraph" w:customStyle="1" w:styleId="EndNoteBibliography">
    <w:name w:val="EndNote Bibliography"/>
    <w:basedOn w:val="a"/>
    <w:link w:val="EndNoteBibliography0"/>
    <w:pPr>
      <w:spacing w:line="240" w:lineRule="auto"/>
    </w:pPr>
    <w:rPr>
      <w:rFonts w:ascii="等线" w:eastAsia="等线" w:hAnsi="等线"/>
      <w:sz w:val="22"/>
    </w:rPr>
  </w:style>
  <w:style w:type="character" w:customStyle="1" w:styleId="EndNoteBibliography0">
    <w:name w:val="EndNote Bibliography 字符"/>
    <w:basedOn w:val="a0"/>
    <w:link w:val="EndNoteBibliography"/>
    <w:qFormat/>
    <w:rPr>
      <w:rFonts w:ascii="等线" w:eastAsia="等线" w:hAnsi="等线"/>
      <w:kern w:val="2"/>
      <w:sz w:val="22"/>
      <w:szCs w:val="24"/>
      <w14:ligatures w14:val="standardContextual"/>
    </w:rPr>
  </w:style>
  <w:style w:type="character" w:customStyle="1" w:styleId="katex-mathml">
    <w:name w:val="katex-mathml"/>
    <w:basedOn w:val="a0"/>
    <w:rsid w:val="00E7630F"/>
  </w:style>
  <w:style w:type="character" w:customStyle="1" w:styleId="mord">
    <w:name w:val="mord"/>
    <w:basedOn w:val="a0"/>
    <w:rsid w:val="00E7630F"/>
  </w:style>
  <w:style w:type="character" w:customStyle="1" w:styleId="mrel">
    <w:name w:val="mrel"/>
    <w:basedOn w:val="a0"/>
    <w:rsid w:val="00E7630F"/>
  </w:style>
  <w:style w:type="character" w:styleId="ac">
    <w:name w:val="Placeholder Text"/>
    <w:basedOn w:val="a0"/>
    <w:uiPriority w:val="99"/>
    <w:unhideWhenUsed/>
    <w:rsid w:val="00E7630F"/>
    <w:rPr>
      <w:color w:val="666666"/>
    </w:rPr>
  </w:style>
  <w:style w:type="character" w:customStyle="1" w:styleId="vlist-s">
    <w:name w:val="vlist-s"/>
    <w:basedOn w:val="a0"/>
    <w:rsid w:val="00E7630F"/>
  </w:style>
  <w:style w:type="character" w:styleId="ad">
    <w:name w:val="Hyperlink"/>
    <w:basedOn w:val="a0"/>
    <w:uiPriority w:val="99"/>
    <w:unhideWhenUsed/>
    <w:rsid w:val="00B32F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0215">
      <w:bodyDiv w:val="1"/>
      <w:marLeft w:val="0"/>
      <w:marRight w:val="0"/>
      <w:marTop w:val="0"/>
      <w:marBottom w:val="0"/>
      <w:divBdr>
        <w:top w:val="none" w:sz="0" w:space="0" w:color="auto"/>
        <w:left w:val="none" w:sz="0" w:space="0" w:color="auto"/>
        <w:bottom w:val="none" w:sz="0" w:space="0" w:color="auto"/>
        <w:right w:val="none" w:sz="0" w:space="0" w:color="auto"/>
      </w:divBdr>
    </w:div>
    <w:div w:id="121270257">
      <w:bodyDiv w:val="1"/>
      <w:marLeft w:val="0"/>
      <w:marRight w:val="0"/>
      <w:marTop w:val="0"/>
      <w:marBottom w:val="0"/>
      <w:divBdr>
        <w:top w:val="none" w:sz="0" w:space="0" w:color="auto"/>
        <w:left w:val="none" w:sz="0" w:space="0" w:color="auto"/>
        <w:bottom w:val="none" w:sz="0" w:space="0" w:color="auto"/>
        <w:right w:val="none" w:sz="0" w:space="0" w:color="auto"/>
      </w:divBdr>
    </w:div>
    <w:div w:id="651568966">
      <w:bodyDiv w:val="1"/>
      <w:marLeft w:val="0"/>
      <w:marRight w:val="0"/>
      <w:marTop w:val="0"/>
      <w:marBottom w:val="0"/>
      <w:divBdr>
        <w:top w:val="none" w:sz="0" w:space="0" w:color="auto"/>
        <w:left w:val="none" w:sz="0" w:space="0" w:color="auto"/>
        <w:bottom w:val="none" w:sz="0" w:space="0" w:color="auto"/>
        <w:right w:val="none" w:sz="0" w:space="0" w:color="auto"/>
      </w:divBdr>
    </w:div>
    <w:div w:id="179471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yperlink" Target="mailto:yrfang@dlut.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34E1-F802-4BDB-9088-BA33A9BF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5</Pages>
  <Words>2427</Words>
  <Characters>13839</Characters>
  <Application>Microsoft Office Word</Application>
  <DocSecurity>0</DocSecurity>
  <Lines>115</Lines>
  <Paragraphs>32</Paragraphs>
  <ScaleCrop>false</ScaleCrop>
  <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硕 张</dc:creator>
  <cp:lastModifiedBy>Yurui Fang</cp:lastModifiedBy>
  <cp:revision>18</cp:revision>
  <cp:lastPrinted>2026-04-16T00:27:00Z</cp:lastPrinted>
  <dcterms:created xsi:type="dcterms:W3CDTF">2026-04-15T08:43:00Z</dcterms:created>
  <dcterms:modified xsi:type="dcterms:W3CDTF">2026-04-17T08:22:00Z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eyJoZGlkIjoiYzVkMjk0N2IxZjY2ZTY2OGIwMGIxZjM3NTgwNmRkMGUiLCJ1c2VySWQiOiIxMDQzNjk3NzUwIn0=</vt:lpwstr>
  </property>
  <property fmtid="{D5CDD505-2E9C-101B-9397-08002B2CF9AE}" pid="3" name="KSOProductBuildVer">
    <vt:lpwstr>2052-12.1.0.25225</vt:lpwstr>
  </property>
  <property fmtid="{D5CDD505-2E9C-101B-9397-08002B2CF9AE}" pid="4" name="ICV">
    <vt:lpwstr>CA96F70668934D3EB0818F88F48179E8_12</vt:lpwstr>
  </property>
</Properties>
</file>