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E967E" w14:textId="0756E6B9" w:rsidR="0040281B" w:rsidRDefault="00867BEC">
      <w:pPr>
        <w:spacing w:line="480" w:lineRule="auto"/>
        <w:jc w:val="both"/>
        <w:rPr>
          <w:rFonts w:ascii="Arial" w:eastAsia="Arial" w:hAnsi="Arial" w:cs="Arial"/>
          <w:b/>
        </w:rPr>
      </w:pPr>
      <w:r>
        <w:rPr>
          <w:rFonts w:ascii="Arial" w:eastAsia="Arial" w:hAnsi="Arial" w:cs="Arial"/>
          <w:b/>
        </w:rPr>
        <w:t>Supplementary Information</w:t>
      </w:r>
    </w:p>
    <w:p w14:paraId="29D034E5" w14:textId="77777777" w:rsidR="0040281B" w:rsidRDefault="00867BEC">
      <w:pPr>
        <w:spacing w:line="480" w:lineRule="auto"/>
        <w:jc w:val="both"/>
        <w:rPr>
          <w:rFonts w:ascii="Arial" w:eastAsia="Arial" w:hAnsi="Arial" w:cs="Arial"/>
          <w:b/>
        </w:rPr>
      </w:pPr>
      <w:r>
        <w:rPr>
          <w:rFonts w:ascii="Arial" w:eastAsia="Arial" w:hAnsi="Arial" w:cs="Arial"/>
          <w:b/>
        </w:rPr>
        <w:t>Supplementary Materials and Methods</w:t>
      </w:r>
    </w:p>
    <w:p w14:paraId="3389F5DB"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Synthesis of compound C10M</w:t>
      </w:r>
    </w:p>
    <w:p w14:paraId="4EA9A308" w14:textId="77777777" w:rsidR="0040281B" w:rsidRDefault="0040281B">
      <w:pPr>
        <w:spacing w:line="480" w:lineRule="auto"/>
        <w:jc w:val="both"/>
        <w:rPr>
          <w:rFonts w:ascii="Arial" w:eastAsia="Arial" w:hAnsi="Arial" w:cs="Arial"/>
          <w:b/>
          <w:sz w:val="20"/>
          <w:szCs w:val="20"/>
        </w:rPr>
      </w:pPr>
    </w:p>
    <w:p w14:paraId="5CE046E4" w14:textId="77777777" w:rsidR="0040281B" w:rsidRDefault="00867BEC">
      <w:pPr>
        <w:spacing w:line="480" w:lineRule="auto"/>
        <w:jc w:val="both"/>
        <w:rPr>
          <w:rFonts w:ascii="Arial" w:eastAsia="Arial" w:hAnsi="Arial" w:cs="Arial"/>
          <w:b/>
          <w:sz w:val="20"/>
          <w:szCs w:val="20"/>
        </w:rPr>
      </w:pPr>
      <w:r>
        <w:rPr>
          <w:noProof/>
        </w:rPr>
        <w:drawing>
          <wp:inline distT="0" distB="0" distL="0" distR="0" wp14:anchorId="7E68FC0E" wp14:editId="1C9A9807">
            <wp:extent cx="5756910" cy="131191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5756910" cy="1311910"/>
                    </a:xfrm>
                    <a:prstGeom prst="rect">
                      <a:avLst/>
                    </a:prstGeom>
                    <a:ln/>
                  </pic:spPr>
                </pic:pic>
              </a:graphicData>
            </a:graphic>
          </wp:inline>
        </w:drawing>
      </w:r>
    </w:p>
    <w:p w14:paraId="230C82A1"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Schematic: Synthetic route for C10M</w:t>
      </w:r>
    </w:p>
    <w:p w14:paraId="31FC203F" w14:textId="77777777" w:rsidR="0040281B" w:rsidRDefault="0040281B">
      <w:pPr>
        <w:spacing w:line="480" w:lineRule="auto"/>
        <w:jc w:val="both"/>
        <w:rPr>
          <w:rFonts w:ascii="Arial" w:eastAsia="Arial" w:hAnsi="Arial" w:cs="Arial"/>
          <w:b/>
          <w:sz w:val="20"/>
          <w:szCs w:val="20"/>
        </w:rPr>
      </w:pPr>
    </w:p>
    <w:p w14:paraId="306DEED9" w14:textId="77777777"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C10M-B</w:t>
      </w:r>
      <w:r>
        <w:rPr>
          <w:rFonts w:ascii="Arial" w:eastAsia="Arial" w:hAnsi="Arial" w:cs="Arial"/>
          <w:sz w:val="20"/>
          <w:szCs w:val="20"/>
        </w:rPr>
        <w:t xml:space="preserve"> diethyl-(3-(dibutylamino)</w:t>
      </w:r>
      <w:proofErr w:type="gramStart"/>
      <w:r>
        <w:rPr>
          <w:rFonts w:ascii="Arial" w:eastAsia="Arial" w:hAnsi="Arial" w:cs="Arial"/>
          <w:sz w:val="20"/>
          <w:szCs w:val="20"/>
        </w:rPr>
        <w:t>propyl)phosphonate</w:t>
      </w:r>
      <w:proofErr w:type="gramEnd"/>
    </w:p>
    <w:p w14:paraId="0470CC2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To a solution of dibutylamine (Sigma Aldrich, 0.32 g, 2.5 mmol) in dimethylformamide (8 ml) was added sodium iodide (0.03 g, 0.25 mmol), potassium carbonate (1 g, 7.5 mmol) and diethyl-(3-</w:t>
      </w:r>
      <w:proofErr w:type="gramStart"/>
      <w:r>
        <w:rPr>
          <w:rFonts w:ascii="Arial" w:eastAsia="Arial" w:hAnsi="Arial" w:cs="Arial"/>
          <w:sz w:val="20"/>
          <w:szCs w:val="20"/>
        </w:rPr>
        <w:t>bromopropyl)phosphonate</w:t>
      </w:r>
      <w:proofErr w:type="gramEnd"/>
      <w:r>
        <w:rPr>
          <w:rFonts w:ascii="Arial" w:eastAsia="Arial" w:hAnsi="Arial" w:cs="Arial"/>
          <w:sz w:val="20"/>
          <w:szCs w:val="20"/>
        </w:rPr>
        <w:t xml:space="preserve"> (Sigma Aldrich, 1.42 g, 5.5 mmol) at 0 °C. Reaction mixture was heated to 100 °C for 14 hours. The progress of the reaction was monitored by TLC. Reaction mixture was cooled to 0 °C and quenched with water (15 ml) and extracted with ethyl acetate (15 ml x 2). Combined organic layer was washed with brine (20 ml), dried over sodium sulfate and concentrated under vacuum. The residue was separated by silica gel chromatography to provide </w:t>
      </w:r>
      <w:r>
        <w:rPr>
          <w:rFonts w:ascii="Arial" w:eastAsia="Arial" w:hAnsi="Arial" w:cs="Arial"/>
          <w:b/>
          <w:sz w:val="20"/>
          <w:szCs w:val="20"/>
        </w:rPr>
        <w:t>C10M-B</w:t>
      </w:r>
      <w:r>
        <w:rPr>
          <w:rFonts w:ascii="Arial" w:eastAsia="Arial" w:hAnsi="Arial" w:cs="Arial"/>
          <w:sz w:val="20"/>
          <w:szCs w:val="20"/>
        </w:rPr>
        <w:t xml:space="preserve"> diethyl-(3-(</w:t>
      </w:r>
      <w:proofErr w:type="gramStart"/>
      <w:r>
        <w:rPr>
          <w:rFonts w:ascii="Arial" w:eastAsia="Arial" w:hAnsi="Arial" w:cs="Arial"/>
          <w:sz w:val="20"/>
          <w:szCs w:val="20"/>
        </w:rPr>
        <w:t>dibutylamino)propyl</w:t>
      </w:r>
      <w:proofErr w:type="gramEnd"/>
      <w:r>
        <w:rPr>
          <w:rFonts w:ascii="Arial" w:eastAsia="Arial" w:hAnsi="Arial" w:cs="Arial"/>
          <w:sz w:val="20"/>
          <w:szCs w:val="20"/>
        </w:rPr>
        <w:t xml:space="preserve">)phosphonate (215 mg, 0.7 mmol) in 28 % yield. </w:t>
      </w:r>
    </w:p>
    <w:p w14:paraId="7653EAE5" w14:textId="77777777" w:rsidR="0040281B" w:rsidRDefault="0040281B">
      <w:pPr>
        <w:spacing w:line="480" w:lineRule="auto"/>
        <w:jc w:val="both"/>
        <w:rPr>
          <w:rFonts w:ascii="Arial" w:eastAsia="Arial" w:hAnsi="Arial" w:cs="Arial"/>
          <w:b/>
          <w:sz w:val="20"/>
          <w:szCs w:val="20"/>
        </w:rPr>
      </w:pPr>
    </w:p>
    <w:p w14:paraId="0C675C63" w14:textId="77777777"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C10M</w:t>
      </w:r>
      <w:r>
        <w:rPr>
          <w:rFonts w:ascii="Arial" w:eastAsia="Arial" w:hAnsi="Arial" w:cs="Arial"/>
          <w:sz w:val="20"/>
          <w:szCs w:val="20"/>
        </w:rPr>
        <w:t xml:space="preserve"> (3-(dibutylamino)</w:t>
      </w:r>
      <w:proofErr w:type="gramStart"/>
      <w:r>
        <w:rPr>
          <w:rFonts w:ascii="Arial" w:eastAsia="Arial" w:hAnsi="Arial" w:cs="Arial"/>
          <w:sz w:val="20"/>
          <w:szCs w:val="20"/>
        </w:rPr>
        <w:t>propyl)phosphonic</w:t>
      </w:r>
      <w:proofErr w:type="gramEnd"/>
      <w:r>
        <w:rPr>
          <w:rFonts w:ascii="Arial" w:eastAsia="Arial" w:hAnsi="Arial" w:cs="Arial"/>
          <w:sz w:val="20"/>
          <w:szCs w:val="20"/>
        </w:rPr>
        <w:t xml:space="preserve"> acid</w:t>
      </w:r>
    </w:p>
    <w:p w14:paraId="74500BEB"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To a solution of diethyl-(3-(</w:t>
      </w:r>
      <w:proofErr w:type="gramStart"/>
      <w:r>
        <w:rPr>
          <w:rFonts w:ascii="Arial" w:eastAsia="Arial" w:hAnsi="Arial" w:cs="Arial"/>
          <w:sz w:val="20"/>
          <w:szCs w:val="20"/>
        </w:rPr>
        <w:t>dibutylamino)propyl</w:t>
      </w:r>
      <w:proofErr w:type="gramEnd"/>
      <w:r>
        <w:rPr>
          <w:rFonts w:ascii="Arial" w:eastAsia="Arial" w:hAnsi="Arial" w:cs="Arial"/>
          <w:sz w:val="20"/>
          <w:szCs w:val="20"/>
        </w:rPr>
        <w:t xml:space="preserve">)phosphonate (0.28 g, 0.91 mmol) in dichloromethane (25 ml) was added trimethylsilyl bromide (2.79 g, 18.2 mmol, 20 eq) at 0 °C. Reaction mixture was heated to 45 °C for 14 hours. Solvent was concentrated completely. Residue was dissolved in methanol (20 ml) and dichloromethane (20 ml), solvents were then removed under vacuum.  The residue was triturated under </w:t>
      </w:r>
      <w:proofErr w:type="gramStart"/>
      <w:r>
        <w:rPr>
          <w:rFonts w:ascii="Arial" w:eastAsia="Arial" w:hAnsi="Arial" w:cs="Arial"/>
          <w:sz w:val="20"/>
          <w:szCs w:val="20"/>
        </w:rPr>
        <w:t>dichloromethane:hexane</w:t>
      </w:r>
      <w:proofErr w:type="gramEnd"/>
      <w:r>
        <w:rPr>
          <w:rFonts w:ascii="Arial" w:eastAsia="Arial" w:hAnsi="Arial" w:cs="Arial"/>
          <w:sz w:val="20"/>
          <w:szCs w:val="20"/>
        </w:rPr>
        <w:t xml:space="preserve"> (1:1) (30 ml) and heated with stirring at 40 °C for 30 min. The solvents were decanted and the residue was dried under vacuum to provide </w:t>
      </w:r>
      <w:r>
        <w:rPr>
          <w:rFonts w:ascii="Arial" w:eastAsia="Arial" w:hAnsi="Arial" w:cs="Arial"/>
          <w:b/>
          <w:sz w:val="20"/>
          <w:szCs w:val="20"/>
        </w:rPr>
        <w:t>C10M</w:t>
      </w:r>
      <w:r>
        <w:rPr>
          <w:rFonts w:ascii="Arial" w:eastAsia="Arial" w:hAnsi="Arial" w:cs="Arial"/>
          <w:sz w:val="20"/>
          <w:szCs w:val="20"/>
        </w:rPr>
        <w:t xml:space="preserve"> (3-(</w:t>
      </w:r>
      <w:proofErr w:type="gramStart"/>
      <w:r>
        <w:rPr>
          <w:rFonts w:ascii="Arial" w:eastAsia="Arial" w:hAnsi="Arial" w:cs="Arial"/>
          <w:sz w:val="20"/>
          <w:szCs w:val="20"/>
        </w:rPr>
        <w:t>dibutylamino)propyl</w:t>
      </w:r>
      <w:proofErr w:type="gramEnd"/>
      <w:r>
        <w:rPr>
          <w:rFonts w:ascii="Arial" w:eastAsia="Arial" w:hAnsi="Arial" w:cs="Arial"/>
          <w:sz w:val="20"/>
          <w:szCs w:val="20"/>
        </w:rPr>
        <w:t>)phosphonic acid (100 mg, 0.4 mmol) in 44 % yield.</w:t>
      </w:r>
    </w:p>
    <w:p w14:paraId="3DE61AED"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vertAlign w:val="superscript"/>
        </w:rPr>
        <w:lastRenderedPageBreak/>
        <w:t>1</w:t>
      </w:r>
      <w:r>
        <w:rPr>
          <w:rFonts w:ascii="Arial" w:eastAsia="Arial" w:hAnsi="Arial" w:cs="Arial"/>
          <w:sz w:val="20"/>
          <w:szCs w:val="20"/>
        </w:rPr>
        <w:t>H nmr (D</w:t>
      </w:r>
      <w:r>
        <w:rPr>
          <w:rFonts w:ascii="Arial" w:eastAsia="Arial" w:hAnsi="Arial" w:cs="Arial"/>
          <w:sz w:val="20"/>
          <w:szCs w:val="20"/>
          <w:vertAlign w:val="subscript"/>
        </w:rPr>
        <w:t>2</w:t>
      </w:r>
      <w:r>
        <w:rPr>
          <w:rFonts w:ascii="Arial" w:eastAsia="Arial" w:hAnsi="Arial" w:cs="Arial"/>
          <w:sz w:val="20"/>
          <w:szCs w:val="20"/>
        </w:rPr>
        <w:t>O) δ = 3.08ppm (m 6H, CH</w:t>
      </w:r>
      <w:r>
        <w:rPr>
          <w:rFonts w:ascii="Arial" w:eastAsia="Arial" w:hAnsi="Arial" w:cs="Arial"/>
          <w:sz w:val="20"/>
          <w:szCs w:val="20"/>
          <w:vertAlign w:val="subscript"/>
        </w:rPr>
        <w:t>2</w:t>
      </w:r>
      <w:r>
        <w:rPr>
          <w:rFonts w:ascii="Arial" w:eastAsia="Arial" w:hAnsi="Arial" w:cs="Arial"/>
          <w:sz w:val="20"/>
          <w:szCs w:val="20"/>
        </w:rPr>
        <w:t>N), 1.85 (m 2H, CH</w:t>
      </w:r>
      <w:r>
        <w:rPr>
          <w:rFonts w:ascii="Arial" w:eastAsia="Arial" w:hAnsi="Arial" w:cs="Arial"/>
          <w:sz w:val="20"/>
          <w:szCs w:val="20"/>
          <w:vertAlign w:val="subscript"/>
        </w:rPr>
        <w:t>2</w:t>
      </w:r>
      <w:r>
        <w:rPr>
          <w:rFonts w:ascii="Arial" w:eastAsia="Arial" w:hAnsi="Arial" w:cs="Arial"/>
          <w:sz w:val="20"/>
          <w:szCs w:val="20"/>
        </w:rPr>
        <w:t>P), 1.60 (m 6H, CH</w:t>
      </w:r>
      <w:r>
        <w:rPr>
          <w:rFonts w:ascii="Arial" w:eastAsia="Arial" w:hAnsi="Arial" w:cs="Arial"/>
          <w:sz w:val="20"/>
          <w:szCs w:val="20"/>
          <w:vertAlign w:val="subscript"/>
        </w:rPr>
        <w:t>2</w:t>
      </w:r>
      <w:r>
        <w:rPr>
          <w:rFonts w:ascii="Arial" w:eastAsia="Arial" w:hAnsi="Arial" w:cs="Arial"/>
          <w:sz w:val="20"/>
          <w:szCs w:val="20"/>
        </w:rPr>
        <w:t>), 1.31 (m 4H 7.2Hz CH</w:t>
      </w:r>
      <w:r>
        <w:rPr>
          <w:rFonts w:ascii="Arial" w:eastAsia="Arial" w:hAnsi="Arial" w:cs="Arial"/>
          <w:sz w:val="20"/>
          <w:szCs w:val="20"/>
          <w:vertAlign w:val="subscript"/>
        </w:rPr>
        <w:t>2</w:t>
      </w:r>
      <w:r>
        <w:rPr>
          <w:rFonts w:ascii="Arial" w:eastAsia="Arial" w:hAnsi="Arial" w:cs="Arial"/>
          <w:sz w:val="20"/>
          <w:szCs w:val="20"/>
        </w:rPr>
        <w:t>) and 0.82 (t 7.2Hz 6H, CH</w:t>
      </w:r>
      <w:r>
        <w:rPr>
          <w:rFonts w:ascii="Arial" w:eastAsia="Arial" w:hAnsi="Arial" w:cs="Arial"/>
          <w:sz w:val="20"/>
          <w:szCs w:val="20"/>
          <w:vertAlign w:val="subscript"/>
        </w:rPr>
        <w:t>3</w:t>
      </w:r>
      <w:r>
        <w:rPr>
          <w:rFonts w:ascii="Arial" w:eastAsia="Arial" w:hAnsi="Arial" w:cs="Arial"/>
          <w:sz w:val="20"/>
          <w:szCs w:val="20"/>
        </w:rPr>
        <w:t>).</w:t>
      </w:r>
    </w:p>
    <w:p w14:paraId="3FA3C6F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vertAlign w:val="superscript"/>
        </w:rPr>
        <w:t>13</w:t>
      </w:r>
      <w:r>
        <w:rPr>
          <w:rFonts w:ascii="Arial" w:eastAsia="Arial" w:hAnsi="Arial" w:cs="Arial"/>
          <w:sz w:val="20"/>
          <w:szCs w:val="20"/>
        </w:rPr>
        <w:t>C nmr (D</w:t>
      </w:r>
      <w:r>
        <w:rPr>
          <w:rFonts w:ascii="Arial" w:eastAsia="Arial" w:hAnsi="Arial" w:cs="Arial"/>
          <w:sz w:val="20"/>
          <w:szCs w:val="20"/>
          <w:vertAlign w:val="subscript"/>
        </w:rPr>
        <w:t>6</w:t>
      </w:r>
      <w:r>
        <w:rPr>
          <w:rFonts w:ascii="Arial" w:eastAsia="Arial" w:hAnsi="Arial" w:cs="Arial"/>
          <w:sz w:val="20"/>
          <w:szCs w:val="20"/>
        </w:rPr>
        <w:t xml:space="preserve"> DMSO) δ = 52.6ppm (CH</w:t>
      </w:r>
      <w:r>
        <w:rPr>
          <w:rFonts w:ascii="Arial" w:eastAsia="Arial" w:hAnsi="Arial" w:cs="Arial"/>
          <w:sz w:val="20"/>
          <w:szCs w:val="20"/>
          <w:vertAlign w:val="subscript"/>
        </w:rPr>
        <w:t>2</w:t>
      </w:r>
      <w:r>
        <w:rPr>
          <w:rFonts w:ascii="Arial" w:eastAsia="Arial" w:hAnsi="Arial" w:cs="Arial"/>
          <w:sz w:val="20"/>
          <w:szCs w:val="20"/>
        </w:rPr>
        <w:t>N), 25.4 (CH</w:t>
      </w:r>
      <w:r>
        <w:rPr>
          <w:rFonts w:ascii="Arial" w:eastAsia="Arial" w:hAnsi="Arial" w:cs="Arial"/>
          <w:sz w:val="20"/>
          <w:szCs w:val="20"/>
          <w:vertAlign w:val="subscript"/>
        </w:rPr>
        <w:t>2</w:t>
      </w:r>
      <w:r>
        <w:rPr>
          <w:rFonts w:ascii="Arial" w:eastAsia="Arial" w:hAnsi="Arial" w:cs="Arial"/>
          <w:sz w:val="20"/>
          <w:szCs w:val="20"/>
        </w:rPr>
        <w:t>), 19.8 (CH</w:t>
      </w:r>
      <w:r>
        <w:rPr>
          <w:rFonts w:ascii="Arial" w:eastAsia="Arial" w:hAnsi="Arial" w:cs="Arial"/>
          <w:sz w:val="20"/>
          <w:szCs w:val="20"/>
          <w:vertAlign w:val="subscript"/>
        </w:rPr>
        <w:t>2</w:t>
      </w:r>
      <w:r>
        <w:rPr>
          <w:rFonts w:ascii="Arial" w:eastAsia="Arial" w:hAnsi="Arial" w:cs="Arial"/>
          <w:sz w:val="20"/>
          <w:szCs w:val="20"/>
        </w:rPr>
        <w:t>), 14.0 (CH</w:t>
      </w:r>
      <w:r>
        <w:rPr>
          <w:rFonts w:ascii="Arial" w:eastAsia="Arial" w:hAnsi="Arial" w:cs="Arial"/>
          <w:sz w:val="20"/>
          <w:szCs w:val="20"/>
          <w:vertAlign w:val="subscript"/>
        </w:rPr>
        <w:t>3</w:t>
      </w:r>
      <w:r>
        <w:rPr>
          <w:rFonts w:ascii="Arial" w:eastAsia="Arial" w:hAnsi="Arial" w:cs="Arial"/>
          <w:sz w:val="20"/>
          <w:szCs w:val="20"/>
        </w:rPr>
        <w:t>)</w:t>
      </w:r>
    </w:p>
    <w:p w14:paraId="09140B6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MS/+ve ESI Calc C</w:t>
      </w:r>
      <w:r>
        <w:rPr>
          <w:rFonts w:ascii="Arial" w:eastAsia="Arial" w:hAnsi="Arial" w:cs="Arial"/>
          <w:sz w:val="20"/>
          <w:szCs w:val="20"/>
          <w:vertAlign w:val="subscript"/>
        </w:rPr>
        <w:t>11</w:t>
      </w:r>
      <w:r>
        <w:rPr>
          <w:rFonts w:ascii="Arial" w:eastAsia="Arial" w:hAnsi="Arial" w:cs="Arial"/>
          <w:sz w:val="20"/>
          <w:szCs w:val="20"/>
        </w:rPr>
        <w:t>H</w:t>
      </w:r>
      <w:r>
        <w:rPr>
          <w:rFonts w:ascii="Arial" w:eastAsia="Arial" w:hAnsi="Arial" w:cs="Arial"/>
          <w:sz w:val="20"/>
          <w:szCs w:val="20"/>
          <w:vertAlign w:val="subscript"/>
        </w:rPr>
        <w:t>26</w:t>
      </w:r>
      <w:r>
        <w:rPr>
          <w:rFonts w:ascii="Arial" w:eastAsia="Arial" w:hAnsi="Arial" w:cs="Arial"/>
          <w:sz w:val="20"/>
          <w:szCs w:val="20"/>
        </w:rPr>
        <w:t>NO</w:t>
      </w:r>
      <w:r>
        <w:rPr>
          <w:rFonts w:ascii="Arial" w:eastAsia="Arial" w:hAnsi="Arial" w:cs="Arial"/>
          <w:sz w:val="20"/>
          <w:szCs w:val="20"/>
          <w:vertAlign w:val="subscript"/>
        </w:rPr>
        <w:t>3</w:t>
      </w:r>
      <w:r>
        <w:rPr>
          <w:rFonts w:ascii="Arial" w:eastAsia="Arial" w:hAnsi="Arial" w:cs="Arial"/>
          <w:sz w:val="20"/>
          <w:szCs w:val="20"/>
        </w:rPr>
        <w:t>P [M+</w:t>
      </w:r>
      <w:proofErr w:type="gramStart"/>
      <w:r>
        <w:rPr>
          <w:rFonts w:ascii="Arial" w:eastAsia="Arial" w:hAnsi="Arial" w:cs="Arial"/>
          <w:sz w:val="20"/>
          <w:szCs w:val="20"/>
        </w:rPr>
        <w:t>H]+</w:t>
      </w:r>
      <w:proofErr w:type="gramEnd"/>
      <w:r>
        <w:rPr>
          <w:rFonts w:ascii="Arial" w:eastAsia="Arial" w:hAnsi="Arial" w:cs="Arial"/>
          <w:sz w:val="20"/>
          <w:szCs w:val="20"/>
        </w:rPr>
        <w:t xml:space="preserve"> = 252.1; found [M+H]+ = 252.1</w:t>
      </w:r>
    </w:p>
    <w:p w14:paraId="61055D6E" w14:textId="77777777" w:rsidR="0040281B" w:rsidRDefault="0040281B">
      <w:pPr>
        <w:spacing w:line="480" w:lineRule="auto"/>
        <w:jc w:val="both"/>
        <w:rPr>
          <w:rFonts w:ascii="Arial" w:eastAsia="Arial" w:hAnsi="Arial" w:cs="Arial"/>
          <w:b/>
          <w:sz w:val="20"/>
          <w:szCs w:val="20"/>
        </w:rPr>
      </w:pPr>
    </w:p>
    <w:p w14:paraId="25DE32F5"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Reagents and antibodies</w:t>
      </w:r>
    </w:p>
    <w:p w14:paraId="5855AD5B"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As described previously by our group </w:t>
      </w:r>
      <w:r>
        <w:rPr>
          <w:rFonts w:ascii="Arial" w:eastAsia="Arial" w:hAnsi="Arial" w:cs="Arial"/>
          <w:sz w:val="20"/>
          <w:szCs w:val="20"/>
          <w:vertAlign w:val="superscript"/>
        </w:rPr>
        <w:t>1</w:t>
      </w:r>
      <w:r>
        <w:rPr>
          <w:rFonts w:ascii="Arial" w:eastAsia="Arial" w:hAnsi="Arial" w:cs="Arial"/>
          <w:sz w:val="20"/>
          <w:szCs w:val="20"/>
        </w:rPr>
        <w:t xml:space="preserve">, we used the conformation specific CRP antibodies anti-mCRP-9C9 and anti-pCRP-8D8 (purified hybridoma culture supernatants) </w:t>
      </w:r>
      <w:r>
        <w:rPr>
          <w:rFonts w:ascii="Arial" w:eastAsia="Arial" w:hAnsi="Arial" w:cs="Arial"/>
          <w:sz w:val="20"/>
          <w:szCs w:val="20"/>
          <w:vertAlign w:val="superscript"/>
        </w:rPr>
        <w:t>2</w:t>
      </w:r>
      <w:r>
        <w:rPr>
          <w:rFonts w:ascii="Arial" w:eastAsia="Arial" w:hAnsi="Arial" w:cs="Arial"/>
          <w:sz w:val="20"/>
          <w:szCs w:val="20"/>
        </w:rPr>
        <w:t xml:space="preserve">. Mouse anti-human CRP antibody (Clone CRP-8) was purchased from Sigma-Aldrich. Mouse anti-human CD14 Pacific Blue™ (Clone M5E2), anti-human CD16 phycoerythrin-cyanine 7 (PE-Cy7, Clone 3G8) and anti-human HLA-DR allophycocyanin (APC, Clone TU36) antibodies were purchased from BD Pharmingen™, BD Biosciences. Used lineage markers for exclusion: Mouse anti-human CD2 PE (Clone RPA-2.10), anti-human CD15 PE (Clone VIMC6), anti-human CD19 PE (Clone HIB19), anti-human CD56 PE (Clone MY31), and anti-human NKp46 PE (Clone BAB281) were from BD Pharmingen™, BD Biosciences. For intracellular cell staining anti-human tumor necrosis factor (TNF) fluorescein isothiocyanate (FITC, Clone MAb11, invitrogen), interleukin 1 beta (IL1β) FITC (Clone REA1172, Miltenyi Biotec), and IL6 FITC (Clone MQ2-13A5, Miltenyi Biotec) were used. Mouse anti-human CD 54 APC (intercellular adhesion molecule 1, ICAM-1, Clone HA58) and CD106 PE (vascular cell adhesion molecule 1, VCAM-1, Clone 51-10C9) were obtained were from BD Pharmingen™, BD Biosciences. Recombinant anti-human myeloperoxidase FITC (MPO, Clone REA491, Miltenyi Biotec), mouse anti-human CD41a APC (Clone HIP8, Thermo Fisher), mouse anti-human </w:t>
      </w:r>
      <w:r>
        <w:rPr>
          <w:rFonts w:ascii="Arial" w:eastAsia="Arial" w:hAnsi="Arial" w:cs="Arial"/>
          <w:sz w:val="20"/>
          <w:szCs w:val="20"/>
          <w:highlight w:val="white"/>
        </w:rPr>
        <w:t xml:space="preserve">α-smooth muscle Cy3 antibody (Clone 1A4, Sigma-Aldrich), mouse anti-rat CD68 (Clone ED-1, Merck), goat anti-mouse IgG (H+L)-CF™ 488 antibody (polyclonal, Merck), and dsDNA binding </w:t>
      </w:r>
      <w:r>
        <w:rPr>
          <w:rFonts w:ascii="Arial" w:eastAsia="Arial" w:hAnsi="Arial" w:cs="Arial"/>
          <w:sz w:val="20"/>
          <w:szCs w:val="20"/>
        </w:rPr>
        <w:t>SYTOX™ orange</w:t>
      </w:r>
      <w:r>
        <w:rPr>
          <w:rFonts w:ascii="Arial" w:eastAsia="Arial" w:hAnsi="Arial" w:cs="Arial"/>
          <w:sz w:val="20"/>
          <w:szCs w:val="20"/>
          <w:highlight w:val="white"/>
        </w:rPr>
        <w:t xml:space="preserve"> (Thermo Fisher) were used for widefield and confocal fluorescence microscopy. For Western blotting, </w:t>
      </w:r>
      <w:r>
        <w:rPr>
          <w:rFonts w:ascii="Arial" w:eastAsia="Arial" w:hAnsi="Arial" w:cs="Arial"/>
          <w:color w:val="222222"/>
          <w:sz w:val="20"/>
          <w:szCs w:val="20"/>
          <w:highlight w:val="white"/>
        </w:rPr>
        <w:t>anti-human GAPDH HRP (0411) was purchased from Santa Cruz Biotechnology (Dallas, TX, USA).</w:t>
      </w:r>
      <w:r>
        <w:rPr>
          <w:rFonts w:ascii="Arial" w:eastAsia="Arial" w:hAnsi="Arial" w:cs="Arial"/>
          <w:sz w:val="20"/>
          <w:szCs w:val="20"/>
        </w:rPr>
        <w:t xml:space="preserve"> Lipopolysaccharide from </w:t>
      </w:r>
      <w:r>
        <w:rPr>
          <w:rFonts w:ascii="Arial" w:eastAsia="Arial" w:hAnsi="Arial" w:cs="Arial"/>
          <w:i/>
          <w:sz w:val="20"/>
          <w:szCs w:val="20"/>
        </w:rPr>
        <w:t>Escherichia coli</w:t>
      </w:r>
      <w:r>
        <w:rPr>
          <w:rFonts w:ascii="Arial" w:eastAsia="Arial" w:hAnsi="Arial" w:cs="Arial"/>
          <w:sz w:val="20"/>
          <w:szCs w:val="20"/>
        </w:rPr>
        <w:t xml:space="preserve"> serotype O127:B8 (LPS) and phosphatase substrate were obtained from Sigma-Aldrich.</w:t>
      </w:r>
    </w:p>
    <w:p w14:paraId="69E8596B" w14:textId="77777777" w:rsidR="0040281B" w:rsidRDefault="0040281B">
      <w:pPr>
        <w:spacing w:line="480" w:lineRule="auto"/>
        <w:jc w:val="both"/>
        <w:rPr>
          <w:rFonts w:ascii="Arial" w:eastAsia="Arial" w:hAnsi="Arial" w:cs="Arial"/>
          <w:sz w:val="20"/>
          <w:szCs w:val="20"/>
        </w:rPr>
      </w:pPr>
    </w:p>
    <w:p w14:paraId="11BB4427"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Preparation of pentameric C-reactive protein (pCRP)</w:t>
      </w:r>
    </w:p>
    <w:p w14:paraId="58323D5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Preparation of human pCRP was performed as described previously by our group </w:t>
      </w:r>
      <w:r>
        <w:rPr>
          <w:rFonts w:ascii="Arial" w:eastAsia="Arial" w:hAnsi="Arial" w:cs="Arial"/>
          <w:sz w:val="20"/>
          <w:szCs w:val="20"/>
          <w:vertAlign w:val="superscript"/>
        </w:rPr>
        <w:t>1</w:t>
      </w:r>
      <w:r>
        <w:rPr>
          <w:rFonts w:ascii="Arial" w:eastAsia="Arial" w:hAnsi="Arial" w:cs="Arial"/>
          <w:sz w:val="20"/>
          <w:szCs w:val="20"/>
        </w:rPr>
        <w:t>. Human CRP was purchased from Calbiochem (EMD Millipore Corp.) at a protein concentration of 1.03 mg/ml in liquid form suspended in 150 mM NaCl, 20 mM Tris, 2 mM CaCl</w:t>
      </w:r>
      <w:r>
        <w:rPr>
          <w:rFonts w:ascii="Arial" w:eastAsia="Arial" w:hAnsi="Arial" w:cs="Arial"/>
          <w:sz w:val="20"/>
          <w:szCs w:val="20"/>
          <w:vertAlign w:val="subscript"/>
        </w:rPr>
        <w:t>2</w:t>
      </w:r>
      <w:r>
        <w:rPr>
          <w:rFonts w:ascii="Arial" w:eastAsia="Arial" w:hAnsi="Arial" w:cs="Arial"/>
          <w:sz w:val="20"/>
          <w:szCs w:val="20"/>
        </w:rPr>
        <w:t>, 0.1 % NaN</w:t>
      </w:r>
      <w:r>
        <w:rPr>
          <w:rFonts w:ascii="Arial" w:eastAsia="Arial" w:hAnsi="Arial" w:cs="Arial"/>
          <w:sz w:val="20"/>
          <w:szCs w:val="20"/>
          <w:vertAlign w:val="subscript"/>
        </w:rPr>
        <w:t>3</w:t>
      </w:r>
      <w:r>
        <w:rPr>
          <w:rFonts w:ascii="Arial" w:eastAsia="Arial" w:hAnsi="Arial" w:cs="Arial"/>
          <w:sz w:val="20"/>
          <w:szCs w:val="20"/>
        </w:rPr>
        <w:t xml:space="preserve"> at pH 7.5. Protein purity was </w:t>
      </w:r>
      <w:r>
        <w:rPr>
          <w:rFonts w:ascii="Arial" w:eastAsia="Arial" w:hAnsi="Arial" w:cs="Arial"/>
          <w:sz w:val="20"/>
          <w:szCs w:val="20"/>
        </w:rPr>
        <w:lastRenderedPageBreak/>
        <w:t>determined by single band in SDS-PAGE. The addition of NaN</w:t>
      </w:r>
      <w:r>
        <w:rPr>
          <w:rFonts w:ascii="Arial" w:eastAsia="Arial" w:hAnsi="Arial" w:cs="Arial"/>
          <w:sz w:val="20"/>
          <w:szCs w:val="20"/>
          <w:vertAlign w:val="subscript"/>
        </w:rPr>
        <w:t xml:space="preserve">3 </w:t>
      </w:r>
      <w:r>
        <w:rPr>
          <w:rFonts w:ascii="Arial" w:eastAsia="Arial" w:hAnsi="Arial" w:cs="Arial"/>
          <w:sz w:val="20"/>
          <w:szCs w:val="20"/>
        </w:rPr>
        <w:t xml:space="preserve">to commercially available CRP preparations was reported to attribute to falsely claimed pro-inflammatory potential of pCRP </w:t>
      </w:r>
      <w:r>
        <w:rPr>
          <w:rFonts w:ascii="Arial" w:eastAsia="Arial" w:hAnsi="Arial" w:cs="Arial"/>
          <w:sz w:val="20"/>
          <w:szCs w:val="20"/>
          <w:vertAlign w:val="superscript"/>
        </w:rPr>
        <w:t>3-5</w:t>
      </w:r>
      <w:r>
        <w:rPr>
          <w:rFonts w:ascii="Arial" w:eastAsia="Arial" w:hAnsi="Arial" w:cs="Arial"/>
          <w:sz w:val="20"/>
          <w:szCs w:val="20"/>
        </w:rPr>
        <w:t xml:space="preserve">. Hence, for unaffected analysis of CRP effects, native CRP was dialyzed to eliminate contaminations prior to every experiment. Slide-A-Lyzer™ Dialysis Cassettes, 10k MWCO (Pierce Biotechnology, Rockford, IL USA) were used as recommended by the producer. The pCRP solution was dialyzed against </w:t>
      </w:r>
      <w:r>
        <w:rPr>
          <w:rFonts w:ascii="Arial" w:eastAsia="Arial" w:hAnsi="Arial" w:cs="Arial"/>
          <w:i/>
          <w:sz w:val="20"/>
          <w:szCs w:val="20"/>
        </w:rPr>
        <w:t>Dulbecco</w:t>
      </w:r>
      <w:r>
        <w:rPr>
          <w:rFonts w:ascii="Arial" w:eastAsia="Arial" w:hAnsi="Arial" w:cs="Arial"/>
          <w:sz w:val="20"/>
          <w:szCs w:val="20"/>
        </w:rPr>
        <w:t xml:space="preserve">’s phosphate buffered saline (DPBS) supplemented with calcium and magnesium (supplemented DPBS) in a 1:1,000 v/v ratio at 4 °C and overnight, as a modification of a protocol described previously </w:t>
      </w:r>
      <w:r>
        <w:rPr>
          <w:rFonts w:ascii="Arial" w:eastAsia="Arial" w:hAnsi="Arial" w:cs="Arial"/>
          <w:sz w:val="20"/>
          <w:szCs w:val="20"/>
          <w:vertAlign w:val="superscript"/>
        </w:rPr>
        <w:t>6, 7</w:t>
      </w:r>
      <w:r>
        <w:rPr>
          <w:rFonts w:ascii="Arial" w:eastAsia="Arial" w:hAnsi="Arial" w:cs="Arial"/>
          <w:sz w:val="20"/>
          <w:szCs w:val="20"/>
        </w:rPr>
        <w:t>. The pCRP solution was placed in the pretreated dialysis cassette and dialyzed in 500 ml 4 °C cold supplemented DPBS under constant stirring using a magnetic stir bar and a beaker. After two hours, the dialysis solution was discarded and fresh 500 ml 4 °C cold supplemented DPBS</w:t>
      </w:r>
      <w:r>
        <w:rPr>
          <w:rFonts w:ascii="Arial" w:eastAsia="Arial" w:hAnsi="Arial" w:cs="Arial"/>
          <w:sz w:val="20"/>
          <w:szCs w:val="20"/>
          <w:vertAlign w:val="superscript"/>
        </w:rPr>
        <w:t xml:space="preserve"> </w:t>
      </w:r>
      <w:r>
        <w:rPr>
          <w:rFonts w:ascii="Arial" w:eastAsia="Arial" w:hAnsi="Arial" w:cs="Arial"/>
          <w:sz w:val="20"/>
          <w:szCs w:val="20"/>
        </w:rPr>
        <w:t>was added and the pCRP solution was stored at 4 °C overnight. The protein concentration of the purified native pCRP was determined as described below</w:t>
      </w:r>
      <w:r>
        <w:rPr>
          <w:rFonts w:ascii="Arial" w:eastAsia="Arial" w:hAnsi="Arial" w:cs="Arial"/>
          <w:b/>
          <w:sz w:val="20"/>
          <w:szCs w:val="20"/>
        </w:rPr>
        <w:t xml:space="preserve"> </w:t>
      </w:r>
      <w:r>
        <w:rPr>
          <w:rFonts w:ascii="Arial" w:eastAsia="Arial" w:hAnsi="Arial" w:cs="Arial"/>
          <w:sz w:val="20"/>
          <w:szCs w:val="20"/>
        </w:rPr>
        <w:t>and afterwards stored at 4 °C in a polypropylene tube until use for a maximum of twenty days.</w:t>
      </w:r>
    </w:p>
    <w:p w14:paraId="1A6752A0" w14:textId="77777777" w:rsidR="0040281B" w:rsidRDefault="0040281B">
      <w:pPr>
        <w:spacing w:line="480" w:lineRule="auto"/>
        <w:jc w:val="both"/>
        <w:rPr>
          <w:rFonts w:ascii="Arial" w:eastAsia="Arial" w:hAnsi="Arial" w:cs="Arial"/>
          <w:sz w:val="20"/>
          <w:szCs w:val="20"/>
        </w:rPr>
      </w:pPr>
    </w:p>
    <w:p w14:paraId="08D983D1"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Preparation of monomeric C-reactive protein (mCRP)</w:t>
      </w:r>
    </w:p>
    <w:p w14:paraId="1BA2AB8A"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Monomeric CRP was generated by treating dialyzed pCRP with 8 M urea and 100 mM EDTA for one hour at 37 °C, followed by dialysis against 25 mM Tris-HCl (pH 8.5) overnight at 4 °C as described by Bíro </w:t>
      </w:r>
      <w:r>
        <w:rPr>
          <w:rFonts w:ascii="Arial" w:eastAsia="Arial" w:hAnsi="Arial" w:cs="Arial"/>
          <w:i/>
          <w:sz w:val="20"/>
          <w:szCs w:val="20"/>
        </w:rPr>
        <w:t>et al.</w:t>
      </w:r>
      <w:r>
        <w:rPr>
          <w:rFonts w:ascii="Arial" w:eastAsia="Arial" w:hAnsi="Arial" w:cs="Arial"/>
          <w:sz w:val="20"/>
          <w:szCs w:val="20"/>
        </w:rPr>
        <w:t xml:space="preserve"> </w:t>
      </w:r>
      <w:r>
        <w:rPr>
          <w:rFonts w:ascii="Arial" w:eastAsia="Arial" w:hAnsi="Arial" w:cs="Arial"/>
          <w:sz w:val="20"/>
          <w:szCs w:val="20"/>
          <w:vertAlign w:val="superscript"/>
        </w:rPr>
        <w:t>8</w:t>
      </w:r>
      <w:r>
        <w:rPr>
          <w:rFonts w:ascii="Arial" w:eastAsia="Arial" w:hAnsi="Arial" w:cs="Arial"/>
          <w:sz w:val="20"/>
          <w:szCs w:val="20"/>
        </w:rPr>
        <w:t xml:space="preserve">. The protein concentration was determined after each dialysis and dissociation procedure by a benchtop fluorometer (Qubit® 3.0 Fluorometer, Invitrogen™ by life technologies™, Carlsbad, CA, USA). </w:t>
      </w:r>
    </w:p>
    <w:p w14:paraId="4A9B92F7" w14:textId="77777777" w:rsidR="0040281B" w:rsidRDefault="0040281B">
      <w:pPr>
        <w:spacing w:line="480" w:lineRule="auto"/>
        <w:jc w:val="both"/>
        <w:rPr>
          <w:rFonts w:ascii="Arial" w:eastAsia="Arial" w:hAnsi="Arial" w:cs="Arial"/>
          <w:sz w:val="20"/>
          <w:szCs w:val="20"/>
        </w:rPr>
      </w:pPr>
    </w:p>
    <w:p w14:paraId="4D61F2A9" w14:textId="77777777" w:rsidR="0040281B" w:rsidRDefault="00867BEC">
      <w:pPr>
        <w:shd w:val="clear" w:color="auto" w:fill="FFFFFF"/>
        <w:spacing w:line="480" w:lineRule="auto"/>
        <w:jc w:val="both"/>
        <w:rPr>
          <w:rFonts w:ascii="Arial" w:eastAsia="Arial" w:hAnsi="Arial" w:cs="Arial"/>
          <w:b/>
          <w:color w:val="020202"/>
          <w:sz w:val="20"/>
          <w:szCs w:val="20"/>
        </w:rPr>
      </w:pPr>
      <w:r>
        <w:rPr>
          <w:rFonts w:ascii="Arial" w:eastAsia="Arial" w:hAnsi="Arial" w:cs="Arial"/>
          <w:b/>
          <w:color w:val="020202"/>
          <w:sz w:val="20"/>
          <w:szCs w:val="20"/>
        </w:rPr>
        <w:t xml:space="preserve">Competitive ELISA for C10M-pCRP affinity </w:t>
      </w:r>
    </w:p>
    <w:p w14:paraId="41A70A92" w14:textId="77777777" w:rsidR="0040281B" w:rsidRDefault="00867BEC">
      <w:pPr>
        <w:spacing w:after="160" w:line="480" w:lineRule="auto"/>
        <w:jc w:val="both"/>
        <w:rPr>
          <w:rFonts w:ascii="Arial" w:eastAsia="Arial" w:hAnsi="Arial" w:cs="Arial"/>
          <w:sz w:val="20"/>
          <w:szCs w:val="20"/>
        </w:rPr>
      </w:pPr>
      <w:r>
        <w:rPr>
          <w:rFonts w:ascii="Arial" w:eastAsia="Arial" w:hAnsi="Arial" w:cs="Arial"/>
          <w:sz w:val="20"/>
          <w:szCs w:val="20"/>
        </w:rPr>
        <w:t>High binding polystyrene 96 well-plates (Corning, Costar, USA) were coated with 5 µg/ml of PC-KLH (LGC Biosearch Technologies, UK) in coating buffer overnight at 4 °C. The wells were washed thrice with TBS containing 0.05 % Tween20 (Sigma) and non-specific binding was blocked with TBS containing 1 % BSA and 0.15 mM CaCl</w:t>
      </w:r>
      <w:r>
        <w:rPr>
          <w:rFonts w:ascii="Arial" w:eastAsia="Arial" w:hAnsi="Arial" w:cs="Arial"/>
          <w:sz w:val="20"/>
          <w:szCs w:val="20"/>
          <w:vertAlign w:val="subscript"/>
        </w:rPr>
        <w:t>2</w:t>
      </w:r>
      <w:r>
        <w:rPr>
          <w:rFonts w:ascii="Arial" w:eastAsia="Arial" w:hAnsi="Arial" w:cs="Arial"/>
          <w:sz w:val="20"/>
          <w:szCs w:val="20"/>
        </w:rPr>
        <w:t xml:space="preserve"> for one hour at 37°C. Human pCRP (Calbiochem, Merck, Germany) at 5 µg/ml in blocking buffer was pre-incubated with compound C10M (Anthem Biosciences, India) at concentrations increasing from 0.01 mM to 15.5 mM for one hour at room temperature. The CRP and compound mixtures were applied to wells for one hour at 37 °C. The wells were washed three times and pCRP was detected with a polyclonal sheep anti-CRP antibody (2.5 µg/ml; Bio-Rad, UK) for one hour at room temperature. Wells were washed thoroughly and a donkey anti-sheep HRP conjugated </w:t>
      </w:r>
      <w:r>
        <w:rPr>
          <w:rFonts w:ascii="Arial" w:eastAsia="Arial" w:hAnsi="Arial" w:cs="Arial"/>
          <w:sz w:val="20"/>
          <w:szCs w:val="20"/>
        </w:rPr>
        <w:lastRenderedPageBreak/>
        <w:t>antibody (1:20,000; ICN Biomedicals Inc., USA) was applied to wells for 30 min at room temperature. After washing, wells were developed at room temperature with TMB (Life Technologies, USA) for 10 min covered from light. 2 N sulfuric acid was added to stop the reaction and the plate was immediately analyzed with an Enspire 2300 Multimode Plate Reader at 450 nm (Perkin Elmer, USA). All samples were tested in duplicate.</w:t>
      </w:r>
    </w:p>
    <w:p w14:paraId="404D6053" w14:textId="77777777" w:rsidR="0040281B" w:rsidRDefault="0040281B">
      <w:pPr>
        <w:spacing w:line="480" w:lineRule="auto"/>
        <w:jc w:val="both"/>
        <w:rPr>
          <w:rFonts w:ascii="Arial" w:eastAsia="Arial" w:hAnsi="Arial" w:cs="Arial"/>
          <w:sz w:val="20"/>
          <w:szCs w:val="20"/>
        </w:rPr>
      </w:pPr>
    </w:p>
    <w:p w14:paraId="73752F75"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 xml:space="preserve">Solid column chromatography </w:t>
      </w:r>
    </w:p>
    <w:p w14:paraId="71AA9D80"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pCRP binding to the ligand phosphocholine (PC) was analyzed in the presence of C10M by solid column chromatography as described by Volanakis </w:t>
      </w:r>
      <w:r>
        <w:rPr>
          <w:rFonts w:ascii="Arial" w:eastAsia="Arial" w:hAnsi="Arial" w:cs="Arial"/>
          <w:i/>
          <w:sz w:val="20"/>
          <w:szCs w:val="20"/>
        </w:rPr>
        <w:t xml:space="preserve">et al </w:t>
      </w:r>
      <w:r>
        <w:rPr>
          <w:rFonts w:ascii="Arial" w:eastAsia="Arial" w:hAnsi="Arial" w:cs="Arial"/>
          <w:sz w:val="20"/>
          <w:szCs w:val="20"/>
          <w:vertAlign w:val="superscript"/>
        </w:rPr>
        <w:t>9</w:t>
      </w:r>
      <w:r>
        <w:rPr>
          <w:rFonts w:ascii="Arial" w:eastAsia="Arial" w:hAnsi="Arial" w:cs="Arial"/>
          <w:sz w:val="20"/>
          <w:szCs w:val="20"/>
        </w:rPr>
        <w:t>. 200 µg human pCRP was incubated with ready-to-use 80 µl p-aminophenyl phosphoryl choline agarose beads (Thermo Fisher) in binding buffer (0.1 M Tris, 0.1 M NaCl, 2 mM CaCl</w:t>
      </w:r>
      <w:r>
        <w:rPr>
          <w:rFonts w:ascii="Arial" w:eastAsia="Arial" w:hAnsi="Arial" w:cs="Arial"/>
          <w:sz w:val="20"/>
          <w:szCs w:val="20"/>
          <w:vertAlign w:val="subscript"/>
        </w:rPr>
        <w:t>2</w:t>
      </w:r>
      <w:r>
        <w:rPr>
          <w:rFonts w:ascii="Arial" w:eastAsia="Arial" w:hAnsi="Arial" w:cs="Arial"/>
          <w:sz w:val="20"/>
          <w:szCs w:val="20"/>
        </w:rPr>
        <w:t xml:space="preserve">, pH 8) with and without C10M (43.5 µg/ml) for one hour at room temperature. Pierce™ 0.8 ml centrifuge columns (Thermo Fisher) were used following the manufacture’s protocol. Bound pCRP was eluted with elution buffer (0.1 M Tris, 0.1 M NaCl, 2 mM EDTA, pH 8) and collected in fresh tubes and measured by a fluorometric protein assay (Qubit® 3.0 Fluorometer). </w:t>
      </w:r>
    </w:p>
    <w:p w14:paraId="39693D66" w14:textId="77777777" w:rsidR="0040281B" w:rsidRDefault="0040281B">
      <w:pPr>
        <w:spacing w:line="480" w:lineRule="auto"/>
        <w:jc w:val="both"/>
        <w:rPr>
          <w:rFonts w:ascii="Arial" w:eastAsia="Arial" w:hAnsi="Arial" w:cs="Arial"/>
          <w:sz w:val="20"/>
          <w:szCs w:val="20"/>
        </w:rPr>
      </w:pPr>
    </w:p>
    <w:p w14:paraId="15653C50"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Static monocyte adhesion assay</w:t>
      </w:r>
    </w:p>
    <w:p w14:paraId="67C77CC3" w14:textId="77777777" w:rsidR="0040281B" w:rsidRDefault="00867BEC">
      <w:pPr>
        <w:spacing w:line="480" w:lineRule="auto"/>
        <w:jc w:val="both"/>
        <w:rPr>
          <w:rFonts w:ascii="Arial" w:eastAsia="Arial" w:hAnsi="Arial" w:cs="Arial"/>
          <w:b/>
          <w:sz w:val="20"/>
          <w:szCs w:val="20"/>
        </w:rPr>
      </w:pPr>
      <w:r>
        <w:rPr>
          <w:rFonts w:ascii="Arial" w:eastAsia="Arial" w:hAnsi="Arial" w:cs="Arial"/>
          <w:sz w:val="20"/>
          <w:szCs w:val="20"/>
        </w:rPr>
        <w:t xml:space="preserve">The inhibitory property of C10M on CRP isotypes was tested in a static monocyte adhesion assay as described previously with minor modifications </w:t>
      </w:r>
      <w:r>
        <w:rPr>
          <w:rFonts w:ascii="Arial" w:eastAsia="Arial" w:hAnsi="Arial" w:cs="Arial"/>
          <w:sz w:val="20"/>
          <w:szCs w:val="20"/>
          <w:vertAlign w:val="superscript"/>
        </w:rPr>
        <w:t>10, 11</w:t>
      </w:r>
      <w:r>
        <w:rPr>
          <w:rFonts w:ascii="Arial" w:eastAsia="Arial" w:hAnsi="Arial" w:cs="Arial"/>
          <w:sz w:val="20"/>
          <w:szCs w:val="20"/>
        </w:rPr>
        <w:t>. Briefly, human monocytes were isolated by Ficoll density gradient centrifugation. Greiner® 96-well reader plates were covered with 100 µl/well of a 20 µg/ml fibrinogen solution in DPBS supplemented with calcium and magnesium overnight at 4 °C. Unspecific binding to the exposed polystyrene surface was prevented by 0.1 % agarose gel solution. Wells were washed from excessive agarose with supplemented DPBS. The cell pellet containing isolated monocytes was resuspended in PBS supplemented with calcium and magnesium, cell count was determined manually by hemocytometer and automated by CASY cell counter and adjusted for 3 x 10</w:t>
      </w:r>
      <w:r>
        <w:rPr>
          <w:rFonts w:ascii="Arial" w:eastAsia="Arial" w:hAnsi="Arial" w:cs="Arial"/>
          <w:sz w:val="20"/>
          <w:szCs w:val="20"/>
          <w:vertAlign w:val="superscript"/>
        </w:rPr>
        <w:t>6</w:t>
      </w:r>
      <w:r>
        <w:rPr>
          <w:rFonts w:ascii="Arial" w:eastAsia="Arial" w:hAnsi="Arial" w:cs="Arial"/>
          <w:sz w:val="20"/>
          <w:szCs w:val="20"/>
        </w:rPr>
        <w:t xml:space="preserve"> cells/ml. 100 µl of the designated cell suspension was pipetted in triplicate and allowed to adhere for 35 min at 37 °C, 5 % CO</w:t>
      </w:r>
      <w:r>
        <w:rPr>
          <w:rFonts w:ascii="Arial" w:eastAsia="Arial" w:hAnsi="Arial" w:cs="Arial"/>
          <w:sz w:val="20"/>
          <w:szCs w:val="20"/>
          <w:vertAlign w:val="subscript"/>
        </w:rPr>
        <w:t>2</w:t>
      </w:r>
      <w:r>
        <w:rPr>
          <w:rFonts w:ascii="Arial" w:eastAsia="Arial" w:hAnsi="Arial" w:cs="Arial"/>
          <w:sz w:val="20"/>
          <w:szCs w:val="20"/>
        </w:rPr>
        <w:t xml:space="preserve">. Cells were stimulated with pCRP (50 ug/ml) with or without C10M (1:100 molar ratio). Quantification of monocyte adhesion was performed as described previously by addition of a phosphatase substrate stain (50 mM sodium acetate pH 5.0, 1 % Triton X-100 and 40 mg of phosphatase substrate) and the absorbance was measured after 30 min at 405 nm by spectroscopy after extensive washing </w:t>
      </w:r>
      <w:r>
        <w:rPr>
          <w:rFonts w:ascii="Arial" w:eastAsia="Arial" w:hAnsi="Arial" w:cs="Arial"/>
          <w:sz w:val="20"/>
          <w:szCs w:val="20"/>
          <w:vertAlign w:val="superscript"/>
        </w:rPr>
        <w:t>10</w:t>
      </w:r>
      <w:r>
        <w:rPr>
          <w:rFonts w:ascii="Arial" w:eastAsia="Arial" w:hAnsi="Arial" w:cs="Arial"/>
          <w:sz w:val="20"/>
          <w:szCs w:val="20"/>
        </w:rPr>
        <w:t>.</w:t>
      </w:r>
    </w:p>
    <w:p w14:paraId="6B0A2B6A" w14:textId="77777777" w:rsidR="0040281B" w:rsidRDefault="0040281B">
      <w:pPr>
        <w:spacing w:line="480" w:lineRule="auto"/>
        <w:jc w:val="both"/>
        <w:rPr>
          <w:rFonts w:ascii="Arial" w:eastAsia="Arial" w:hAnsi="Arial" w:cs="Arial"/>
          <w:sz w:val="20"/>
          <w:szCs w:val="20"/>
        </w:rPr>
      </w:pPr>
    </w:p>
    <w:p w14:paraId="003074E7"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Intracellular staining for cytokines in human whole blood</w:t>
      </w:r>
    </w:p>
    <w:p w14:paraId="5E016AE7"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Heparinized human whole blood was freshly taken with informed consent from healthy donors without any drug intake history of anti-inflammatory medication in at least the last two weeks. The CRP-dependent expression of TNF, IL1β and IL6 in human whole blood was assessed by intracellular staining and flow cytometry using BD LSRFortessa Cell Analyzer (BD Biosciences). </w:t>
      </w:r>
    </w:p>
    <w:p w14:paraId="776F0778" w14:textId="77777777" w:rsidR="0040281B" w:rsidRDefault="0040281B">
      <w:pPr>
        <w:spacing w:line="480" w:lineRule="auto"/>
        <w:jc w:val="both"/>
        <w:rPr>
          <w:rFonts w:ascii="Arial" w:eastAsia="Arial" w:hAnsi="Arial" w:cs="Arial"/>
          <w:sz w:val="20"/>
          <w:szCs w:val="20"/>
        </w:rPr>
      </w:pPr>
    </w:p>
    <w:p w14:paraId="797E6FDD"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Determination of the relevant CRP conformation for pro-inflammatory cytokine expression</w:t>
      </w:r>
    </w:p>
    <w:p w14:paraId="0296796F"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100 µl samples were incubated with 50 µg/ml pCRP (</w:t>
      </w:r>
      <w:r>
        <w:rPr>
          <w:rFonts w:ascii="Arial" w:eastAsia="Arial" w:hAnsi="Arial" w:cs="Arial"/>
          <w:i/>
          <w:sz w:val="20"/>
          <w:szCs w:val="20"/>
        </w:rPr>
        <w:t>pCRP</w:t>
      </w:r>
      <w:r>
        <w:rPr>
          <w:rFonts w:ascii="Arial" w:eastAsia="Arial" w:hAnsi="Arial" w:cs="Arial"/>
          <w:sz w:val="20"/>
          <w:szCs w:val="20"/>
        </w:rPr>
        <w:t>), mCRP (</w:t>
      </w:r>
      <w:r>
        <w:rPr>
          <w:rFonts w:ascii="Arial" w:eastAsia="Arial" w:hAnsi="Arial" w:cs="Arial"/>
          <w:i/>
          <w:sz w:val="20"/>
          <w:szCs w:val="20"/>
        </w:rPr>
        <w:t>mCRP</w:t>
      </w:r>
      <w:r>
        <w:rPr>
          <w:rFonts w:ascii="Arial" w:eastAsia="Arial" w:hAnsi="Arial" w:cs="Arial"/>
          <w:sz w:val="20"/>
          <w:szCs w:val="20"/>
        </w:rPr>
        <w:t>), and 1 ng/ml LPS respectively, or unstimulated (</w:t>
      </w:r>
      <w:r>
        <w:rPr>
          <w:rFonts w:ascii="Arial" w:eastAsia="Arial" w:hAnsi="Arial" w:cs="Arial"/>
          <w:i/>
          <w:sz w:val="20"/>
          <w:szCs w:val="20"/>
        </w:rPr>
        <w:t>control</w:t>
      </w:r>
      <w:r>
        <w:rPr>
          <w:rFonts w:ascii="Arial" w:eastAsia="Arial" w:hAnsi="Arial" w:cs="Arial"/>
          <w:sz w:val="20"/>
          <w:szCs w:val="20"/>
        </w:rPr>
        <w:t>) for 6 hours at 37 °C, 5 % CO</w:t>
      </w:r>
      <w:r>
        <w:rPr>
          <w:rFonts w:ascii="Arial" w:eastAsia="Arial" w:hAnsi="Arial" w:cs="Arial"/>
          <w:sz w:val="20"/>
          <w:szCs w:val="20"/>
          <w:vertAlign w:val="subscript"/>
        </w:rPr>
        <w:t>2</w:t>
      </w:r>
      <w:r>
        <w:rPr>
          <w:rFonts w:ascii="Arial" w:eastAsia="Arial" w:hAnsi="Arial" w:cs="Arial"/>
          <w:sz w:val="20"/>
          <w:szCs w:val="20"/>
        </w:rPr>
        <w:t xml:space="preserve">. After the first 30 min 3 µg/ml brefeldin A (BFA) was added to each sample to inhibit the cytokine excretion </w:t>
      </w:r>
      <w:r>
        <w:rPr>
          <w:rFonts w:ascii="Arial" w:eastAsia="Arial" w:hAnsi="Arial" w:cs="Arial"/>
          <w:sz w:val="20"/>
          <w:szCs w:val="20"/>
          <w:vertAlign w:val="superscript"/>
        </w:rPr>
        <w:t>12</w:t>
      </w:r>
      <w:r>
        <w:rPr>
          <w:rFonts w:ascii="Arial" w:eastAsia="Arial" w:hAnsi="Arial" w:cs="Arial"/>
          <w:sz w:val="20"/>
          <w:szCs w:val="20"/>
        </w:rPr>
        <w:t xml:space="preserve">. Sedimentation of the cellular portion of the blood was prevented by gentle vortex mixing every 60 min. CellFIX™ cell fixation solution (BD biosciences) was prepared following the manufacture’s protocol and 50 µl was added to each sample for 5 min at room temperature to stop the reaction. Fixed samples were subsequently washed with 4 °C DPBS supplemented with calcium and magnesium at 450 </w:t>
      </w:r>
      <w:r>
        <w:rPr>
          <w:rFonts w:ascii="Arial" w:eastAsia="Arial" w:hAnsi="Arial" w:cs="Arial"/>
          <w:i/>
          <w:sz w:val="20"/>
          <w:szCs w:val="20"/>
        </w:rPr>
        <w:t>x g</w:t>
      </w:r>
      <w:r>
        <w:rPr>
          <w:rFonts w:ascii="Arial" w:eastAsia="Arial" w:hAnsi="Arial" w:cs="Arial"/>
          <w:sz w:val="20"/>
          <w:szCs w:val="20"/>
        </w:rPr>
        <w:t xml:space="preserve"> and 4 °C for 5 min. The supernatant was discarded and red blood cells (RBC) were lysed in 2 ml freshly prepared RBC lysis buffer (80.2 g NH</w:t>
      </w:r>
      <w:r>
        <w:rPr>
          <w:rFonts w:ascii="Arial" w:eastAsia="Arial" w:hAnsi="Arial" w:cs="Arial"/>
          <w:sz w:val="20"/>
          <w:szCs w:val="20"/>
          <w:vertAlign w:val="subscript"/>
        </w:rPr>
        <w:t>4</w:t>
      </w:r>
      <w:r>
        <w:rPr>
          <w:rFonts w:ascii="Arial" w:eastAsia="Arial" w:hAnsi="Arial" w:cs="Arial"/>
          <w:sz w:val="20"/>
          <w:szCs w:val="20"/>
        </w:rPr>
        <w:t>Cl, 8.4 g NaHCO</w:t>
      </w:r>
      <w:r>
        <w:rPr>
          <w:rFonts w:ascii="Arial" w:eastAsia="Arial" w:hAnsi="Arial" w:cs="Arial"/>
          <w:sz w:val="20"/>
          <w:szCs w:val="20"/>
          <w:vertAlign w:val="subscript"/>
        </w:rPr>
        <w:t>3</w:t>
      </w:r>
      <w:r>
        <w:rPr>
          <w:rFonts w:ascii="Arial" w:eastAsia="Arial" w:hAnsi="Arial" w:cs="Arial"/>
          <w:sz w:val="20"/>
          <w:szCs w:val="20"/>
        </w:rPr>
        <w:t xml:space="preserve">, 126 ml EDTA (100 mM) at pH 7.4) at 4 °C for 5–10 min. Cells were washed again twice in cold supplemented PBS and resuspended in 100 µl filtered 0.5 % bovine serum albumin-PBS (BSA from Sigma-Aldrich, FACS buffer). For immunophenotyping, 2 µl of mouse anti-human CD14-Pacific Blue™, anti-HLA-DR APC, and anti-human CD2-PE, CD15-PE, CD19-PE, CD56-PE, and anti-NKp46-PE antibody were added and incubated for 20 min on ice. Cells were washed again in FACS buffer, resuspended in 100 µl fresh FACS buffer and fixed with 100 µl medium A, Fix &amp; Perm™ cell permeabilization kit (Thermo Fisher) for 15 min at room temperature. Cells were washed in 2 ml FACS buffer and the supernatant discarded. The pellet was resuspended in 100 µl FACS buffer and 100 µl of medium B was added for permeabilization. 3 µl of mouse anti-human TNF-FITC, IL1β-FITC, and IL6-FITC were added to each sample with one FMO control, and left for incubation on ice for 20 min. Subsequently, cells were washed in 2 ml cold FACS buffer and then prepared for flow cytometry: cells were resuspended in 350 µl FACS buffer and fixed with 50 µl 4 % PFA-PBS, they were then kept in cool and dark conditions until analysis (within two hours). For immunophenotyping of classical and non-classical monocytes by flow cytometry, we used a gating strategy described by Belge </w:t>
      </w:r>
      <w:r>
        <w:rPr>
          <w:rFonts w:ascii="Arial" w:eastAsia="Arial" w:hAnsi="Arial" w:cs="Arial"/>
          <w:i/>
          <w:sz w:val="20"/>
          <w:szCs w:val="20"/>
        </w:rPr>
        <w:t>et al.</w:t>
      </w:r>
      <w:r>
        <w:rPr>
          <w:rFonts w:ascii="Arial" w:eastAsia="Arial" w:hAnsi="Arial" w:cs="Arial"/>
          <w:i/>
          <w:sz w:val="20"/>
          <w:szCs w:val="20"/>
          <w:vertAlign w:val="superscript"/>
        </w:rPr>
        <w:t>13</w:t>
      </w:r>
      <w:r>
        <w:rPr>
          <w:rFonts w:ascii="Arial" w:eastAsia="Arial" w:hAnsi="Arial" w:cs="Arial"/>
          <w:sz w:val="20"/>
          <w:szCs w:val="20"/>
        </w:rPr>
        <w:t xml:space="preserve"> and the FSC-A threshold was set to 5,000.</w:t>
      </w:r>
    </w:p>
    <w:p w14:paraId="61BD4C72" w14:textId="77777777" w:rsidR="0040281B" w:rsidRDefault="0040281B">
      <w:pPr>
        <w:spacing w:line="480" w:lineRule="auto"/>
        <w:jc w:val="both"/>
        <w:rPr>
          <w:rFonts w:ascii="Arial" w:eastAsia="Arial" w:hAnsi="Arial" w:cs="Arial"/>
          <w:sz w:val="20"/>
          <w:szCs w:val="20"/>
        </w:rPr>
      </w:pPr>
    </w:p>
    <w:p w14:paraId="362AA94D"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Dissociation of pCRP on ADP-stimulated platelets and analysis of pro-inflammatory cytokine expression</w:t>
      </w:r>
    </w:p>
    <w:p w14:paraId="1DADD16E"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Cells were treated as described above with minor modifications. 50 µg/ml pCRP was added with or without compound C10M (molar ratio pCRP:C10M, 1:1,000-10,000) to adenosine 5’-diphosphate (ADP, Sigma-Aldrich) stimulated whole blood to simulate the physiological process of pCRP dissociation </w:t>
      </w:r>
      <w:r>
        <w:rPr>
          <w:rFonts w:ascii="Arial" w:eastAsia="Arial" w:hAnsi="Arial" w:cs="Arial"/>
          <w:i/>
          <w:sz w:val="20"/>
          <w:szCs w:val="20"/>
        </w:rPr>
        <w:t xml:space="preserve">in vitro </w:t>
      </w:r>
      <w:r>
        <w:rPr>
          <w:rFonts w:ascii="Arial" w:eastAsia="Arial" w:hAnsi="Arial" w:cs="Arial"/>
          <w:i/>
          <w:sz w:val="20"/>
          <w:szCs w:val="20"/>
          <w:vertAlign w:val="superscript"/>
        </w:rPr>
        <w:t>10</w:t>
      </w:r>
      <w:r>
        <w:rPr>
          <w:rFonts w:ascii="Arial" w:eastAsia="Arial" w:hAnsi="Arial" w:cs="Arial"/>
          <w:sz w:val="20"/>
          <w:szCs w:val="20"/>
        </w:rPr>
        <w:t>. 10 µl of ADP in supplemented DPBS were added to 100 µl human whole blood (end concentration 10 and 20 µM ADP) for 30 min at 37 °C, 5 % CO</w:t>
      </w:r>
      <w:r>
        <w:rPr>
          <w:rFonts w:ascii="Arial" w:eastAsia="Arial" w:hAnsi="Arial" w:cs="Arial"/>
          <w:sz w:val="20"/>
          <w:szCs w:val="20"/>
          <w:vertAlign w:val="subscript"/>
        </w:rPr>
        <w:t>2</w:t>
      </w:r>
      <w:r>
        <w:rPr>
          <w:rFonts w:ascii="Arial" w:eastAsia="Arial" w:hAnsi="Arial" w:cs="Arial"/>
          <w:sz w:val="20"/>
          <w:szCs w:val="20"/>
        </w:rPr>
        <w:t>. Unstimulated controls were not treated with ADP. pCRP and C10M, respectively, were added and whole blood samples incubated again at 37 °C, 5 % CO</w:t>
      </w:r>
      <w:r>
        <w:rPr>
          <w:rFonts w:ascii="Arial" w:eastAsia="Arial" w:hAnsi="Arial" w:cs="Arial"/>
          <w:sz w:val="20"/>
          <w:szCs w:val="20"/>
          <w:vertAlign w:val="subscript"/>
        </w:rPr>
        <w:t>2</w:t>
      </w:r>
      <w:r>
        <w:rPr>
          <w:rFonts w:ascii="Arial" w:eastAsia="Arial" w:hAnsi="Arial" w:cs="Arial"/>
          <w:sz w:val="20"/>
          <w:szCs w:val="20"/>
        </w:rPr>
        <w:t>. After 6 hours, the stimulation was stopped by 50 µl CellFIX™ solution and analysis proceeded as described above.</w:t>
      </w:r>
    </w:p>
    <w:p w14:paraId="3048365D" w14:textId="77777777" w:rsidR="0040281B" w:rsidRDefault="0040281B">
      <w:pPr>
        <w:spacing w:line="480" w:lineRule="auto"/>
        <w:jc w:val="both"/>
        <w:rPr>
          <w:rFonts w:ascii="Arial" w:eastAsia="Arial" w:hAnsi="Arial" w:cs="Arial"/>
          <w:sz w:val="20"/>
          <w:szCs w:val="20"/>
        </w:rPr>
      </w:pPr>
    </w:p>
    <w:p w14:paraId="5D5A599C"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For confocal fluorescence microscopy, cells were treated as described above without immunophenotypic staining. Cell solutions were transferred into tissue culture treated polymer µ-slides (ibidi® µ-slides VI </w:t>
      </w:r>
      <w:r>
        <w:rPr>
          <w:rFonts w:ascii="Arial" w:eastAsia="Arial" w:hAnsi="Arial" w:cs="Arial"/>
          <w:sz w:val="20"/>
          <w:szCs w:val="20"/>
          <w:vertAlign w:val="superscript"/>
        </w:rPr>
        <w:t>0.4</w:t>
      </w:r>
      <w:r>
        <w:rPr>
          <w:rFonts w:ascii="Arial" w:eastAsia="Arial" w:hAnsi="Arial" w:cs="Arial"/>
          <w:sz w:val="20"/>
          <w:szCs w:val="20"/>
        </w:rPr>
        <w:t xml:space="preserve"> channel slides, ibidi GmbH, Planegg, Germany) and incubated for 1 hour at 37 °C, 5 % CO</w:t>
      </w:r>
      <w:r>
        <w:rPr>
          <w:rFonts w:ascii="Arial" w:eastAsia="Arial" w:hAnsi="Arial" w:cs="Arial"/>
          <w:sz w:val="20"/>
          <w:szCs w:val="20"/>
          <w:vertAlign w:val="subscript"/>
        </w:rPr>
        <w:t>2</w:t>
      </w:r>
      <w:r>
        <w:rPr>
          <w:rFonts w:ascii="Arial" w:eastAsia="Arial" w:hAnsi="Arial" w:cs="Arial"/>
          <w:sz w:val="20"/>
          <w:szCs w:val="20"/>
        </w:rPr>
        <w:t xml:space="preserve">. Subsequently, cells were washed thoroughly with supplemented DPBS to remove debris and adherent cells were fixed with 4 % PFA in PBS and embedded in mounting medium containing </w:t>
      </w:r>
      <w:r>
        <w:rPr>
          <w:rFonts w:ascii="Arial" w:eastAsia="Arial" w:hAnsi="Arial" w:cs="Arial"/>
          <w:sz w:val="20"/>
          <w:szCs w:val="20"/>
          <w:highlight w:val="white"/>
        </w:rPr>
        <w:t>DAPI (ibidi GmbH, Planegg, Germany).</w:t>
      </w:r>
      <w:r>
        <w:rPr>
          <w:rFonts w:ascii="Arial" w:eastAsia="Arial" w:hAnsi="Arial" w:cs="Arial"/>
          <w:sz w:val="20"/>
          <w:szCs w:val="20"/>
        </w:rPr>
        <w:t xml:space="preserve"> Slides were analyzed by confocal fluorescence microscopy using a Zeiss LSM 710 and LSM 980, Carl Zeiss Microscopy GmbH, in 3D reconstructions of multiple focal planes (Z-stack) at 20x magnification, with pinhole diameter of 1 airy unit. DAPI was excited at 405 nm, and fluorescein at 488 nm. Images were processed using IMARIS image visualization and analysis software, Oxford instruments.</w:t>
      </w:r>
    </w:p>
    <w:p w14:paraId="6E2CAEFA" w14:textId="77777777" w:rsidR="0040281B" w:rsidRDefault="0040281B">
      <w:pPr>
        <w:spacing w:line="480" w:lineRule="auto"/>
        <w:jc w:val="both"/>
        <w:rPr>
          <w:rFonts w:ascii="Arial" w:eastAsia="Arial" w:hAnsi="Arial" w:cs="Arial"/>
          <w:sz w:val="20"/>
          <w:szCs w:val="20"/>
        </w:rPr>
      </w:pPr>
    </w:p>
    <w:p w14:paraId="4341AFF2" w14:textId="77777777"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Neutrophil extracellular traps (NET) formation in CRP-stimulated neutrophils</w:t>
      </w:r>
      <w:r>
        <w:rPr>
          <w:rFonts w:ascii="Arial" w:eastAsia="Arial" w:hAnsi="Arial" w:cs="Arial"/>
          <w:sz w:val="20"/>
          <w:szCs w:val="20"/>
        </w:rPr>
        <w:t xml:space="preserve"> </w:t>
      </w:r>
    </w:p>
    <w:p w14:paraId="4A07ABF5" w14:textId="77777777" w:rsidR="0040281B" w:rsidRDefault="00867BEC">
      <w:pPr>
        <w:spacing w:line="480" w:lineRule="auto"/>
        <w:jc w:val="both"/>
        <w:rPr>
          <w:rFonts w:ascii="Arial" w:eastAsia="Arial" w:hAnsi="Arial" w:cs="Arial"/>
          <w:b/>
          <w:sz w:val="20"/>
          <w:szCs w:val="20"/>
        </w:rPr>
      </w:pPr>
      <w:r>
        <w:rPr>
          <w:rFonts w:ascii="Arial" w:eastAsia="Arial" w:hAnsi="Arial" w:cs="Arial"/>
          <w:sz w:val="20"/>
          <w:szCs w:val="20"/>
        </w:rPr>
        <w:t xml:space="preserve">Neutrophils were isolated from human whole blood by density gradient separation method as described by Böyum </w:t>
      </w:r>
      <w:r>
        <w:rPr>
          <w:rFonts w:ascii="Arial" w:eastAsia="Arial" w:hAnsi="Arial" w:cs="Arial"/>
          <w:sz w:val="20"/>
          <w:szCs w:val="20"/>
          <w:vertAlign w:val="superscript"/>
        </w:rPr>
        <w:t>14</w:t>
      </w:r>
      <w:r>
        <w:rPr>
          <w:rFonts w:ascii="Arial" w:eastAsia="Arial" w:hAnsi="Arial" w:cs="Arial"/>
          <w:sz w:val="20"/>
          <w:szCs w:val="20"/>
        </w:rPr>
        <w:t xml:space="preserve"> and modified by Ferrante and Thong </w:t>
      </w:r>
      <w:r>
        <w:rPr>
          <w:rFonts w:ascii="Arial" w:eastAsia="Arial" w:hAnsi="Arial" w:cs="Arial"/>
          <w:sz w:val="20"/>
          <w:szCs w:val="20"/>
          <w:vertAlign w:val="superscript"/>
        </w:rPr>
        <w:t>15</w:t>
      </w:r>
      <w:r>
        <w:rPr>
          <w:rFonts w:ascii="Arial" w:eastAsia="Arial" w:hAnsi="Arial" w:cs="Arial"/>
          <w:sz w:val="20"/>
          <w:szCs w:val="20"/>
        </w:rPr>
        <w:t xml:space="preserve">. Platelets were isolated from whole blood anticoagulated with 3.2 % trisodium citrate solution as described above. Activated platelets transform pCRP into pCRP* and mCRP, resulting in pro-inflammatory properties </w:t>
      </w:r>
      <w:r>
        <w:rPr>
          <w:rFonts w:ascii="Arial" w:eastAsia="Arial" w:hAnsi="Arial" w:cs="Arial"/>
          <w:sz w:val="20"/>
          <w:szCs w:val="20"/>
          <w:vertAlign w:val="superscript"/>
        </w:rPr>
        <w:t>16</w:t>
      </w:r>
      <w:r>
        <w:rPr>
          <w:rFonts w:ascii="Arial" w:eastAsia="Arial" w:hAnsi="Arial" w:cs="Arial"/>
          <w:sz w:val="20"/>
          <w:szCs w:val="20"/>
        </w:rPr>
        <w:t>. Hence, the inhibitory substance C10M was tested in a static assay using activated platelets on isolated neutrophils. Neutrophil cell suspension was plated in µ-slides together with ADP-activated platelets and 50 µg/ml pCRP with and without C10M (1:100 molar ratio), respectively.</w:t>
      </w:r>
      <w:r>
        <w:rPr>
          <w:rFonts w:ascii="Arial" w:eastAsia="Arial" w:hAnsi="Arial" w:cs="Arial"/>
          <w:b/>
          <w:sz w:val="20"/>
          <w:szCs w:val="20"/>
        </w:rPr>
        <w:t xml:space="preserve"> </w:t>
      </w:r>
      <w:r>
        <w:rPr>
          <w:rFonts w:ascii="Arial" w:eastAsia="Arial" w:hAnsi="Arial" w:cs="Arial"/>
          <w:sz w:val="20"/>
          <w:szCs w:val="20"/>
        </w:rPr>
        <w:t xml:space="preserve">After 90 min incubation at 37 °C, </w:t>
      </w:r>
      <w:r>
        <w:rPr>
          <w:rFonts w:ascii="Arial" w:eastAsia="Arial" w:hAnsi="Arial" w:cs="Arial"/>
          <w:sz w:val="20"/>
          <w:szCs w:val="20"/>
        </w:rPr>
        <w:lastRenderedPageBreak/>
        <w:t>5 % CO</w:t>
      </w:r>
      <w:r>
        <w:rPr>
          <w:rFonts w:ascii="Arial" w:eastAsia="Arial" w:hAnsi="Arial" w:cs="Arial"/>
          <w:sz w:val="20"/>
          <w:szCs w:val="20"/>
          <w:vertAlign w:val="subscript"/>
        </w:rPr>
        <w:t>2</w:t>
      </w:r>
      <w:r>
        <w:rPr>
          <w:rFonts w:ascii="Arial" w:eastAsia="Arial" w:hAnsi="Arial" w:cs="Arial"/>
          <w:sz w:val="20"/>
          <w:szCs w:val="20"/>
        </w:rPr>
        <w:t xml:space="preserve">, cells were washed with supplemented DPBS and then fixed with 4 % PFA in DPBS and counterstained with 300 nM DAPI (final concentration) after permeabilization with 0.1 % triton X-100. SYTOX™ orange, anti-human MPO-FITC and anti-human CD41a-APC were added and incubated for 20 min on ice. Image acquisition was performed by confocal immunofluorescence microscopy (Zeiss LSM 710) and processed with IMARIS image visualization software, Oxford Instruments. Magnification of the objective was x20 and x63 oil, respectively, with pinhole diameter of 1 airy unit. </w:t>
      </w:r>
    </w:p>
    <w:p w14:paraId="235CB610" w14:textId="77777777" w:rsidR="0040281B" w:rsidRDefault="0040281B">
      <w:pPr>
        <w:spacing w:line="480" w:lineRule="auto"/>
        <w:jc w:val="both"/>
        <w:rPr>
          <w:rFonts w:ascii="Arial" w:eastAsia="Arial" w:hAnsi="Arial" w:cs="Arial"/>
          <w:sz w:val="20"/>
          <w:szCs w:val="20"/>
        </w:rPr>
      </w:pPr>
    </w:p>
    <w:p w14:paraId="36C15868"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Formation of platelet-bound CRP aggregates with human whole blood leukocytes</w:t>
      </w:r>
    </w:p>
    <w:p w14:paraId="32696A65"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Heparinized human whole blood was incubated with autologous isolated calcein-stained platelets. Platelets incubated in serum supplemented with 50 µg/ml pCRP-Atto 594 with and without 10.75 µg/ml C10M were added to whole blood samples from the same healthy donor. After 30 min incubation at 37 °C, 5 % CO</w:t>
      </w:r>
      <w:r>
        <w:rPr>
          <w:rFonts w:ascii="Arial" w:eastAsia="Arial" w:hAnsi="Arial" w:cs="Arial"/>
          <w:sz w:val="20"/>
          <w:szCs w:val="20"/>
          <w:vertAlign w:val="subscript"/>
        </w:rPr>
        <w:t>2</w:t>
      </w:r>
      <w:r>
        <w:rPr>
          <w:rFonts w:ascii="Arial" w:eastAsia="Arial" w:hAnsi="Arial" w:cs="Arial"/>
          <w:sz w:val="20"/>
          <w:szCs w:val="20"/>
        </w:rPr>
        <w:t xml:space="preserve"> all whole blood samples were fixed with CellFIX™ and processed for confocal fluorescence microscopy as described above. Formation of platelet-monocyte aggregates were analyzed by flow cytometry. Heparinized human whole blood was incubated with either 50 µg/ml pCRP or mCRP. After the given time points, whole blood samples were fixed and processed as described above. For immunophenotyping, cells were stained with anti-human CD14-Pacific Blue™ and CD62P-PE antibodies. Cell suspensions were counted on low flow rates and complexes positive for CD14 and CD62P were assumed to be platelet-monocyte aggregates.</w:t>
      </w:r>
    </w:p>
    <w:p w14:paraId="11236BA7" w14:textId="77777777" w:rsidR="0040281B" w:rsidRDefault="0040281B">
      <w:pPr>
        <w:spacing w:line="480" w:lineRule="auto"/>
        <w:jc w:val="both"/>
        <w:rPr>
          <w:rFonts w:ascii="Arial" w:eastAsia="Arial" w:hAnsi="Arial" w:cs="Arial"/>
          <w:sz w:val="20"/>
          <w:szCs w:val="20"/>
        </w:rPr>
      </w:pPr>
    </w:p>
    <w:p w14:paraId="16E599AC"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Analysis of CRP-depended opsono-phagocytosis in human whole blood</w:t>
      </w:r>
    </w:p>
    <w:p w14:paraId="01451136"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CRP opsonization of pathogens was carried out as described previously </w:t>
      </w:r>
      <w:r>
        <w:rPr>
          <w:rFonts w:ascii="Arial" w:eastAsia="Arial" w:hAnsi="Arial" w:cs="Arial"/>
          <w:sz w:val="20"/>
          <w:szCs w:val="20"/>
          <w:vertAlign w:val="superscript"/>
        </w:rPr>
        <w:t>17, 18</w:t>
      </w:r>
      <w:r>
        <w:rPr>
          <w:rFonts w:ascii="Arial" w:eastAsia="Arial" w:hAnsi="Arial" w:cs="Arial"/>
          <w:sz w:val="20"/>
          <w:szCs w:val="20"/>
        </w:rPr>
        <w:t xml:space="preserve">. Here we investigated the influence of C10M on phagocytosis in a human whole blood assay. Zymosan from </w:t>
      </w:r>
      <w:r>
        <w:rPr>
          <w:rFonts w:ascii="Arial" w:eastAsia="Arial" w:hAnsi="Arial" w:cs="Arial"/>
          <w:i/>
          <w:sz w:val="20"/>
          <w:szCs w:val="20"/>
        </w:rPr>
        <w:t>Saccharomyces cerevisiae</w:t>
      </w:r>
      <w:r>
        <w:rPr>
          <w:rFonts w:ascii="Arial" w:eastAsia="Arial" w:hAnsi="Arial" w:cs="Arial"/>
          <w:sz w:val="20"/>
          <w:szCs w:val="20"/>
        </w:rPr>
        <w:t xml:space="preserve">, </w:t>
      </w:r>
      <w:r>
        <w:rPr>
          <w:rFonts w:ascii="Arial" w:eastAsia="Arial" w:hAnsi="Arial" w:cs="Arial"/>
          <w:i/>
          <w:sz w:val="20"/>
          <w:szCs w:val="20"/>
        </w:rPr>
        <w:t>Streptococcus pneumoniae</w:t>
      </w:r>
      <w:r>
        <w:rPr>
          <w:rFonts w:ascii="Arial" w:eastAsia="Arial" w:hAnsi="Arial" w:cs="Arial"/>
          <w:sz w:val="20"/>
          <w:szCs w:val="20"/>
        </w:rPr>
        <w:t xml:space="preserve"> serotype 27 and </w:t>
      </w:r>
      <w:r>
        <w:rPr>
          <w:rFonts w:ascii="Arial" w:eastAsia="Arial" w:hAnsi="Arial" w:cs="Arial"/>
          <w:i/>
          <w:sz w:val="20"/>
          <w:szCs w:val="20"/>
        </w:rPr>
        <w:t xml:space="preserve">Escherichia coli </w:t>
      </w:r>
      <w:r>
        <w:rPr>
          <w:rFonts w:ascii="Arial" w:eastAsia="Arial" w:hAnsi="Arial" w:cs="Arial"/>
          <w:sz w:val="20"/>
          <w:szCs w:val="20"/>
        </w:rPr>
        <w:t xml:space="preserve">XL2 were used as target particles. Bacteria were heat-killed before the experiments and each target particle was fluorescence tagged with FITC as described elsewhere </w:t>
      </w:r>
      <w:r>
        <w:rPr>
          <w:rFonts w:ascii="Arial" w:eastAsia="Arial" w:hAnsi="Arial" w:cs="Arial"/>
          <w:sz w:val="20"/>
          <w:szCs w:val="20"/>
          <w:vertAlign w:val="superscript"/>
        </w:rPr>
        <w:t>19</w:t>
      </w:r>
      <w:r>
        <w:rPr>
          <w:rFonts w:ascii="Arial" w:eastAsia="Arial" w:hAnsi="Arial" w:cs="Arial"/>
          <w:sz w:val="20"/>
          <w:szCs w:val="20"/>
        </w:rPr>
        <w:t xml:space="preserve">. Heparinized whole blood was freshly taken from healthy human volunteers and processed within 30 min. 2.5 µl of zymosan-FITC (10 mg/ml), 10 µl of </w:t>
      </w:r>
      <w:r>
        <w:rPr>
          <w:rFonts w:ascii="Arial" w:eastAsia="Arial" w:hAnsi="Arial" w:cs="Arial"/>
          <w:i/>
          <w:sz w:val="20"/>
          <w:szCs w:val="20"/>
        </w:rPr>
        <w:t>S. pneumoniae</w:t>
      </w:r>
      <w:r>
        <w:rPr>
          <w:rFonts w:ascii="Arial" w:eastAsia="Arial" w:hAnsi="Arial" w:cs="Arial"/>
          <w:sz w:val="20"/>
          <w:szCs w:val="20"/>
        </w:rPr>
        <w:t xml:space="preserve">-FITC and 5 µl of </w:t>
      </w:r>
      <w:r>
        <w:rPr>
          <w:rFonts w:ascii="Arial" w:eastAsia="Arial" w:hAnsi="Arial" w:cs="Arial"/>
          <w:i/>
          <w:sz w:val="20"/>
          <w:szCs w:val="20"/>
        </w:rPr>
        <w:t>E. coli</w:t>
      </w:r>
      <w:r>
        <w:rPr>
          <w:rFonts w:ascii="Arial" w:eastAsia="Arial" w:hAnsi="Arial" w:cs="Arial"/>
          <w:sz w:val="20"/>
          <w:szCs w:val="20"/>
        </w:rPr>
        <w:t>-FITC (both 10</w:t>
      </w:r>
      <w:r>
        <w:rPr>
          <w:rFonts w:ascii="Arial" w:eastAsia="Arial" w:hAnsi="Arial" w:cs="Arial"/>
          <w:sz w:val="20"/>
          <w:szCs w:val="20"/>
          <w:vertAlign w:val="superscript"/>
        </w:rPr>
        <w:t>9</w:t>
      </w:r>
      <w:r>
        <w:rPr>
          <w:rFonts w:ascii="Arial" w:eastAsia="Arial" w:hAnsi="Arial" w:cs="Arial"/>
          <w:sz w:val="20"/>
          <w:szCs w:val="20"/>
        </w:rPr>
        <w:t xml:space="preserve">/ml) were added to 100 µl human whole blood for </w:t>
      </w:r>
      <w:proofErr w:type="gramStart"/>
      <w:r>
        <w:rPr>
          <w:rFonts w:ascii="Arial" w:eastAsia="Arial" w:hAnsi="Arial" w:cs="Arial"/>
          <w:sz w:val="20"/>
          <w:szCs w:val="20"/>
        </w:rPr>
        <w:t>5, 10, 15, and 20 min.</w:t>
      </w:r>
      <w:proofErr w:type="gramEnd"/>
      <w:r>
        <w:rPr>
          <w:rFonts w:ascii="Arial" w:eastAsia="Arial" w:hAnsi="Arial" w:cs="Arial"/>
          <w:sz w:val="20"/>
          <w:szCs w:val="20"/>
        </w:rPr>
        <w:t xml:space="preserve"> Cells were then fixed, washed, and red blood cell lysis performed as described above. For immunophenotyping, cells were incubated with an antibody mix containing anti-human CD14-Pacific Blue™, CD16-PE-Cy7, HLA-DR-APC and anti-human CD2-PE, CD15-PE, CD19-PE, CD56-PE, and NKp 46-PE (each 1:100 v/v) for 15 min on ice. Cells were washed and processed as </w:t>
      </w:r>
      <w:r>
        <w:rPr>
          <w:rFonts w:ascii="Arial" w:eastAsia="Arial" w:hAnsi="Arial" w:cs="Arial"/>
          <w:sz w:val="20"/>
          <w:szCs w:val="20"/>
        </w:rPr>
        <w:lastRenderedPageBreak/>
        <w:t xml:space="preserve">described above for flow cytometry and analyzed within 2 hours by flow cytometry (BD LSR Fortessa Cell Analyzer). Opsonization of target particles was done as described previously with minor modifications </w:t>
      </w:r>
      <w:r>
        <w:rPr>
          <w:rFonts w:ascii="Arial" w:eastAsia="Arial" w:hAnsi="Arial" w:cs="Arial"/>
          <w:sz w:val="20"/>
          <w:szCs w:val="20"/>
          <w:vertAlign w:val="superscript"/>
        </w:rPr>
        <w:t>17</w:t>
      </w:r>
      <w:r>
        <w:rPr>
          <w:rFonts w:ascii="Arial" w:eastAsia="Arial" w:hAnsi="Arial" w:cs="Arial"/>
          <w:sz w:val="20"/>
          <w:szCs w:val="20"/>
        </w:rPr>
        <w:t>: Target particles were incubated before each experiment with 100 µg/ml pCRP in DPBS supplemented with 0.9 mM CaCl</w:t>
      </w:r>
      <w:r>
        <w:rPr>
          <w:rFonts w:ascii="Arial" w:eastAsia="Arial" w:hAnsi="Arial" w:cs="Arial"/>
          <w:sz w:val="20"/>
          <w:szCs w:val="20"/>
          <w:vertAlign w:val="subscript"/>
        </w:rPr>
        <w:t xml:space="preserve">2 </w:t>
      </w:r>
      <w:r>
        <w:rPr>
          <w:rFonts w:ascii="Arial" w:eastAsia="Arial" w:hAnsi="Arial" w:cs="Arial"/>
          <w:sz w:val="20"/>
          <w:szCs w:val="20"/>
        </w:rPr>
        <w:t>at 37 °C, 5 % CO</w:t>
      </w:r>
      <w:r>
        <w:rPr>
          <w:rFonts w:ascii="Arial" w:eastAsia="Arial" w:hAnsi="Arial" w:cs="Arial"/>
          <w:sz w:val="20"/>
          <w:szCs w:val="20"/>
          <w:vertAlign w:val="subscript"/>
        </w:rPr>
        <w:t>2</w:t>
      </w:r>
      <w:r>
        <w:rPr>
          <w:rFonts w:ascii="Arial" w:eastAsia="Arial" w:hAnsi="Arial" w:cs="Arial"/>
          <w:sz w:val="20"/>
          <w:szCs w:val="20"/>
        </w:rPr>
        <w:t xml:space="preserve"> for 30 min. Where indicated, C10M was added to the mixture in 1:100 molar ratio of pCRP:C10M. Target particles were then washed, and added to whole blood.</w:t>
      </w:r>
    </w:p>
    <w:p w14:paraId="51B20129" w14:textId="77777777" w:rsidR="0040281B" w:rsidRDefault="0040281B">
      <w:pPr>
        <w:spacing w:line="480" w:lineRule="auto"/>
        <w:jc w:val="both"/>
        <w:rPr>
          <w:rFonts w:ascii="Arial" w:eastAsia="Arial" w:hAnsi="Arial" w:cs="Arial"/>
          <w:strike/>
          <w:sz w:val="20"/>
          <w:szCs w:val="20"/>
        </w:rPr>
      </w:pPr>
    </w:p>
    <w:p w14:paraId="34E352BF"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Intracellular staining for reactive oxygen species (ROS) in human whole blood</w:t>
      </w:r>
    </w:p>
    <w:p w14:paraId="0FEA27F5"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ROS generation in CRP stimulated human whole blood was assessed by flow cytometry. Dihydroethidium (DHE) was used as a redox indicator for intracellular superoxide production (excitation max. 480 nm, emission max. 586 nm) </w:t>
      </w:r>
      <w:r>
        <w:rPr>
          <w:rFonts w:ascii="Arial" w:eastAsia="Arial" w:hAnsi="Arial" w:cs="Arial"/>
          <w:sz w:val="20"/>
          <w:szCs w:val="20"/>
          <w:vertAlign w:val="superscript"/>
        </w:rPr>
        <w:t>20, 21</w:t>
      </w:r>
      <w:r>
        <w:rPr>
          <w:rFonts w:ascii="Arial" w:eastAsia="Arial" w:hAnsi="Arial" w:cs="Arial"/>
          <w:sz w:val="20"/>
          <w:szCs w:val="20"/>
        </w:rPr>
        <w:t>. Whole blood samples were treated as described above. Freshly taken blood was aliquoted into 100 µl samples and stimulated as described under “</w:t>
      </w:r>
      <w:r>
        <w:rPr>
          <w:rFonts w:ascii="Arial" w:eastAsia="Arial" w:hAnsi="Arial" w:cs="Arial"/>
          <w:i/>
          <w:sz w:val="20"/>
          <w:szCs w:val="20"/>
        </w:rPr>
        <w:t>Dissociation of pCRP on ADP-stimulated platelets and analysis of pro-inflammatory cytokine expression</w:t>
      </w:r>
      <w:r>
        <w:rPr>
          <w:rFonts w:ascii="Arial" w:eastAsia="Arial" w:hAnsi="Arial" w:cs="Arial"/>
          <w:sz w:val="20"/>
          <w:szCs w:val="20"/>
        </w:rPr>
        <w:t>”, with the incubation reduced to three hours. 10 µg/ml DHE was added to each sample in the last 30 min with one FMO-control untreated. Anti-human CD14-Pacific Blue™, CD16-PE-Cy7, and HLA-DR-APC were added (1:100 v/v), resuspended in 400 µl FACS buffer and analyzed by flow cytometry within 30 min. For all ROS assays, the FSC-A threshold was set to 35,000. ROS generation in PMNs and monocytes was differentiated by immunophenotyping and determined by DHE mean fluorescence intensity.</w:t>
      </w:r>
    </w:p>
    <w:p w14:paraId="250B88D2" w14:textId="77777777" w:rsidR="0040281B" w:rsidRDefault="0040281B">
      <w:pPr>
        <w:spacing w:line="480" w:lineRule="auto"/>
        <w:jc w:val="both"/>
        <w:rPr>
          <w:rFonts w:ascii="Arial" w:eastAsia="Arial" w:hAnsi="Arial" w:cs="Arial"/>
          <w:sz w:val="20"/>
          <w:szCs w:val="20"/>
        </w:rPr>
      </w:pPr>
    </w:p>
    <w:p w14:paraId="468C9736" w14:textId="77777777"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Binding of pCRP to ADP-stimulated platelets</w:t>
      </w:r>
    </w:p>
    <w:p w14:paraId="1A91D1EE"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Platelet rich plasma (PRP) was isolated from freshly taken human whole blood anticoagulated with 3.2 % trisodium citrate solution (1:10 v/v, preparation concentration 0.106 mol/l) as described elsewhere </w:t>
      </w:r>
      <w:r>
        <w:rPr>
          <w:rFonts w:ascii="Arial" w:eastAsia="Arial" w:hAnsi="Arial" w:cs="Arial"/>
          <w:sz w:val="20"/>
          <w:szCs w:val="20"/>
          <w:vertAlign w:val="superscript"/>
        </w:rPr>
        <w:t>22, 23</w:t>
      </w:r>
      <w:r>
        <w:rPr>
          <w:rFonts w:ascii="Arial" w:eastAsia="Arial" w:hAnsi="Arial" w:cs="Arial"/>
          <w:sz w:val="20"/>
          <w:szCs w:val="20"/>
        </w:rPr>
        <w:t xml:space="preserve">. Two thirds of the PRP were transferred into 1:15 v/v </w:t>
      </w:r>
      <w:r>
        <w:rPr>
          <w:rFonts w:ascii="Arial" w:eastAsia="Arial" w:hAnsi="Arial" w:cs="Arial"/>
          <w:i/>
          <w:sz w:val="20"/>
          <w:szCs w:val="20"/>
        </w:rPr>
        <w:t>Tyrode’s</w:t>
      </w:r>
      <w:r>
        <w:rPr>
          <w:rFonts w:ascii="Arial" w:eastAsia="Arial" w:hAnsi="Arial" w:cs="Arial"/>
          <w:sz w:val="20"/>
          <w:szCs w:val="20"/>
        </w:rPr>
        <w:t xml:space="preserve"> buffer supplemented with 8.9 mM EDTA. Briefly, PRP was obtained from fresh anticoagulated human blood (sodium citrate 3.8 %) by centrifugation at 250 × </w:t>
      </w:r>
      <w:r>
        <w:rPr>
          <w:rFonts w:ascii="Arial" w:eastAsia="Arial" w:hAnsi="Arial" w:cs="Arial"/>
          <w:i/>
          <w:sz w:val="20"/>
          <w:szCs w:val="20"/>
        </w:rPr>
        <w:t>g</w:t>
      </w:r>
      <w:r>
        <w:rPr>
          <w:rFonts w:ascii="Arial" w:eastAsia="Arial" w:hAnsi="Arial" w:cs="Arial"/>
          <w:sz w:val="20"/>
          <w:szCs w:val="20"/>
        </w:rPr>
        <w:t xml:space="preserve"> without brake for 10 min and room temperature. The supernatant was designated PRP. The supernatant was then washed two times against sequestrene buffer (ethylenediaminetetraacetic acid disodium salt </w:t>
      </w:r>
      <w:proofErr w:type="gramStart"/>
      <w:r>
        <w:rPr>
          <w:rFonts w:ascii="Arial" w:eastAsia="Arial" w:hAnsi="Arial" w:cs="Arial"/>
          <w:sz w:val="20"/>
          <w:szCs w:val="20"/>
        </w:rPr>
        <w:t>dehydrate</w:t>
      </w:r>
      <w:proofErr w:type="gramEnd"/>
      <w:r>
        <w:rPr>
          <w:rFonts w:ascii="Arial" w:eastAsia="Arial" w:hAnsi="Arial" w:cs="Arial"/>
          <w:sz w:val="20"/>
          <w:szCs w:val="20"/>
        </w:rPr>
        <w:t>, 17.5 mM Na</w:t>
      </w:r>
      <w:r>
        <w:rPr>
          <w:rFonts w:ascii="Arial" w:eastAsia="Arial" w:hAnsi="Arial" w:cs="Arial"/>
          <w:sz w:val="20"/>
          <w:szCs w:val="20"/>
          <w:vertAlign w:val="subscript"/>
        </w:rPr>
        <w:t>2</w:t>
      </w:r>
      <w:r>
        <w:rPr>
          <w:rFonts w:ascii="Arial" w:eastAsia="Arial" w:hAnsi="Arial" w:cs="Arial"/>
          <w:sz w:val="20"/>
          <w:szCs w:val="20"/>
        </w:rPr>
        <w:t>HPO</w:t>
      </w:r>
      <w:r>
        <w:rPr>
          <w:rFonts w:ascii="Arial" w:eastAsia="Arial" w:hAnsi="Arial" w:cs="Arial"/>
          <w:sz w:val="20"/>
          <w:szCs w:val="20"/>
          <w:vertAlign w:val="subscript"/>
        </w:rPr>
        <w:t>4</w:t>
      </w:r>
      <w:r>
        <w:rPr>
          <w:rFonts w:ascii="Arial" w:eastAsia="Arial" w:hAnsi="Arial" w:cs="Arial"/>
          <w:sz w:val="20"/>
          <w:szCs w:val="20"/>
        </w:rPr>
        <w:t>, 8.9 mM Na</w:t>
      </w:r>
      <w:r>
        <w:rPr>
          <w:rFonts w:ascii="Arial" w:eastAsia="Arial" w:hAnsi="Arial" w:cs="Arial"/>
          <w:sz w:val="20"/>
          <w:szCs w:val="20"/>
          <w:vertAlign w:val="subscript"/>
        </w:rPr>
        <w:t>2</w:t>
      </w:r>
      <w:r>
        <w:rPr>
          <w:rFonts w:ascii="Arial" w:eastAsia="Arial" w:hAnsi="Arial" w:cs="Arial"/>
          <w:sz w:val="20"/>
          <w:szCs w:val="20"/>
        </w:rPr>
        <w:t>EDTA, 154 mM NaCl, pH 6.9) 1:10 v/v. Pelleted platelets were resuspended in sequestrene buffer and stained with calcein AM (5– 20 nM) for 15 min at room temperature.</w:t>
      </w:r>
    </w:p>
    <w:p w14:paraId="672F4CBC" w14:textId="77777777" w:rsidR="0040281B" w:rsidRDefault="0040281B">
      <w:pPr>
        <w:spacing w:line="480" w:lineRule="auto"/>
        <w:jc w:val="both"/>
        <w:rPr>
          <w:rFonts w:ascii="Arial" w:eastAsia="Arial" w:hAnsi="Arial" w:cs="Arial"/>
          <w:sz w:val="20"/>
          <w:szCs w:val="20"/>
        </w:rPr>
      </w:pPr>
    </w:p>
    <w:p w14:paraId="1C9FA7C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lastRenderedPageBreak/>
        <w:t xml:space="preserve">Contaminating white blood cells were depleted by a first centrifugation step at 200 </w:t>
      </w:r>
      <w:r>
        <w:rPr>
          <w:rFonts w:ascii="Arial" w:eastAsia="Arial" w:hAnsi="Arial" w:cs="Arial"/>
          <w:i/>
          <w:sz w:val="20"/>
          <w:szCs w:val="20"/>
        </w:rPr>
        <w:t>x g</w:t>
      </w:r>
      <w:r>
        <w:rPr>
          <w:rFonts w:ascii="Arial" w:eastAsia="Arial" w:hAnsi="Arial" w:cs="Arial"/>
          <w:sz w:val="20"/>
          <w:szCs w:val="20"/>
        </w:rPr>
        <w:t xml:space="preserve"> for 10 min with no brake applied. The supernatant was transferred into a fresh tube and centrifuged at 2000 </w:t>
      </w:r>
      <w:r>
        <w:rPr>
          <w:rFonts w:ascii="Arial" w:eastAsia="Arial" w:hAnsi="Arial" w:cs="Arial"/>
          <w:i/>
          <w:sz w:val="20"/>
          <w:szCs w:val="20"/>
        </w:rPr>
        <w:t>x g</w:t>
      </w:r>
      <w:r>
        <w:rPr>
          <w:rFonts w:ascii="Arial" w:eastAsia="Arial" w:hAnsi="Arial" w:cs="Arial"/>
          <w:sz w:val="20"/>
          <w:szCs w:val="20"/>
        </w:rPr>
        <w:t xml:space="preserve"> for 10 min without brake at room temperature. The pellet was resuspended in fresh </w:t>
      </w:r>
      <w:r>
        <w:rPr>
          <w:rFonts w:ascii="Arial" w:eastAsia="Arial" w:hAnsi="Arial" w:cs="Arial"/>
          <w:i/>
          <w:sz w:val="20"/>
          <w:szCs w:val="20"/>
        </w:rPr>
        <w:t>Tyrode’s</w:t>
      </w:r>
      <w:r>
        <w:rPr>
          <w:rFonts w:ascii="Arial" w:eastAsia="Arial" w:hAnsi="Arial" w:cs="Arial"/>
          <w:sz w:val="20"/>
          <w:szCs w:val="20"/>
        </w:rPr>
        <w:t xml:space="preserve"> buffer containing 8.8 mM EDTA and centrifuged again under same conditions. The second pellet was resuspended in DPBS and counted using a hemocytometer and adjusted to 2 x 10</w:t>
      </w:r>
      <w:r>
        <w:rPr>
          <w:rFonts w:ascii="Arial" w:eastAsia="Arial" w:hAnsi="Arial" w:cs="Arial"/>
          <w:sz w:val="20"/>
          <w:szCs w:val="20"/>
          <w:vertAlign w:val="superscript"/>
        </w:rPr>
        <w:t xml:space="preserve">8 </w:t>
      </w:r>
      <w:r>
        <w:rPr>
          <w:rFonts w:ascii="Arial" w:eastAsia="Arial" w:hAnsi="Arial" w:cs="Arial"/>
          <w:sz w:val="20"/>
          <w:szCs w:val="20"/>
        </w:rPr>
        <w:t>platelets/ml. 100 µl of the solution was incubated with 50 µg/ml pCRP-Atto 594 with or without 13 mM CaCl</w:t>
      </w:r>
      <w:r>
        <w:rPr>
          <w:rFonts w:ascii="Arial" w:eastAsia="Arial" w:hAnsi="Arial" w:cs="Arial"/>
          <w:sz w:val="20"/>
          <w:szCs w:val="20"/>
          <w:vertAlign w:val="subscript"/>
        </w:rPr>
        <w:t>2</w:t>
      </w:r>
      <w:r>
        <w:rPr>
          <w:rFonts w:ascii="Arial" w:eastAsia="Arial" w:hAnsi="Arial" w:cs="Arial"/>
          <w:sz w:val="20"/>
          <w:szCs w:val="20"/>
        </w:rPr>
        <w:t xml:space="preserve"> for 15 min at 37 °C, 5 % CO</w:t>
      </w:r>
      <w:r>
        <w:rPr>
          <w:rFonts w:ascii="Arial" w:eastAsia="Arial" w:hAnsi="Arial" w:cs="Arial"/>
          <w:sz w:val="20"/>
          <w:szCs w:val="20"/>
          <w:vertAlign w:val="subscript"/>
        </w:rPr>
        <w:t>2</w:t>
      </w:r>
      <w:r>
        <w:rPr>
          <w:rFonts w:ascii="Arial" w:eastAsia="Arial" w:hAnsi="Arial" w:cs="Arial"/>
          <w:sz w:val="20"/>
          <w:szCs w:val="20"/>
        </w:rPr>
        <w:t>. 2 µl of anti-CD62P PE (Clone AK-4, BD Pharmingen™) were added to each sample and transferred to 350 µl FACS buffer 0.5 % BSA and fixed with 50 µl 4 % paraformaldehyde in PBS. Flow cytometry was performed within 30 min.</w:t>
      </w:r>
    </w:p>
    <w:p w14:paraId="33F380B0" w14:textId="77777777" w:rsidR="0040281B" w:rsidRDefault="0040281B">
      <w:pPr>
        <w:spacing w:line="480" w:lineRule="auto"/>
        <w:jc w:val="both"/>
        <w:rPr>
          <w:rFonts w:ascii="Arial" w:eastAsia="Arial" w:hAnsi="Arial" w:cs="Arial"/>
          <w:sz w:val="20"/>
          <w:szCs w:val="20"/>
        </w:rPr>
      </w:pPr>
    </w:p>
    <w:p w14:paraId="1F9CB728"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For confocal fluorescence microscopy, samples were prepared as described above and transferred into tissue culture treated polymer µ-slides (ibidi® µ-slides VI 0.4). Slides incubated for one hour at 37 °C, 5 % CO</w:t>
      </w:r>
      <w:r>
        <w:rPr>
          <w:rFonts w:ascii="Arial" w:eastAsia="Arial" w:hAnsi="Arial" w:cs="Arial"/>
          <w:sz w:val="20"/>
          <w:szCs w:val="20"/>
          <w:vertAlign w:val="subscript"/>
        </w:rPr>
        <w:t>2</w:t>
      </w:r>
      <w:r>
        <w:rPr>
          <w:rFonts w:ascii="Arial" w:eastAsia="Arial" w:hAnsi="Arial" w:cs="Arial"/>
          <w:sz w:val="20"/>
          <w:szCs w:val="20"/>
        </w:rPr>
        <w:t xml:space="preserve"> and were washed with supplemented DPBS, then fixed with 4 % paraformaldehyde in PBS and embedded in mounting medium (ibidi®). Slides were analyzed by confocal fluorescence microscopy using a Zeiss LSM 710 and processed using IMARIS image visualization and analysis software, Oxford instruments.</w:t>
      </w:r>
    </w:p>
    <w:p w14:paraId="5A2B3D7D" w14:textId="77777777" w:rsidR="0040281B" w:rsidRDefault="0040281B">
      <w:pPr>
        <w:spacing w:line="480" w:lineRule="auto"/>
        <w:jc w:val="both"/>
        <w:rPr>
          <w:rFonts w:ascii="Arial" w:eastAsia="Arial" w:hAnsi="Arial" w:cs="Arial"/>
          <w:sz w:val="20"/>
          <w:szCs w:val="20"/>
        </w:rPr>
      </w:pPr>
    </w:p>
    <w:p w14:paraId="47E2DAF2"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For SDS-PAGE, platelets were isolated as described and treated with ADP. 50 µg/ml pCRP with or without C10M (molar ratio as described above) and C10M alone were added to the platelets, with one sample untreated (control). After 15 min all platelet samples were washed in supplemented DPBS 3 times at 2000 </w:t>
      </w:r>
      <w:r>
        <w:rPr>
          <w:rFonts w:ascii="Arial" w:eastAsia="Arial" w:hAnsi="Arial" w:cs="Arial"/>
          <w:i/>
          <w:sz w:val="20"/>
          <w:szCs w:val="20"/>
        </w:rPr>
        <w:t>x g</w:t>
      </w:r>
      <w:r>
        <w:rPr>
          <w:rFonts w:ascii="Arial" w:eastAsia="Arial" w:hAnsi="Arial" w:cs="Arial"/>
          <w:sz w:val="20"/>
          <w:szCs w:val="20"/>
        </w:rPr>
        <w:t xml:space="preserve"> for 10 min with brakes at room temperature. Samples were then treated as described hereafter and analyzed by densitometric quantification of the protein bands in Western blots (n = 3) using ImageJ </w:t>
      </w:r>
      <w:r>
        <w:rPr>
          <w:rFonts w:ascii="Arial" w:eastAsia="Arial" w:hAnsi="Arial" w:cs="Arial"/>
          <w:sz w:val="20"/>
          <w:szCs w:val="20"/>
          <w:vertAlign w:val="superscript"/>
        </w:rPr>
        <w:t>24</w:t>
      </w:r>
      <w:r>
        <w:rPr>
          <w:rFonts w:ascii="Arial" w:eastAsia="Arial" w:hAnsi="Arial" w:cs="Arial"/>
          <w:sz w:val="20"/>
          <w:szCs w:val="20"/>
        </w:rPr>
        <w:t>.</w:t>
      </w:r>
    </w:p>
    <w:p w14:paraId="64F65D63" w14:textId="77777777" w:rsidR="0040281B" w:rsidRDefault="0040281B">
      <w:pPr>
        <w:spacing w:line="480" w:lineRule="auto"/>
        <w:jc w:val="both"/>
        <w:rPr>
          <w:rFonts w:ascii="Arial" w:eastAsia="Arial" w:hAnsi="Arial" w:cs="Arial"/>
          <w:sz w:val="20"/>
          <w:szCs w:val="20"/>
        </w:rPr>
      </w:pPr>
    </w:p>
    <w:p w14:paraId="5A69993F" w14:textId="77777777"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HUVEC cell interaction with platelet-bound CRP</w:t>
      </w:r>
    </w:p>
    <w:p w14:paraId="2028F083" w14:textId="77777777" w:rsidR="0040281B" w:rsidRDefault="00867BEC">
      <w:pPr>
        <w:pBdr>
          <w:top w:val="nil"/>
          <w:left w:val="nil"/>
          <w:bottom w:val="nil"/>
          <w:right w:val="nil"/>
          <w:between w:val="nil"/>
        </w:pBdr>
        <w:tabs>
          <w:tab w:val="left" w:pos="260"/>
        </w:tabs>
        <w:spacing w:line="480" w:lineRule="auto"/>
        <w:jc w:val="both"/>
        <w:rPr>
          <w:rFonts w:ascii="Arial" w:eastAsia="Arial" w:hAnsi="Arial" w:cs="Arial"/>
          <w:color w:val="000000"/>
          <w:sz w:val="20"/>
          <w:szCs w:val="20"/>
        </w:rPr>
      </w:pPr>
      <w:r>
        <w:rPr>
          <w:rFonts w:ascii="Arial" w:eastAsia="Arial" w:hAnsi="Arial" w:cs="Arial"/>
          <w:color w:val="000000"/>
          <w:sz w:val="20"/>
          <w:szCs w:val="20"/>
        </w:rPr>
        <w:t xml:space="preserve">Activated platelets transform pCRP into pCRP* and mCRP </w:t>
      </w:r>
      <w:r>
        <w:rPr>
          <w:rFonts w:ascii="Arial" w:eastAsia="Arial" w:hAnsi="Arial" w:cs="Arial"/>
          <w:color w:val="000000"/>
          <w:sz w:val="20"/>
          <w:szCs w:val="20"/>
          <w:vertAlign w:val="superscript"/>
        </w:rPr>
        <w:t>1</w:t>
      </w:r>
      <w:r>
        <w:rPr>
          <w:rFonts w:ascii="Arial" w:eastAsia="Arial" w:hAnsi="Arial" w:cs="Arial"/>
          <w:color w:val="000000"/>
          <w:sz w:val="20"/>
          <w:szCs w:val="20"/>
        </w:rPr>
        <w:t>, resulting in pro-inflammatory properties. Hence, the inhibitory compound C10M was tested in a static assay using activated platelets on endothelial cells. Cryopreserved human umbilical vein endothelial cells (HUVEC) were purchased from PromoCell, Heidelberg, Germany. Cells were handled as described by the distributor with minor modifications. For subsequent experiments, no cell passages higher than passage 5 were used.</w:t>
      </w:r>
      <w:r>
        <w:rPr>
          <w:rFonts w:ascii="Arial" w:eastAsia="Arial" w:hAnsi="Arial" w:cs="Arial"/>
          <w:b/>
          <w:color w:val="000000"/>
          <w:sz w:val="20"/>
          <w:szCs w:val="20"/>
        </w:rPr>
        <w:t xml:space="preserve"> </w:t>
      </w:r>
      <w:r>
        <w:rPr>
          <w:rFonts w:ascii="Arial" w:eastAsia="Arial" w:hAnsi="Arial" w:cs="Arial"/>
          <w:color w:val="000000"/>
          <w:sz w:val="20"/>
          <w:szCs w:val="20"/>
        </w:rPr>
        <w:t>In brief, cells were thawed, transferred to 15 ml Falcon tubes and washed in DPBS (centrifugation step 200 </w:t>
      </w:r>
      <w:r>
        <w:rPr>
          <w:rFonts w:ascii="Arial" w:eastAsia="Arial" w:hAnsi="Arial" w:cs="Arial"/>
          <w:i/>
          <w:color w:val="000000"/>
          <w:sz w:val="20"/>
          <w:szCs w:val="20"/>
        </w:rPr>
        <w:t>x g</w:t>
      </w:r>
      <w:r>
        <w:rPr>
          <w:rFonts w:ascii="Arial" w:eastAsia="Arial" w:hAnsi="Arial" w:cs="Arial"/>
          <w:color w:val="000000"/>
          <w:sz w:val="20"/>
          <w:szCs w:val="20"/>
        </w:rPr>
        <w:t xml:space="preserve">, </w:t>
      </w:r>
      <w:r>
        <w:rPr>
          <w:rFonts w:ascii="Arial" w:eastAsia="Arial" w:hAnsi="Arial" w:cs="Arial"/>
          <w:color w:val="000000"/>
          <w:sz w:val="20"/>
          <w:szCs w:val="20"/>
        </w:rPr>
        <w:lastRenderedPageBreak/>
        <w:t>4° C, 5 min) to remove DMSO from cryopreservation. The cell pellet was resuspended in supplemented Endothelial Cell Basal Medium (ECGM, SupplementMix by PromoCell, 10 % FCS, 50 U/ml penicillin and 50 µg/ml streptomycin), counted and transferred to T-75 cell culture flasks. HUVECs were incubated at 37 °C, 5 % CO</w:t>
      </w:r>
      <w:r>
        <w:rPr>
          <w:rFonts w:ascii="Arial" w:eastAsia="Arial" w:hAnsi="Arial" w:cs="Arial"/>
          <w:color w:val="000000"/>
          <w:sz w:val="20"/>
          <w:szCs w:val="20"/>
          <w:vertAlign w:val="subscript"/>
        </w:rPr>
        <w:t>2</w:t>
      </w:r>
      <w:r>
        <w:rPr>
          <w:rFonts w:ascii="Arial" w:eastAsia="Arial" w:hAnsi="Arial" w:cs="Arial"/>
          <w:color w:val="000000"/>
          <w:sz w:val="20"/>
          <w:szCs w:val="20"/>
        </w:rPr>
        <w:t xml:space="preserve"> and ECGM was replaced every two to three days. Upon 70–90 % confluency, cells were split and transferred to appropriate plates for further analysis. </w:t>
      </w:r>
    </w:p>
    <w:p w14:paraId="5D9F9746" w14:textId="77777777" w:rsidR="0040281B" w:rsidRDefault="0040281B">
      <w:pPr>
        <w:pBdr>
          <w:top w:val="nil"/>
          <w:left w:val="nil"/>
          <w:bottom w:val="nil"/>
          <w:right w:val="nil"/>
          <w:between w:val="nil"/>
        </w:pBdr>
        <w:tabs>
          <w:tab w:val="left" w:pos="260"/>
        </w:tabs>
        <w:spacing w:line="480" w:lineRule="auto"/>
        <w:jc w:val="both"/>
        <w:rPr>
          <w:rFonts w:ascii="Arial" w:eastAsia="Arial" w:hAnsi="Arial" w:cs="Arial"/>
          <w:color w:val="000000"/>
          <w:sz w:val="20"/>
          <w:szCs w:val="20"/>
        </w:rPr>
      </w:pPr>
    </w:p>
    <w:p w14:paraId="4E7B2F6C"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For analysis of ICAM-1 and VCAM-1 expression analysis by flow cytometry, confluent HUVECs in 6-well plates were serum-starved for 4 hours and then incubated with 50 µg/ml pCRP with or without C10M and ADP-activated platelets in 20 % normal human serum in ECGM for 6 hours as described previously </w:t>
      </w:r>
      <w:r>
        <w:rPr>
          <w:rFonts w:ascii="Arial" w:eastAsia="Arial" w:hAnsi="Arial" w:cs="Arial"/>
          <w:sz w:val="20"/>
          <w:szCs w:val="20"/>
          <w:vertAlign w:val="superscript"/>
        </w:rPr>
        <w:t>2</w:t>
      </w:r>
      <w:r>
        <w:rPr>
          <w:rFonts w:ascii="Arial" w:eastAsia="Arial" w:hAnsi="Arial" w:cs="Arial"/>
          <w:sz w:val="20"/>
          <w:szCs w:val="20"/>
        </w:rPr>
        <w:t>. Cells were detached with trypsin-EDTA solution (1:10 0.5 % trypsin-EDTA, Thermo Fisher), washed in 50 % fetal calf serum in DPBS and pelleted at 300 </w:t>
      </w:r>
      <w:r>
        <w:rPr>
          <w:rFonts w:ascii="Arial" w:eastAsia="Arial" w:hAnsi="Arial" w:cs="Arial"/>
          <w:i/>
          <w:sz w:val="20"/>
          <w:szCs w:val="20"/>
        </w:rPr>
        <w:t>x g</w:t>
      </w:r>
      <w:r>
        <w:rPr>
          <w:rFonts w:ascii="Arial" w:eastAsia="Arial" w:hAnsi="Arial" w:cs="Arial"/>
          <w:sz w:val="20"/>
          <w:szCs w:val="20"/>
        </w:rPr>
        <w:t>, 4 °C for 5 min. The supernatant was discarded, and the cells were resuspended in FACS buffer and stained with anti-CD54-PE and anti-CD106-APC antibody on ice for 20 min. Cells were then washed again and fixed with 4 % PFA in DPBS and analyzed by flow cytometry within 2 hours.</w:t>
      </w:r>
    </w:p>
    <w:p w14:paraId="66D717A7" w14:textId="77777777" w:rsidR="0040281B" w:rsidRDefault="0040281B">
      <w:pPr>
        <w:spacing w:line="480" w:lineRule="auto"/>
        <w:jc w:val="both"/>
        <w:rPr>
          <w:rFonts w:ascii="Arial" w:eastAsia="Arial" w:hAnsi="Arial" w:cs="Arial"/>
          <w:sz w:val="20"/>
          <w:szCs w:val="20"/>
        </w:rPr>
      </w:pPr>
    </w:p>
    <w:p w14:paraId="64B33E34" w14:textId="77777777" w:rsidR="0040281B" w:rsidRDefault="00867BEC">
      <w:pPr>
        <w:pBdr>
          <w:top w:val="nil"/>
          <w:left w:val="nil"/>
          <w:bottom w:val="nil"/>
          <w:right w:val="nil"/>
          <w:between w:val="nil"/>
        </w:pBdr>
        <w:tabs>
          <w:tab w:val="left" w:pos="260"/>
        </w:tabs>
        <w:spacing w:line="480" w:lineRule="auto"/>
        <w:jc w:val="both"/>
        <w:rPr>
          <w:rFonts w:ascii="Arial" w:eastAsia="Arial" w:hAnsi="Arial" w:cs="Arial"/>
          <w:color w:val="000000"/>
          <w:sz w:val="20"/>
          <w:szCs w:val="20"/>
        </w:rPr>
      </w:pPr>
      <w:r>
        <w:rPr>
          <w:rFonts w:ascii="Arial" w:eastAsia="Arial" w:hAnsi="Arial" w:cs="Arial"/>
          <w:color w:val="000000"/>
          <w:sz w:val="20"/>
          <w:szCs w:val="20"/>
        </w:rPr>
        <w:t>For analysis by confocal immunofluorescence microscopy, HUVEC mono cell layers were cultured in µ-slides till confluent “cobblestone” appearance. Platelets were isolated from sodium-citrate whole blood as described above. Pelleted platelets were resuspended in sequestrene buffer and stained with anti-CD62P-FITC antibody (1:50) for 15 min at room temperature. Subsequently, calcium was supplemented by adding 22 mM CaCl</w:t>
      </w:r>
      <w:r>
        <w:rPr>
          <w:rFonts w:ascii="Arial" w:eastAsia="Arial" w:hAnsi="Arial" w:cs="Arial"/>
          <w:color w:val="000000"/>
          <w:sz w:val="20"/>
          <w:szCs w:val="20"/>
          <w:vertAlign w:val="subscript"/>
        </w:rPr>
        <w:t>2</w:t>
      </w:r>
      <w:r>
        <w:rPr>
          <w:rFonts w:ascii="Arial" w:eastAsia="Arial" w:hAnsi="Arial" w:cs="Arial"/>
          <w:color w:val="000000"/>
          <w:sz w:val="20"/>
          <w:szCs w:val="20"/>
        </w:rPr>
        <w:t>. Platelet activation was induced by 20 µM ADP and confirmed by P-selectin expression in flow cytometry (Suppl. Fig. 3). Stained platelets were washed, counted and resuspended in HEPES medium, supplemented with CaCl</w:t>
      </w:r>
      <w:r>
        <w:rPr>
          <w:rFonts w:ascii="Arial" w:eastAsia="Arial" w:hAnsi="Arial" w:cs="Arial"/>
          <w:color w:val="000000"/>
          <w:sz w:val="20"/>
          <w:szCs w:val="20"/>
          <w:vertAlign w:val="subscript"/>
        </w:rPr>
        <w:t>2</w:t>
      </w:r>
      <w:r>
        <w:rPr>
          <w:rFonts w:ascii="Arial" w:eastAsia="Arial" w:hAnsi="Arial" w:cs="Arial"/>
          <w:color w:val="000000"/>
          <w:sz w:val="20"/>
          <w:szCs w:val="20"/>
        </w:rPr>
        <w:t>. 100 µl of the solution was incubated with 50 µg/ml pCRP-Atto 594 with or without C10M (1:100 molar ratio, pCRP to C10M) for 15 min at 37 °C, 5 % CO</w:t>
      </w:r>
      <w:r>
        <w:rPr>
          <w:rFonts w:ascii="Arial" w:eastAsia="Arial" w:hAnsi="Arial" w:cs="Arial"/>
          <w:color w:val="000000"/>
          <w:sz w:val="20"/>
          <w:szCs w:val="20"/>
          <w:vertAlign w:val="subscript"/>
        </w:rPr>
        <w:t>2</w:t>
      </w:r>
      <w:r>
        <w:rPr>
          <w:rFonts w:ascii="Arial" w:eastAsia="Arial" w:hAnsi="Arial" w:cs="Arial"/>
          <w:color w:val="000000"/>
          <w:sz w:val="20"/>
          <w:szCs w:val="20"/>
        </w:rPr>
        <w:t>. Confluent monolayers of first to third passage were used for experiments. Anti-CD62P-FITC antibody was used to detect platelets and pCRP-Atto 594 was used to detect pCRP depositions. Platelet solutions were subsequently added to HUVEC monolayers and incubated for 30 min at 37 °C, 5 % CO</w:t>
      </w:r>
      <w:r>
        <w:rPr>
          <w:rFonts w:ascii="Arial" w:eastAsia="Arial" w:hAnsi="Arial" w:cs="Arial"/>
          <w:color w:val="000000"/>
          <w:sz w:val="20"/>
          <w:szCs w:val="20"/>
          <w:vertAlign w:val="subscript"/>
        </w:rPr>
        <w:t>2</w:t>
      </w:r>
      <w:r>
        <w:rPr>
          <w:rFonts w:ascii="Arial" w:eastAsia="Arial" w:hAnsi="Arial" w:cs="Arial"/>
          <w:color w:val="000000"/>
          <w:sz w:val="20"/>
          <w:szCs w:val="20"/>
        </w:rPr>
        <w:t xml:space="preserve">, then monolayers were washed with DPBS supplemented with calcium and fixed in 4 % PFA in DPBS for 5 min. HUVEC nuclei were counterstained with DAPI in the mounting medium. Image acquisition was performed by confocal immunofluorescence microscopy (Zeiss LSM 710) and processed with IMARIS, Oxford Instruments. Magnification of the objective was x20 and x63 oil, respectively, with </w:t>
      </w:r>
      <w:r>
        <w:rPr>
          <w:rFonts w:ascii="Arial" w:eastAsia="Arial" w:hAnsi="Arial" w:cs="Arial"/>
          <w:color w:val="000000"/>
          <w:sz w:val="20"/>
          <w:szCs w:val="20"/>
        </w:rPr>
        <w:lastRenderedPageBreak/>
        <w:t xml:space="preserve">pinhole diameter of 1 airy unit. DAPI was excited at 405 nm, fluorescein complex at 488 nm, and Atto 594 at 561 nm. </w:t>
      </w:r>
    </w:p>
    <w:p w14:paraId="4B66373E" w14:textId="77777777" w:rsidR="0040281B" w:rsidRDefault="0040281B">
      <w:pPr>
        <w:pBdr>
          <w:top w:val="nil"/>
          <w:left w:val="nil"/>
          <w:bottom w:val="nil"/>
          <w:right w:val="nil"/>
          <w:between w:val="nil"/>
        </w:pBdr>
        <w:tabs>
          <w:tab w:val="left" w:pos="260"/>
        </w:tabs>
        <w:spacing w:line="480" w:lineRule="auto"/>
        <w:jc w:val="both"/>
        <w:rPr>
          <w:rFonts w:ascii="Arial" w:eastAsia="Arial" w:hAnsi="Arial" w:cs="Arial"/>
          <w:color w:val="000000"/>
          <w:sz w:val="20"/>
          <w:szCs w:val="20"/>
        </w:rPr>
      </w:pPr>
    </w:p>
    <w:p w14:paraId="2B622402" w14:textId="77777777" w:rsidR="0040281B" w:rsidRDefault="00867BEC">
      <w:pPr>
        <w:spacing w:line="480" w:lineRule="auto"/>
        <w:jc w:val="both"/>
        <w:rPr>
          <w:rFonts w:ascii="Arial" w:eastAsia="Arial" w:hAnsi="Arial" w:cs="Arial"/>
          <w:b/>
          <w:sz w:val="20"/>
          <w:szCs w:val="20"/>
        </w:rPr>
      </w:pPr>
      <w:r>
        <w:rPr>
          <w:rFonts w:ascii="Arial" w:eastAsia="Arial" w:hAnsi="Arial" w:cs="Arial"/>
          <w:b/>
          <w:sz w:val="20"/>
          <w:szCs w:val="20"/>
        </w:rPr>
        <w:t>Microvesicle isolation and testing on HUVEC by flow cytometry and confocal fluorescence microscopy</w:t>
      </w:r>
    </w:p>
    <w:p w14:paraId="6F0C3C70"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The THP-1 cell line (DKMZ, Braunschweig, Germany) was used for the generation of microvesicles according to a previously published protocol with the following minor modifications </w:t>
      </w:r>
      <w:r>
        <w:rPr>
          <w:rFonts w:ascii="Arial" w:eastAsia="Arial" w:hAnsi="Arial" w:cs="Arial"/>
          <w:sz w:val="20"/>
          <w:szCs w:val="20"/>
          <w:vertAlign w:val="superscript"/>
        </w:rPr>
        <w:t>1</w:t>
      </w:r>
      <w:r>
        <w:rPr>
          <w:rFonts w:ascii="Arial" w:eastAsia="Arial" w:hAnsi="Arial" w:cs="Arial"/>
          <w:sz w:val="20"/>
          <w:szCs w:val="20"/>
        </w:rPr>
        <w:t>.  THP-1 cells were treated with 10 µg/ml LPS (</w:t>
      </w:r>
      <w:r>
        <w:rPr>
          <w:rFonts w:ascii="Arial" w:eastAsia="Arial" w:hAnsi="Arial" w:cs="Arial"/>
          <w:i/>
          <w:sz w:val="20"/>
          <w:szCs w:val="20"/>
        </w:rPr>
        <w:t>E. coli</w:t>
      </w:r>
      <w:r>
        <w:rPr>
          <w:rFonts w:ascii="Arial" w:eastAsia="Arial" w:hAnsi="Arial" w:cs="Arial"/>
          <w:sz w:val="20"/>
          <w:szCs w:val="20"/>
        </w:rPr>
        <w:t xml:space="preserve"> serotype O127:B8, Sigma-Aldrich, St. Louis, MO) for 4 hours in filtered RPMI 1640, 10 % FCS. A subsequent differential centrifugation of the cell suspension was conducted: the cell suspension was centrifuged for 15 min at 500 </w:t>
      </w:r>
      <w:r>
        <w:rPr>
          <w:rFonts w:ascii="Arial" w:eastAsia="Arial" w:hAnsi="Arial" w:cs="Arial"/>
          <w:i/>
          <w:sz w:val="20"/>
          <w:szCs w:val="20"/>
        </w:rPr>
        <w:t>x g</w:t>
      </w:r>
      <w:r>
        <w:rPr>
          <w:rFonts w:ascii="Arial" w:eastAsia="Arial" w:hAnsi="Arial" w:cs="Arial"/>
          <w:sz w:val="20"/>
          <w:szCs w:val="20"/>
        </w:rPr>
        <w:t xml:space="preserve"> and room temperature. The cell pellet was discarded and the supernatant containing the microvesicles transferred and centrifuged for 15 min at 1500 </w:t>
      </w:r>
      <w:r>
        <w:rPr>
          <w:rFonts w:ascii="Arial" w:eastAsia="Arial" w:hAnsi="Arial" w:cs="Arial"/>
          <w:i/>
          <w:sz w:val="20"/>
          <w:szCs w:val="20"/>
        </w:rPr>
        <w:t>x g</w:t>
      </w:r>
      <w:r>
        <w:rPr>
          <w:rFonts w:ascii="Arial" w:eastAsia="Arial" w:hAnsi="Arial" w:cs="Arial"/>
          <w:sz w:val="20"/>
          <w:szCs w:val="20"/>
        </w:rPr>
        <w:t xml:space="preserve"> to pellet cellular debris. The supernatant containing microvesicles was collected again and subsequently centrifuged at 20,000 </w:t>
      </w:r>
      <w:r>
        <w:rPr>
          <w:rFonts w:ascii="Arial" w:eastAsia="Arial" w:hAnsi="Arial" w:cs="Arial"/>
          <w:i/>
          <w:sz w:val="20"/>
          <w:szCs w:val="20"/>
        </w:rPr>
        <w:t>x g</w:t>
      </w:r>
      <w:r>
        <w:rPr>
          <w:rFonts w:ascii="Arial" w:eastAsia="Arial" w:hAnsi="Arial" w:cs="Arial"/>
          <w:sz w:val="20"/>
          <w:szCs w:val="20"/>
        </w:rPr>
        <w:t xml:space="preserve"> for 40 min at 4 °C to pellet the microvesicles. The supernatant was discarded and the designated microvesicle pellet was resuspended in cold PBS supplemented with 0.9 mM CaCl</w:t>
      </w:r>
      <w:r>
        <w:rPr>
          <w:rFonts w:ascii="Arial" w:eastAsia="Arial" w:hAnsi="Arial" w:cs="Arial"/>
          <w:sz w:val="20"/>
          <w:szCs w:val="20"/>
          <w:vertAlign w:val="subscript"/>
        </w:rPr>
        <w:t>2</w:t>
      </w:r>
      <w:r>
        <w:rPr>
          <w:rFonts w:ascii="Arial" w:eastAsia="Arial" w:hAnsi="Arial" w:cs="Arial"/>
          <w:sz w:val="20"/>
          <w:szCs w:val="20"/>
        </w:rPr>
        <w:t xml:space="preserve"> and 0.49 mM MgCl</w:t>
      </w:r>
      <w:r>
        <w:rPr>
          <w:rFonts w:ascii="Arial" w:eastAsia="Arial" w:hAnsi="Arial" w:cs="Arial"/>
          <w:sz w:val="20"/>
          <w:szCs w:val="20"/>
          <w:vertAlign w:val="subscript"/>
        </w:rPr>
        <w:t>2</w:t>
      </w:r>
      <w:r>
        <w:rPr>
          <w:rFonts w:ascii="Arial" w:eastAsia="Arial" w:hAnsi="Arial" w:cs="Arial"/>
          <w:sz w:val="20"/>
          <w:szCs w:val="20"/>
        </w:rPr>
        <w:t xml:space="preserve"> and washed twice at 20,000 </w:t>
      </w:r>
      <w:r>
        <w:rPr>
          <w:rFonts w:ascii="Arial" w:eastAsia="Arial" w:hAnsi="Arial" w:cs="Arial"/>
          <w:i/>
          <w:sz w:val="20"/>
          <w:szCs w:val="20"/>
        </w:rPr>
        <w:t>x g</w:t>
      </w:r>
      <w:r>
        <w:rPr>
          <w:rFonts w:ascii="Arial" w:eastAsia="Arial" w:hAnsi="Arial" w:cs="Arial"/>
          <w:sz w:val="20"/>
          <w:szCs w:val="20"/>
        </w:rPr>
        <w:t xml:space="preserve"> and 4 °C. The total protein concentration was determined using a benchtop fluorometer (Qubit® 3.0 Fluorometer, Invitrogen™ by life technologies™, Carlsbad, CA, USA) and stored until usage at -80 °C. </w:t>
      </w:r>
    </w:p>
    <w:p w14:paraId="43777B1D" w14:textId="77777777" w:rsidR="0040281B" w:rsidRDefault="0040281B">
      <w:pPr>
        <w:spacing w:line="480" w:lineRule="auto"/>
        <w:jc w:val="both"/>
        <w:rPr>
          <w:rFonts w:ascii="Arial" w:eastAsia="Arial" w:hAnsi="Arial" w:cs="Arial"/>
          <w:sz w:val="20"/>
          <w:szCs w:val="20"/>
        </w:rPr>
      </w:pPr>
    </w:p>
    <w:p w14:paraId="59BAED10"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HUVEC cells were treated as described above. For confocal fluorescence microscopy, </w:t>
      </w:r>
      <w:r>
        <w:rPr>
          <w:rFonts w:ascii="Arial" w:eastAsia="Arial" w:hAnsi="Arial" w:cs="Arial"/>
          <w:color w:val="222222"/>
          <w:sz w:val="20"/>
          <w:szCs w:val="20"/>
          <w:highlight w:val="white"/>
        </w:rPr>
        <w:t>THP-1 cells were labeled with CMFDA (Life Technologies) according to the manufacturer’s instructions before microvesicle release and purification. CMFDA-labeled microvesicles were treated as described above.</w:t>
      </w:r>
    </w:p>
    <w:p w14:paraId="73255D5F" w14:textId="77777777" w:rsidR="0040281B" w:rsidRDefault="00867BEC">
      <w:pPr>
        <w:spacing w:line="480" w:lineRule="auto"/>
        <w:jc w:val="both"/>
        <w:rPr>
          <w:rFonts w:ascii="Arial" w:eastAsia="Arial" w:hAnsi="Arial" w:cs="Arial"/>
          <w:sz w:val="20"/>
          <w:szCs w:val="20"/>
        </w:rPr>
      </w:pPr>
      <w:r>
        <w:rPr>
          <w:rFonts w:ascii="Arial" w:eastAsia="Arial" w:hAnsi="Arial" w:cs="Arial"/>
          <w:color w:val="222222"/>
          <w:sz w:val="20"/>
          <w:szCs w:val="20"/>
          <w:highlight w:val="white"/>
        </w:rPr>
        <w:t>Confluent HUVECs were then serum-starved for 4 hours and then incubated with microvesicles (25 μg/ml of total protein), pCRP (50 μg/ml), pCRP + C10M (1:100 molar ratio, pCRP to C10M) for 6 hours at 37 °C and processed as described above.</w:t>
      </w:r>
    </w:p>
    <w:p w14:paraId="7B7BE830" w14:textId="77777777" w:rsidR="0040281B" w:rsidRDefault="0040281B">
      <w:pPr>
        <w:spacing w:line="480" w:lineRule="auto"/>
        <w:jc w:val="both"/>
        <w:rPr>
          <w:rFonts w:ascii="Arial" w:eastAsia="Arial" w:hAnsi="Arial" w:cs="Arial"/>
          <w:b/>
          <w:sz w:val="20"/>
          <w:szCs w:val="20"/>
        </w:rPr>
      </w:pPr>
    </w:p>
    <w:p w14:paraId="5B87822E" w14:textId="77777777" w:rsidR="0040281B" w:rsidRDefault="00867BEC">
      <w:pPr>
        <w:spacing w:line="480" w:lineRule="auto"/>
        <w:jc w:val="both"/>
        <w:rPr>
          <w:rFonts w:ascii="Arial" w:eastAsia="Arial" w:hAnsi="Arial" w:cs="Arial"/>
          <w:b/>
          <w:sz w:val="20"/>
          <w:szCs w:val="20"/>
        </w:rPr>
      </w:pPr>
      <w:proofErr w:type="gramStart"/>
      <w:r>
        <w:rPr>
          <w:rFonts w:ascii="Arial" w:eastAsia="Arial" w:hAnsi="Arial" w:cs="Arial"/>
          <w:b/>
          <w:sz w:val="20"/>
          <w:szCs w:val="20"/>
        </w:rPr>
        <w:t>Animals</w:t>
      </w:r>
      <w:proofErr w:type="gramEnd"/>
      <w:r>
        <w:rPr>
          <w:rFonts w:ascii="Arial" w:eastAsia="Arial" w:hAnsi="Arial" w:cs="Arial"/>
          <w:b/>
          <w:sz w:val="20"/>
          <w:szCs w:val="20"/>
        </w:rPr>
        <w:t xml:space="preserve"> ethics</w:t>
      </w:r>
    </w:p>
    <w:p w14:paraId="789A0B94" w14:textId="77777777" w:rsidR="0040281B" w:rsidRDefault="00867BEC">
      <w:pPr>
        <w:spacing w:line="480" w:lineRule="auto"/>
        <w:jc w:val="both"/>
        <w:rPr>
          <w:rFonts w:ascii="Arial" w:eastAsia="Arial" w:hAnsi="Arial" w:cs="Arial"/>
          <w:sz w:val="20"/>
          <w:szCs w:val="20"/>
        </w:rPr>
      </w:pPr>
      <w:r>
        <w:rPr>
          <w:rFonts w:ascii="Arial" w:eastAsia="Arial" w:hAnsi="Arial" w:cs="Arial"/>
          <w:sz w:val="20"/>
          <w:szCs w:val="20"/>
        </w:rPr>
        <w:t xml:space="preserve">The hereafter described experiments were carried out accordingly to the recommendations of the animal ethics committee of the University of Freiburg Medical Center, Germany. The protocols were approved by the animal ethics committee of the University of Freiburg Medical Center, Germany (TVA: G13/106 and G16/53). Animals were cared for by the professional animal keepers of the Center for Experimental Models and Transgenic Service (CEMT), University of Freiburg Medical Center, Germany. Rats were </w:t>
      </w:r>
      <w:r>
        <w:rPr>
          <w:rFonts w:ascii="Arial" w:eastAsia="Arial" w:hAnsi="Arial" w:cs="Arial"/>
          <w:sz w:val="20"/>
          <w:szCs w:val="20"/>
        </w:rPr>
        <w:lastRenderedPageBreak/>
        <w:t xml:space="preserve">housed in light-controlled rooms with a </w:t>
      </w:r>
      <w:proofErr w:type="gramStart"/>
      <w:r>
        <w:rPr>
          <w:rFonts w:ascii="Arial" w:eastAsia="Arial" w:hAnsi="Arial" w:cs="Arial"/>
          <w:sz w:val="20"/>
          <w:szCs w:val="20"/>
        </w:rPr>
        <w:t>twelve hour</w:t>
      </w:r>
      <w:proofErr w:type="gramEnd"/>
      <w:r>
        <w:rPr>
          <w:rFonts w:ascii="Arial" w:eastAsia="Arial" w:hAnsi="Arial" w:cs="Arial"/>
          <w:sz w:val="20"/>
          <w:szCs w:val="20"/>
        </w:rPr>
        <w:t xml:space="preserve"> day/night cycle at 24°C. Food and water were accessible </w:t>
      </w:r>
      <w:r>
        <w:rPr>
          <w:rFonts w:ascii="Arial" w:eastAsia="Arial" w:hAnsi="Arial" w:cs="Arial"/>
          <w:i/>
          <w:sz w:val="20"/>
          <w:szCs w:val="20"/>
        </w:rPr>
        <w:t>ad libitum</w:t>
      </w:r>
      <w:r>
        <w:rPr>
          <w:rFonts w:ascii="Arial" w:eastAsia="Arial" w:hAnsi="Arial" w:cs="Arial"/>
          <w:sz w:val="20"/>
          <w:szCs w:val="20"/>
        </w:rPr>
        <w:t>. Prior to all surgical procedures, the rats were kept in species appropriate animal husbandry. Male Wistar, Brown-Norway and Lewis rats were purchased from Charles River Research Models and Services, Sulzfeld, Germany.</w:t>
      </w:r>
    </w:p>
    <w:p w14:paraId="48BB2A0C" w14:textId="77777777" w:rsidR="0040281B" w:rsidRDefault="0040281B">
      <w:pPr>
        <w:spacing w:line="480" w:lineRule="auto"/>
        <w:jc w:val="both"/>
        <w:rPr>
          <w:rFonts w:ascii="Arial" w:eastAsia="Arial" w:hAnsi="Arial" w:cs="Arial"/>
          <w:sz w:val="20"/>
          <w:szCs w:val="20"/>
        </w:rPr>
      </w:pPr>
    </w:p>
    <w:p w14:paraId="4F48DCCF" w14:textId="77777777" w:rsidR="0040281B" w:rsidRDefault="00867BEC">
      <w:pPr>
        <w:rPr>
          <w:rFonts w:ascii="Arial" w:eastAsia="Arial" w:hAnsi="Arial" w:cs="Arial"/>
          <w:b/>
        </w:rPr>
      </w:pPr>
      <w:r>
        <w:br w:type="page"/>
      </w:r>
    </w:p>
    <w:p w14:paraId="394BD1DC" w14:textId="77777777" w:rsidR="0040281B" w:rsidRDefault="00867BEC">
      <w:pPr>
        <w:pBdr>
          <w:top w:val="nil"/>
          <w:left w:val="nil"/>
          <w:bottom w:val="nil"/>
          <w:right w:val="nil"/>
          <w:between w:val="nil"/>
        </w:pBdr>
        <w:shd w:val="clear" w:color="auto" w:fill="FFFFFF"/>
        <w:spacing w:line="480" w:lineRule="auto"/>
        <w:jc w:val="both"/>
        <w:rPr>
          <w:rFonts w:ascii="Arial" w:eastAsia="Arial" w:hAnsi="Arial" w:cs="Arial"/>
          <w:b/>
          <w:color w:val="000000"/>
        </w:rPr>
      </w:pPr>
      <w:r>
        <w:rPr>
          <w:rFonts w:ascii="Arial" w:eastAsia="Arial" w:hAnsi="Arial" w:cs="Arial"/>
          <w:b/>
          <w:color w:val="000000"/>
        </w:rPr>
        <w:lastRenderedPageBreak/>
        <w:t>Supplementary Tables</w:t>
      </w:r>
    </w:p>
    <w:p w14:paraId="2CBEA48A" w14:textId="77777777" w:rsidR="0040281B" w:rsidRDefault="00867BEC">
      <w:pPr>
        <w:spacing w:line="480" w:lineRule="auto"/>
        <w:ind w:right="-52"/>
        <w:jc w:val="both"/>
        <w:rPr>
          <w:rFonts w:ascii="Arial" w:eastAsia="Arial" w:hAnsi="Arial" w:cs="Arial"/>
          <w:b/>
          <w:sz w:val="20"/>
          <w:szCs w:val="20"/>
        </w:rPr>
      </w:pPr>
      <w:r>
        <w:rPr>
          <w:rFonts w:ascii="Arial" w:eastAsia="Arial" w:hAnsi="Arial" w:cs="Arial"/>
          <w:b/>
          <w:sz w:val="20"/>
          <w:szCs w:val="20"/>
        </w:rPr>
        <w:t xml:space="preserve">Table S1. Interactions of C10M and PC with pCRP. </w:t>
      </w:r>
    </w:p>
    <w:p w14:paraId="28BAFDC7" w14:textId="77777777" w:rsidR="0040281B" w:rsidRDefault="00867BEC">
      <w:pPr>
        <w:spacing w:line="480" w:lineRule="auto"/>
        <w:ind w:right="-52"/>
        <w:jc w:val="both"/>
        <w:rPr>
          <w:rFonts w:ascii="Arial" w:eastAsia="Arial" w:hAnsi="Arial" w:cs="Arial"/>
          <w:sz w:val="20"/>
          <w:szCs w:val="20"/>
        </w:rPr>
      </w:pPr>
      <w:r>
        <w:rPr>
          <w:rFonts w:ascii="Arial" w:eastAsia="Arial" w:hAnsi="Arial" w:cs="Arial"/>
          <w:sz w:val="20"/>
          <w:szCs w:val="20"/>
        </w:rPr>
        <w:t>The pCRP residues which interact with C10M (this work) and PC (PDB ID:1B09 </w:t>
      </w:r>
      <w:r>
        <w:rPr>
          <w:rFonts w:ascii="Arial" w:eastAsia="Arial" w:hAnsi="Arial" w:cs="Arial"/>
          <w:sz w:val="20"/>
          <w:szCs w:val="20"/>
          <w:vertAlign w:val="superscript"/>
        </w:rPr>
        <w:t>25</w:t>
      </w:r>
      <w:r>
        <w:rPr>
          <w:rFonts w:ascii="Arial" w:eastAsia="Arial" w:hAnsi="Arial" w:cs="Arial"/>
          <w:sz w:val="20"/>
          <w:szCs w:val="20"/>
        </w:rPr>
        <w:t>) are listed. C10M and PC coordinate to the bound calcium cations in the binding site via their phosphonate and phosphate moieties, respectively. There are twenty CRP chains in the C10</w:t>
      </w:r>
      <w:proofErr w:type="gramStart"/>
      <w:r>
        <w:rPr>
          <w:rFonts w:ascii="Arial" w:eastAsia="Arial" w:hAnsi="Arial" w:cs="Arial"/>
          <w:sz w:val="20"/>
          <w:szCs w:val="20"/>
        </w:rPr>
        <w:t>M:pCRP</w:t>
      </w:r>
      <w:proofErr w:type="gramEnd"/>
      <w:r>
        <w:rPr>
          <w:rFonts w:ascii="Arial" w:eastAsia="Arial" w:hAnsi="Arial" w:cs="Arial"/>
          <w:sz w:val="20"/>
          <w:szCs w:val="20"/>
        </w:rPr>
        <w:t xml:space="preserve"> complex asymmetric unit </w:t>
      </w:r>
      <w:r>
        <w:rPr>
          <w:rFonts w:ascii="Arial" w:eastAsia="Arial" w:hAnsi="Arial" w:cs="Arial"/>
          <w:i/>
          <w:sz w:val="20"/>
          <w:szCs w:val="20"/>
        </w:rPr>
        <w:t>(i.e.</w:t>
      </w:r>
      <w:r>
        <w:rPr>
          <w:rFonts w:ascii="Arial" w:eastAsia="Arial" w:hAnsi="Arial" w:cs="Arial"/>
          <w:sz w:val="20"/>
          <w:szCs w:val="20"/>
        </w:rPr>
        <w:t xml:space="preserve"> four complete pentamers) and it should be noted that there are no calcium cations in chains H, K and S, and only one calcium cation is present in chains C, E, F, I and M. The remaining twelve chains all contain two calcium cations. C10M is present in chains A, B, D, E and F. Each of the five CRP chains in the </w:t>
      </w:r>
      <w:proofErr w:type="gramStart"/>
      <w:r>
        <w:rPr>
          <w:rFonts w:ascii="Arial" w:eastAsia="Arial" w:hAnsi="Arial" w:cs="Arial"/>
          <w:sz w:val="20"/>
          <w:szCs w:val="20"/>
        </w:rPr>
        <w:t>PC:pCRP</w:t>
      </w:r>
      <w:proofErr w:type="gramEnd"/>
      <w:r>
        <w:rPr>
          <w:rFonts w:ascii="Arial" w:eastAsia="Arial" w:hAnsi="Arial" w:cs="Arial"/>
          <w:sz w:val="20"/>
          <w:szCs w:val="20"/>
        </w:rPr>
        <w:t xml:space="preserve"> complex asymmetric unit (</w:t>
      </w:r>
      <w:r>
        <w:rPr>
          <w:rFonts w:ascii="Arial" w:eastAsia="Arial" w:hAnsi="Arial" w:cs="Arial"/>
          <w:i/>
          <w:sz w:val="20"/>
          <w:szCs w:val="20"/>
        </w:rPr>
        <w:t>i.e.</w:t>
      </w:r>
      <w:r>
        <w:rPr>
          <w:rFonts w:ascii="Arial" w:eastAsia="Arial" w:hAnsi="Arial" w:cs="Arial"/>
          <w:sz w:val="20"/>
          <w:szCs w:val="20"/>
        </w:rPr>
        <w:t xml:space="preserve"> one complete pentamer) contain two calcium cations and one PC molecule. Residues in hydrogen bonding and salt bridge distance with the compounds are indicated by H bond and salt bridge, respectively. Residue contributions to hydrophobic interactions with either C10M or PC varies for each CRP chain and is therefore given as a percentage range. Hydrogen bonds, salt bridges and hydrophobic interactions were calculated using the Protein, Interfaces, Structures and Assemblies (PISA) </w:t>
      </w:r>
      <w:r>
        <w:rPr>
          <w:rFonts w:ascii="Arial" w:eastAsia="Arial" w:hAnsi="Arial" w:cs="Arial"/>
          <w:sz w:val="20"/>
          <w:szCs w:val="20"/>
          <w:vertAlign w:val="superscript"/>
        </w:rPr>
        <w:t>26</w:t>
      </w:r>
      <w:r>
        <w:rPr>
          <w:rFonts w:ascii="Arial" w:eastAsia="Arial" w:hAnsi="Arial" w:cs="Arial"/>
          <w:sz w:val="20"/>
          <w:szCs w:val="20"/>
        </w:rPr>
        <w:t xml:space="preserve"> tool. </w:t>
      </w:r>
    </w:p>
    <w:p w14:paraId="28A68540" w14:textId="77777777" w:rsidR="0040281B" w:rsidRDefault="0040281B">
      <w:pPr>
        <w:rPr>
          <w:rFonts w:ascii="Arial" w:eastAsia="Arial" w:hAnsi="Arial" w:cs="Arial"/>
          <w:sz w:val="20"/>
          <w:szCs w:val="20"/>
        </w:rPr>
      </w:pPr>
    </w:p>
    <w:tbl>
      <w:tblPr>
        <w:tblStyle w:val="a"/>
        <w:tblW w:w="9016" w:type="dxa"/>
        <w:jc w:val="center"/>
        <w:tblInd w:w="0" w:type="dxa"/>
        <w:tblBorders>
          <w:top w:val="single" w:sz="4" w:space="0" w:color="000000"/>
          <w:left w:val="single" w:sz="4" w:space="0" w:color="000000"/>
          <w:bottom w:val="single" w:sz="4" w:space="0" w:color="000000"/>
          <w:right w:val="single" w:sz="4" w:space="0" w:color="000000"/>
          <w:insideH w:val="nil"/>
          <w:insideV w:val="single" w:sz="4" w:space="0" w:color="000000"/>
        </w:tblBorders>
        <w:tblLayout w:type="fixed"/>
        <w:tblLook w:val="0400" w:firstRow="0" w:lastRow="0" w:firstColumn="0" w:lastColumn="0" w:noHBand="0" w:noVBand="1"/>
      </w:tblPr>
      <w:tblGrid>
        <w:gridCol w:w="3056"/>
        <w:gridCol w:w="3197"/>
        <w:gridCol w:w="2763"/>
      </w:tblGrid>
      <w:tr w:rsidR="0040281B" w14:paraId="3E62633B" w14:textId="77777777">
        <w:trPr>
          <w:trHeight w:val="340"/>
          <w:jc w:val="center"/>
        </w:trPr>
        <w:tc>
          <w:tcPr>
            <w:tcW w:w="3056" w:type="dxa"/>
            <w:tcBorders>
              <w:top w:val="single" w:sz="4" w:space="0" w:color="000000"/>
              <w:bottom w:val="single" w:sz="4" w:space="0" w:color="000000"/>
            </w:tcBorders>
            <w:shd w:val="clear" w:color="auto" w:fill="DEEBF6"/>
            <w:vAlign w:val="center"/>
          </w:tcPr>
          <w:p w14:paraId="1752A671" w14:textId="77777777" w:rsidR="0040281B" w:rsidRDefault="00867BEC">
            <w:pPr>
              <w:jc w:val="center"/>
              <w:rPr>
                <w:rFonts w:ascii="Arial" w:eastAsia="Arial" w:hAnsi="Arial" w:cs="Arial"/>
                <w:b/>
                <w:sz w:val="20"/>
                <w:szCs w:val="20"/>
              </w:rPr>
            </w:pPr>
            <w:r>
              <w:rPr>
                <w:rFonts w:ascii="Arial" w:eastAsia="Arial" w:hAnsi="Arial" w:cs="Arial"/>
                <w:b/>
                <w:sz w:val="20"/>
                <w:szCs w:val="20"/>
              </w:rPr>
              <w:t>pCRP residue</w:t>
            </w:r>
          </w:p>
        </w:tc>
        <w:tc>
          <w:tcPr>
            <w:tcW w:w="3197" w:type="dxa"/>
            <w:tcBorders>
              <w:top w:val="single" w:sz="4" w:space="0" w:color="000000"/>
              <w:bottom w:val="single" w:sz="4" w:space="0" w:color="000000"/>
            </w:tcBorders>
            <w:shd w:val="clear" w:color="auto" w:fill="DEEBF6"/>
            <w:vAlign w:val="center"/>
          </w:tcPr>
          <w:p w14:paraId="58C80DBF" w14:textId="77777777" w:rsidR="0040281B" w:rsidRDefault="00867BEC">
            <w:pPr>
              <w:jc w:val="center"/>
              <w:rPr>
                <w:rFonts w:ascii="Arial" w:eastAsia="Arial" w:hAnsi="Arial" w:cs="Arial"/>
                <w:b/>
                <w:sz w:val="20"/>
                <w:szCs w:val="20"/>
              </w:rPr>
            </w:pPr>
            <w:r>
              <w:rPr>
                <w:rFonts w:ascii="Arial" w:eastAsia="Arial" w:hAnsi="Arial" w:cs="Arial"/>
                <w:b/>
                <w:sz w:val="20"/>
                <w:szCs w:val="20"/>
              </w:rPr>
              <w:t>C10</w:t>
            </w:r>
            <w:proofErr w:type="gramStart"/>
            <w:r>
              <w:rPr>
                <w:rFonts w:ascii="Arial" w:eastAsia="Arial" w:hAnsi="Arial" w:cs="Arial"/>
                <w:b/>
                <w:sz w:val="20"/>
                <w:szCs w:val="20"/>
              </w:rPr>
              <w:t>M:pCRP</w:t>
            </w:r>
            <w:proofErr w:type="gramEnd"/>
            <w:r>
              <w:rPr>
                <w:rFonts w:ascii="Arial" w:eastAsia="Arial" w:hAnsi="Arial" w:cs="Arial"/>
                <w:b/>
                <w:sz w:val="20"/>
                <w:szCs w:val="20"/>
              </w:rPr>
              <w:t xml:space="preserve"> complex</w:t>
            </w:r>
          </w:p>
        </w:tc>
        <w:tc>
          <w:tcPr>
            <w:tcW w:w="2763" w:type="dxa"/>
            <w:tcBorders>
              <w:top w:val="single" w:sz="4" w:space="0" w:color="000000"/>
              <w:bottom w:val="single" w:sz="4" w:space="0" w:color="000000"/>
            </w:tcBorders>
            <w:shd w:val="clear" w:color="auto" w:fill="DEEBF6"/>
            <w:vAlign w:val="center"/>
          </w:tcPr>
          <w:p w14:paraId="0DC44A48" w14:textId="77777777" w:rsidR="0040281B" w:rsidRDefault="00867BEC">
            <w:pPr>
              <w:jc w:val="center"/>
              <w:rPr>
                <w:rFonts w:ascii="Arial" w:eastAsia="Arial" w:hAnsi="Arial" w:cs="Arial"/>
                <w:b/>
                <w:sz w:val="20"/>
                <w:szCs w:val="20"/>
              </w:rPr>
            </w:pPr>
            <w:proofErr w:type="gramStart"/>
            <w:r>
              <w:rPr>
                <w:rFonts w:ascii="Arial" w:eastAsia="Arial" w:hAnsi="Arial" w:cs="Arial"/>
                <w:b/>
                <w:sz w:val="20"/>
                <w:szCs w:val="20"/>
              </w:rPr>
              <w:t>PC:pCRP</w:t>
            </w:r>
            <w:proofErr w:type="gramEnd"/>
            <w:r>
              <w:rPr>
                <w:rFonts w:ascii="Arial" w:eastAsia="Arial" w:hAnsi="Arial" w:cs="Arial"/>
                <w:b/>
                <w:sz w:val="20"/>
                <w:szCs w:val="20"/>
              </w:rPr>
              <w:t xml:space="preserve"> complex</w:t>
            </w:r>
          </w:p>
        </w:tc>
      </w:tr>
      <w:tr w:rsidR="0040281B" w14:paraId="5686F1AB" w14:textId="77777777">
        <w:trPr>
          <w:trHeight w:val="340"/>
          <w:jc w:val="center"/>
        </w:trPr>
        <w:tc>
          <w:tcPr>
            <w:tcW w:w="3056" w:type="dxa"/>
            <w:tcBorders>
              <w:top w:val="single" w:sz="4" w:space="0" w:color="000000"/>
            </w:tcBorders>
          </w:tcPr>
          <w:p w14:paraId="5F859550" w14:textId="77777777" w:rsidR="0040281B" w:rsidRDefault="00867BEC">
            <w:pPr>
              <w:jc w:val="center"/>
              <w:rPr>
                <w:rFonts w:ascii="Arial" w:eastAsia="Arial" w:hAnsi="Arial" w:cs="Arial"/>
                <w:sz w:val="20"/>
                <w:szCs w:val="20"/>
              </w:rPr>
            </w:pPr>
            <w:r>
              <w:rPr>
                <w:rFonts w:ascii="Arial" w:eastAsia="Arial" w:hAnsi="Arial" w:cs="Arial"/>
                <w:sz w:val="20"/>
                <w:szCs w:val="20"/>
              </w:rPr>
              <w:t>GLY 48</w:t>
            </w:r>
          </w:p>
        </w:tc>
        <w:tc>
          <w:tcPr>
            <w:tcW w:w="3197" w:type="dxa"/>
            <w:tcBorders>
              <w:top w:val="single" w:sz="4" w:space="0" w:color="000000"/>
            </w:tcBorders>
          </w:tcPr>
          <w:p w14:paraId="22BE17D3" w14:textId="77777777" w:rsidR="0040281B" w:rsidRDefault="00867BEC">
            <w:pPr>
              <w:jc w:val="center"/>
              <w:rPr>
                <w:rFonts w:ascii="Arial" w:eastAsia="Arial" w:hAnsi="Arial" w:cs="Arial"/>
                <w:sz w:val="20"/>
                <w:szCs w:val="20"/>
              </w:rPr>
            </w:pPr>
            <w:r>
              <w:rPr>
                <w:rFonts w:ascii="Arial" w:eastAsia="Arial" w:hAnsi="Arial" w:cs="Arial"/>
                <w:sz w:val="20"/>
                <w:szCs w:val="20"/>
              </w:rPr>
              <w:t>0-10 %</w:t>
            </w:r>
          </w:p>
        </w:tc>
        <w:tc>
          <w:tcPr>
            <w:tcW w:w="2763" w:type="dxa"/>
            <w:tcBorders>
              <w:top w:val="single" w:sz="4" w:space="0" w:color="000000"/>
            </w:tcBorders>
          </w:tcPr>
          <w:p w14:paraId="71A4B37F"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1CA2FFCF" w14:textId="77777777">
        <w:trPr>
          <w:trHeight w:val="340"/>
          <w:jc w:val="center"/>
        </w:trPr>
        <w:tc>
          <w:tcPr>
            <w:tcW w:w="3056" w:type="dxa"/>
          </w:tcPr>
          <w:p w14:paraId="11F20192" w14:textId="77777777" w:rsidR="0040281B" w:rsidRDefault="00867BEC">
            <w:pPr>
              <w:jc w:val="center"/>
              <w:rPr>
                <w:rFonts w:ascii="Arial" w:eastAsia="Arial" w:hAnsi="Arial" w:cs="Arial"/>
                <w:sz w:val="20"/>
                <w:szCs w:val="20"/>
              </w:rPr>
            </w:pPr>
            <w:r>
              <w:rPr>
                <w:rFonts w:ascii="Arial" w:eastAsia="Arial" w:hAnsi="Arial" w:cs="Arial"/>
                <w:sz w:val="20"/>
                <w:szCs w:val="20"/>
              </w:rPr>
              <w:t>GLN 59</w:t>
            </w:r>
          </w:p>
        </w:tc>
        <w:tc>
          <w:tcPr>
            <w:tcW w:w="3197" w:type="dxa"/>
          </w:tcPr>
          <w:p w14:paraId="0C32E65B" w14:textId="77777777" w:rsidR="0040281B" w:rsidRDefault="00867BEC">
            <w:pPr>
              <w:jc w:val="center"/>
              <w:rPr>
                <w:rFonts w:ascii="Arial" w:eastAsia="Arial" w:hAnsi="Arial" w:cs="Arial"/>
                <w:sz w:val="20"/>
                <w:szCs w:val="20"/>
              </w:rPr>
            </w:pPr>
            <w:r>
              <w:rPr>
                <w:rFonts w:ascii="Arial" w:eastAsia="Arial" w:hAnsi="Arial" w:cs="Arial"/>
                <w:sz w:val="20"/>
                <w:szCs w:val="20"/>
              </w:rPr>
              <w:t>0-30 %</w:t>
            </w:r>
          </w:p>
        </w:tc>
        <w:tc>
          <w:tcPr>
            <w:tcW w:w="2763" w:type="dxa"/>
          </w:tcPr>
          <w:p w14:paraId="17BBD9E6"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4788071F" w14:textId="77777777">
        <w:trPr>
          <w:trHeight w:val="340"/>
          <w:jc w:val="center"/>
        </w:trPr>
        <w:tc>
          <w:tcPr>
            <w:tcW w:w="3056" w:type="dxa"/>
          </w:tcPr>
          <w:p w14:paraId="343C64F8" w14:textId="77777777" w:rsidR="0040281B" w:rsidRDefault="00867BEC">
            <w:pPr>
              <w:jc w:val="center"/>
              <w:rPr>
                <w:rFonts w:ascii="Arial" w:eastAsia="Arial" w:hAnsi="Arial" w:cs="Arial"/>
                <w:sz w:val="20"/>
                <w:szCs w:val="20"/>
              </w:rPr>
            </w:pPr>
            <w:r>
              <w:rPr>
                <w:rFonts w:ascii="Arial" w:eastAsia="Arial" w:hAnsi="Arial" w:cs="Arial"/>
                <w:sz w:val="20"/>
                <w:szCs w:val="20"/>
              </w:rPr>
              <w:t>ASP 60</w:t>
            </w:r>
          </w:p>
        </w:tc>
        <w:tc>
          <w:tcPr>
            <w:tcW w:w="3197" w:type="dxa"/>
          </w:tcPr>
          <w:p w14:paraId="0BFA3D7D" w14:textId="77777777" w:rsidR="0040281B" w:rsidRDefault="00867BEC">
            <w:pPr>
              <w:jc w:val="center"/>
              <w:rPr>
                <w:rFonts w:ascii="Arial" w:eastAsia="Arial" w:hAnsi="Arial" w:cs="Arial"/>
                <w:sz w:val="20"/>
                <w:szCs w:val="20"/>
              </w:rPr>
            </w:pPr>
            <w:r>
              <w:rPr>
                <w:rFonts w:ascii="Arial" w:eastAsia="Arial" w:hAnsi="Arial" w:cs="Arial"/>
                <w:sz w:val="20"/>
                <w:szCs w:val="20"/>
              </w:rPr>
              <w:t>10-60 %</w:t>
            </w:r>
          </w:p>
        </w:tc>
        <w:tc>
          <w:tcPr>
            <w:tcW w:w="2763" w:type="dxa"/>
          </w:tcPr>
          <w:p w14:paraId="1A158B27" w14:textId="77777777" w:rsidR="0040281B" w:rsidRDefault="00867BEC">
            <w:pPr>
              <w:jc w:val="center"/>
              <w:rPr>
                <w:rFonts w:ascii="Arial" w:eastAsia="Arial" w:hAnsi="Arial" w:cs="Arial"/>
                <w:sz w:val="20"/>
                <w:szCs w:val="20"/>
              </w:rPr>
            </w:pPr>
            <w:r>
              <w:rPr>
                <w:rFonts w:ascii="Arial" w:eastAsia="Arial" w:hAnsi="Arial" w:cs="Arial"/>
                <w:sz w:val="20"/>
                <w:szCs w:val="20"/>
              </w:rPr>
              <w:t>10-20 %</w:t>
            </w:r>
          </w:p>
        </w:tc>
      </w:tr>
      <w:tr w:rsidR="0040281B" w14:paraId="2A45D810" w14:textId="77777777">
        <w:trPr>
          <w:trHeight w:val="340"/>
          <w:jc w:val="center"/>
        </w:trPr>
        <w:tc>
          <w:tcPr>
            <w:tcW w:w="3056" w:type="dxa"/>
          </w:tcPr>
          <w:p w14:paraId="488613B1" w14:textId="77777777" w:rsidR="0040281B" w:rsidRDefault="00867BEC">
            <w:pPr>
              <w:jc w:val="center"/>
              <w:rPr>
                <w:rFonts w:ascii="Arial" w:eastAsia="Arial" w:hAnsi="Arial" w:cs="Arial"/>
                <w:sz w:val="20"/>
                <w:szCs w:val="20"/>
              </w:rPr>
            </w:pPr>
            <w:r>
              <w:rPr>
                <w:rFonts w:ascii="Arial" w:eastAsia="Arial" w:hAnsi="Arial" w:cs="Arial"/>
                <w:sz w:val="20"/>
                <w:szCs w:val="20"/>
              </w:rPr>
              <w:t>ASN 61</w:t>
            </w:r>
          </w:p>
        </w:tc>
        <w:tc>
          <w:tcPr>
            <w:tcW w:w="3197" w:type="dxa"/>
          </w:tcPr>
          <w:p w14:paraId="5AAE4890" w14:textId="77777777" w:rsidR="0040281B" w:rsidRDefault="00867BEC">
            <w:pPr>
              <w:jc w:val="center"/>
              <w:rPr>
                <w:rFonts w:ascii="Arial" w:eastAsia="Arial" w:hAnsi="Arial" w:cs="Arial"/>
                <w:sz w:val="20"/>
                <w:szCs w:val="20"/>
              </w:rPr>
            </w:pPr>
            <w:r>
              <w:rPr>
                <w:rFonts w:ascii="Arial" w:eastAsia="Arial" w:hAnsi="Arial" w:cs="Arial"/>
                <w:sz w:val="20"/>
                <w:szCs w:val="20"/>
              </w:rPr>
              <w:t>H bond; 60-90 %</w:t>
            </w:r>
          </w:p>
        </w:tc>
        <w:tc>
          <w:tcPr>
            <w:tcW w:w="2763" w:type="dxa"/>
          </w:tcPr>
          <w:p w14:paraId="6B229F4A" w14:textId="77777777" w:rsidR="0040281B" w:rsidRDefault="00867BEC">
            <w:pPr>
              <w:jc w:val="center"/>
              <w:rPr>
                <w:rFonts w:ascii="Arial" w:eastAsia="Arial" w:hAnsi="Arial" w:cs="Arial"/>
                <w:sz w:val="20"/>
                <w:szCs w:val="20"/>
              </w:rPr>
            </w:pPr>
            <w:r>
              <w:rPr>
                <w:rFonts w:ascii="Arial" w:eastAsia="Arial" w:hAnsi="Arial" w:cs="Arial"/>
                <w:sz w:val="20"/>
                <w:szCs w:val="20"/>
              </w:rPr>
              <w:t>H bond; 50-60 %</w:t>
            </w:r>
          </w:p>
        </w:tc>
      </w:tr>
      <w:tr w:rsidR="0040281B" w14:paraId="68E37DB2" w14:textId="77777777">
        <w:trPr>
          <w:trHeight w:val="340"/>
          <w:jc w:val="center"/>
        </w:trPr>
        <w:tc>
          <w:tcPr>
            <w:tcW w:w="3056" w:type="dxa"/>
          </w:tcPr>
          <w:p w14:paraId="547EB328" w14:textId="77777777" w:rsidR="0040281B" w:rsidRDefault="00867BEC">
            <w:pPr>
              <w:jc w:val="center"/>
              <w:rPr>
                <w:rFonts w:ascii="Arial" w:eastAsia="Arial" w:hAnsi="Arial" w:cs="Arial"/>
                <w:sz w:val="20"/>
                <w:szCs w:val="20"/>
              </w:rPr>
            </w:pPr>
            <w:r>
              <w:rPr>
                <w:rFonts w:ascii="Arial" w:eastAsia="Arial" w:hAnsi="Arial" w:cs="Arial"/>
                <w:sz w:val="20"/>
                <w:szCs w:val="20"/>
              </w:rPr>
              <w:t>LEU 64</w:t>
            </w:r>
          </w:p>
        </w:tc>
        <w:tc>
          <w:tcPr>
            <w:tcW w:w="3197" w:type="dxa"/>
          </w:tcPr>
          <w:p w14:paraId="1BABDB1A" w14:textId="77777777" w:rsidR="0040281B" w:rsidRDefault="00867BEC">
            <w:pPr>
              <w:jc w:val="center"/>
              <w:rPr>
                <w:rFonts w:ascii="Arial" w:eastAsia="Arial" w:hAnsi="Arial" w:cs="Arial"/>
                <w:sz w:val="20"/>
                <w:szCs w:val="20"/>
              </w:rPr>
            </w:pPr>
            <w:r>
              <w:rPr>
                <w:rFonts w:ascii="Arial" w:eastAsia="Arial" w:hAnsi="Arial" w:cs="Arial"/>
                <w:sz w:val="20"/>
                <w:szCs w:val="20"/>
              </w:rPr>
              <w:t>100 %</w:t>
            </w:r>
          </w:p>
        </w:tc>
        <w:tc>
          <w:tcPr>
            <w:tcW w:w="2763" w:type="dxa"/>
          </w:tcPr>
          <w:p w14:paraId="2B01388F" w14:textId="77777777" w:rsidR="0040281B" w:rsidRDefault="00867BEC">
            <w:pPr>
              <w:jc w:val="center"/>
              <w:rPr>
                <w:rFonts w:ascii="Arial" w:eastAsia="Arial" w:hAnsi="Arial" w:cs="Arial"/>
                <w:sz w:val="20"/>
                <w:szCs w:val="20"/>
              </w:rPr>
            </w:pPr>
            <w:r>
              <w:rPr>
                <w:rFonts w:ascii="Arial" w:eastAsia="Arial" w:hAnsi="Arial" w:cs="Arial"/>
                <w:sz w:val="20"/>
                <w:szCs w:val="20"/>
              </w:rPr>
              <w:t>100 %</w:t>
            </w:r>
          </w:p>
        </w:tc>
      </w:tr>
      <w:tr w:rsidR="0040281B" w14:paraId="5DDAFF75" w14:textId="77777777">
        <w:trPr>
          <w:trHeight w:val="340"/>
          <w:jc w:val="center"/>
        </w:trPr>
        <w:tc>
          <w:tcPr>
            <w:tcW w:w="3056" w:type="dxa"/>
          </w:tcPr>
          <w:p w14:paraId="7A59F4E5" w14:textId="77777777" w:rsidR="0040281B" w:rsidRDefault="00867BEC">
            <w:pPr>
              <w:jc w:val="center"/>
              <w:rPr>
                <w:rFonts w:ascii="Arial" w:eastAsia="Arial" w:hAnsi="Arial" w:cs="Arial"/>
                <w:sz w:val="20"/>
                <w:szCs w:val="20"/>
              </w:rPr>
            </w:pPr>
            <w:r>
              <w:rPr>
                <w:rFonts w:ascii="Arial" w:eastAsia="Arial" w:hAnsi="Arial" w:cs="Arial"/>
                <w:sz w:val="20"/>
                <w:szCs w:val="20"/>
              </w:rPr>
              <w:t>PHE 66</w:t>
            </w:r>
          </w:p>
        </w:tc>
        <w:tc>
          <w:tcPr>
            <w:tcW w:w="3197" w:type="dxa"/>
          </w:tcPr>
          <w:p w14:paraId="6814F039" w14:textId="77777777" w:rsidR="0040281B" w:rsidRDefault="00867BEC">
            <w:pPr>
              <w:jc w:val="center"/>
              <w:rPr>
                <w:rFonts w:ascii="Arial" w:eastAsia="Arial" w:hAnsi="Arial" w:cs="Arial"/>
                <w:sz w:val="20"/>
                <w:szCs w:val="20"/>
              </w:rPr>
            </w:pPr>
            <w:r>
              <w:rPr>
                <w:rFonts w:ascii="Arial" w:eastAsia="Arial" w:hAnsi="Arial" w:cs="Arial"/>
                <w:sz w:val="20"/>
                <w:szCs w:val="20"/>
              </w:rPr>
              <w:t>40-100 %</w:t>
            </w:r>
          </w:p>
        </w:tc>
        <w:tc>
          <w:tcPr>
            <w:tcW w:w="2763" w:type="dxa"/>
          </w:tcPr>
          <w:p w14:paraId="06509E71" w14:textId="77777777" w:rsidR="0040281B" w:rsidRDefault="00867BEC">
            <w:pPr>
              <w:jc w:val="center"/>
              <w:rPr>
                <w:rFonts w:ascii="Arial" w:eastAsia="Arial" w:hAnsi="Arial" w:cs="Arial"/>
                <w:sz w:val="20"/>
                <w:szCs w:val="20"/>
              </w:rPr>
            </w:pPr>
            <w:r>
              <w:rPr>
                <w:rFonts w:ascii="Arial" w:eastAsia="Arial" w:hAnsi="Arial" w:cs="Arial"/>
                <w:sz w:val="20"/>
                <w:szCs w:val="20"/>
              </w:rPr>
              <w:t>60-70 %</w:t>
            </w:r>
          </w:p>
        </w:tc>
      </w:tr>
      <w:tr w:rsidR="0040281B" w14:paraId="3AEECA44" w14:textId="77777777">
        <w:trPr>
          <w:trHeight w:val="340"/>
          <w:jc w:val="center"/>
        </w:trPr>
        <w:tc>
          <w:tcPr>
            <w:tcW w:w="3056" w:type="dxa"/>
          </w:tcPr>
          <w:p w14:paraId="3587245D" w14:textId="77777777" w:rsidR="0040281B" w:rsidRDefault="00867BEC">
            <w:pPr>
              <w:jc w:val="center"/>
              <w:rPr>
                <w:rFonts w:ascii="Arial" w:eastAsia="Arial" w:hAnsi="Arial" w:cs="Arial"/>
                <w:sz w:val="20"/>
                <w:szCs w:val="20"/>
              </w:rPr>
            </w:pPr>
            <w:r>
              <w:rPr>
                <w:rFonts w:ascii="Arial" w:eastAsia="Arial" w:hAnsi="Arial" w:cs="Arial"/>
                <w:sz w:val="20"/>
                <w:szCs w:val="20"/>
              </w:rPr>
              <w:t>SER 68</w:t>
            </w:r>
          </w:p>
        </w:tc>
        <w:tc>
          <w:tcPr>
            <w:tcW w:w="3197" w:type="dxa"/>
          </w:tcPr>
          <w:p w14:paraId="1C8ADD1A" w14:textId="77777777" w:rsidR="0040281B" w:rsidRDefault="00867BEC">
            <w:pPr>
              <w:jc w:val="center"/>
              <w:rPr>
                <w:rFonts w:ascii="Arial" w:eastAsia="Arial" w:hAnsi="Arial" w:cs="Arial"/>
                <w:sz w:val="20"/>
                <w:szCs w:val="20"/>
              </w:rPr>
            </w:pPr>
            <w:r>
              <w:rPr>
                <w:rFonts w:ascii="Arial" w:eastAsia="Arial" w:hAnsi="Arial" w:cs="Arial"/>
                <w:sz w:val="20"/>
                <w:szCs w:val="20"/>
              </w:rPr>
              <w:t>0-90 %</w:t>
            </w:r>
          </w:p>
        </w:tc>
        <w:tc>
          <w:tcPr>
            <w:tcW w:w="2763" w:type="dxa"/>
          </w:tcPr>
          <w:p w14:paraId="1650F5B4" w14:textId="77777777" w:rsidR="0040281B" w:rsidRDefault="00867BEC">
            <w:pPr>
              <w:jc w:val="center"/>
              <w:rPr>
                <w:rFonts w:ascii="Arial" w:eastAsia="Arial" w:hAnsi="Arial" w:cs="Arial"/>
                <w:sz w:val="20"/>
                <w:szCs w:val="20"/>
              </w:rPr>
            </w:pPr>
            <w:r>
              <w:rPr>
                <w:rFonts w:ascii="Arial" w:eastAsia="Arial" w:hAnsi="Arial" w:cs="Arial"/>
                <w:sz w:val="20"/>
                <w:szCs w:val="20"/>
              </w:rPr>
              <w:t>30-40 %</w:t>
            </w:r>
          </w:p>
        </w:tc>
      </w:tr>
      <w:tr w:rsidR="0040281B" w14:paraId="10036BCB" w14:textId="77777777">
        <w:trPr>
          <w:trHeight w:val="340"/>
          <w:jc w:val="center"/>
        </w:trPr>
        <w:tc>
          <w:tcPr>
            <w:tcW w:w="3056" w:type="dxa"/>
          </w:tcPr>
          <w:p w14:paraId="75D25E4E" w14:textId="77777777" w:rsidR="0040281B" w:rsidRDefault="00867BEC">
            <w:pPr>
              <w:jc w:val="center"/>
              <w:rPr>
                <w:rFonts w:ascii="Arial" w:eastAsia="Arial" w:hAnsi="Arial" w:cs="Arial"/>
                <w:sz w:val="20"/>
                <w:szCs w:val="20"/>
              </w:rPr>
            </w:pPr>
            <w:r>
              <w:rPr>
                <w:rFonts w:ascii="Arial" w:eastAsia="Arial" w:hAnsi="Arial" w:cs="Arial"/>
                <w:sz w:val="20"/>
                <w:szCs w:val="20"/>
              </w:rPr>
              <w:t>LYS 69</w:t>
            </w:r>
          </w:p>
        </w:tc>
        <w:tc>
          <w:tcPr>
            <w:tcW w:w="3197" w:type="dxa"/>
          </w:tcPr>
          <w:p w14:paraId="2278BABE" w14:textId="77777777" w:rsidR="0040281B" w:rsidRDefault="00867BEC">
            <w:pPr>
              <w:jc w:val="center"/>
              <w:rPr>
                <w:rFonts w:ascii="Arial" w:eastAsia="Arial" w:hAnsi="Arial" w:cs="Arial"/>
                <w:sz w:val="20"/>
                <w:szCs w:val="20"/>
              </w:rPr>
            </w:pPr>
            <w:r>
              <w:rPr>
                <w:rFonts w:ascii="Arial" w:eastAsia="Arial" w:hAnsi="Arial" w:cs="Arial"/>
                <w:sz w:val="20"/>
                <w:szCs w:val="20"/>
              </w:rPr>
              <w:t>0-10 %</w:t>
            </w:r>
          </w:p>
        </w:tc>
        <w:tc>
          <w:tcPr>
            <w:tcW w:w="2763" w:type="dxa"/>
          </w:tcPr>
          <w:p w14:paraId="0CA0CDCA"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468FA26B" w14:textId="77777777">
        <w:trPr>
          <w:trHeight w:val="340"/>
          <w:jc w:val="center"/>
        </w:trPr>
        <w:tc>
          <w:tcPr>
            <w:tcW w:w="3056" w:type="dxa"/>
          </w:tcPr>
          <w:p w14:paraId="6E4B0111" w14:textId="77777777" w:rsidR="0040281B" w:rsidRDefault="00867BEC">
            <w:pPr>
              <w:jc w:val="center"/>
              <w:rPr>
                <w:rFonts w:ascii="Arial" w:eastAsia="Arial" w:hAnsi="Arial" w:cs="Arial"/>
                <w:sz w:val="20"/>
                <w:szCs w:val="20"/>
              </w:rPr>
            </w:pPr>
            <w:r>
              <w:rPr>
                <w:rFonts w:ascii="Arial" w:eastAsia="Arial" w:hAnsi="Arial" w:cs="Arial"/>
                <w:sz w:val="20"/>
                <w:szCs w:val="20"/>
              </w:rPr>
              <w:t>ILE 71</w:t>
            </w:r>
          </w:p>
        </w:tc>
        <w:tc>
          <w:tcPr>
            <w:tcW w:w="3197" w:type="dxa"/>
          </w:tcPr>
          <w:p w14:paraId="4E74DD77" w14:textId="77777777" w:rsidR="0040281B" w:rsidRDefault="00867BEC">
            <w:pPr>
              <w:jc w:val="center"/>
              <w:rPr>
                <w:rFonts w:ascii="Arial" w:eastAsia="Arial" w:hAnsi="Arial" w:cs="Arial"/>
                <w:sz w:val="20"/>
                <w:szCs w:val="20"/>
              </w:rPr>
            </w:pPr>
            <w:r>
              <w:rPr>
                <w:rFonts w:ascii="Arial" w:eastAsia="Arial" w:hAnsi="Arial" w:cs="Arial"/>
                <w:sz w:val="20"/>
                <w:szCs w:val="20"/>
              </w:rPr>
              <w:t>0-20 %</w:t>
            </w:r>
          </w:p>
        </w:tc>
        <w:tc>
          <w:tcPr>
            <w:tcW w:w="2763" w:type="dxa"/>
          </w:tcPr>
          <w:p w14:paraId="7460F478"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72F6EA90" w14:textId="77777777">
        <w:trPr>
          <w:trHeight w:val="340"/>
          <w:jc w:val="center"/>
        </w:trPr>
        <w:tc>
          <w:tcPr>
            <w:tcW w:w="3056" w:type="dxa"/>
          </w:tcPr>
          <w:p w14:paraId="0F56C268" w14:textId="77777777" w:rsidR="0040281B" w:rsidRDefault="00867BEC">
            <w:pPr>
              <w:jc w:val="center"/>
              <w:rPr>
                <w:rFonts w:ascii="Arial" w:eastAsia="Arial" w:hAnsi="Arial" w:cs="Arial"/>
                <w:sz w:val="20"/>
                <w:szCs w:val="20"/>
              </w:rPr>
            </w:pPr>
            <w:r>
              <w:rPr>
                <w:rFonts w:ascii="Arial" w:eastAsia="Arial" w:hAnsi="Arial" w:cs="Arial"/>
                <w:sz w:val="20"/>
                <w:szCs w:val="20"/>
              </w:rPr>
              <w:t>SER 74</w:t>
            </w:r>
          </w:p>
        </w:tc>
        <w:tc>
          <w:tcPr>
            <w:tcW w:w="3197" w:type="dxa"/>
          </w:tcPr>
          <w:p w14:paraId="0E6CD9F7" w14:textId="77777777" w:rsidR="0040281B" w:rsidRDefault="00867BEC">
            <w:pPr>
              <w:jc w:val="center"/>
              <w:rPr>
                <w:rFonts w:ascii="Arial" w:eastAsia="Arial" w:hAnsi="Arial" w:cs="Arial"/>
                <w:sz w:val="20"/>
                <w:szCs w:val="20"/>
              </w:rPr>
            </w:pPr>
            <w:r>
              <w:rPr>
                <w:rFonts w:ascii="Arial" w:eastAsia="Arial" w:hAnsi="Arial" w:cs="Arial"/>
                <w:sz w:val="20"/>
                <w:szCs w:val="20"/>
              </w:rPr>
              <w:t>20-100 %</w:t>
            </w:r>
          </w:p>
        </w:tc>
        <w:tc>
          <w:tcPr>
            <w:tcW w:w="2763" w:type="dxa"/>
          </w:tcPr>
          <w:p w14:paraId="00F28578" w14:textId="77777777" w:rsidR="0040281B" w:rsidRDefault="00867BEC">
            <w:pPr>
              <w:jc w:val="center"/>
              <w:rPr>
                <w:rFonts w:ascii="Arial" w:eastAsia="Arial" w:hAnsi="Arial" w:cs="Arial"/>
                <w:sz w:val="20"/>
                <w:szCs w:val="20"/>
              </w:rPr>
            </w:pPr>
            <w:r>
              <w:rPr>
                <w:rFonts w:ascii="Arial" w:eastAsia="Arial" w:hAnsi="Arial" w:cs="Arial"/>
                <w:sz w:val="20"/>
                <w:szCs w:val="20"/>
              </w:rPr>
              <w:t>70-100 %</w:t>
            </w:r>
          </w:p>
        </w:tc>
      </w:tr>
      <w:tr w:rsidR="0040281B" w14:paraId="6E93458B" w14:textId="77777777">
        <w:trPr>
          <w:trHeight w:val="340"/>
          <w:jc w:val="center"/>
        </w:trPr>
        <w:tc>
          <w:tcPr>
            <w:tcW w:w="3056" w:type="dxa"/>
          </w:tcPr>
          <w:p w14:paraId="05918955" w14:textId="77777777" w:rsidR="0040281B" w:rsidRDefault="00867BEC">
            <w:pPr>
              <w:jc w:val="center"/>
              <w:rPr>
                <w:rFonts w:ascii="Arial" w:eastAsia="Arial" w:hAnsi="Arial" w:cs="Arial"/>
                <w:sz w:val="20"/>
                <w:szCs w:val="20"/>
              </w:rPr>
            </w:pPr>
            <w:r>
              <w:rPr>
                <w:rFonts w:ascii="Arial" w:eastAsia="Arial" w:hAnsi="Arial" w:cs="Arial"/>
                <w:sz w:val="20"/>
                <w:szCs w:val="20"/>
              </w:rPr>
              <w:t>THR 76</w:t>
            </w:r>
          </w:p>
        </w:tc>
        <w:tc>
          <w:tcPr>
            <w:tcW w:w="3197" w:type="dxa"/>
          </w:tcPr>
          <w:p w14:paraId="3B4E3A00" w14:textId="77777777" w:rsidR="0040281B" w:rsidRDefault="00867BEC">
            <w:pPr>
              <w:jc w:val="center"/>
              <w:rPr>
                <w:rFonts w:ascii="Arial" w:eastAsia="Arial" w:hAnsi="Arial" w:cs="Arial"/>
                <w:sz w:val="20"/>
                <w:szCs w:val="20"/>
              </w:rPr>
            </w:pPr>
            <w:r>
              <w:rPr>
                <w:rFonts w:ascii="Arial" w:eastAsia="Arial" w:hAnsi="Arial" w:cs="Arial"/>
                <w:sz w:val="20"/>
                <w:szCs w:val="20"/>
              </w:rPr>
              <w:t>50-100 %</w:t>
            </w:r>
          </w:p>
        </w:tc>
        <w:tc>
          <w:tcPr>
            <w:tcW w:w="2763" w:type="dxa"/>
          </w:tcPr>
          <w:p w14:paraId="4313EDB6" w14:textId="77777777" w:rsidR="0040281B" w:rsidRDefault="00867BEC">
            <w:pPr>
              <w:jc w:val="center"/>
              <w:rPr>
                <w:rFonts w:ascii="Arial" w:eastAsia="Arial" w:hAnsi="Arial" w:cs="Arial"/>
                <w:sz w:val="20"/>
                <w:szCs w:val="20"/>
              </w:rPr>
            </w:pPr>
            <w:r>
              <w:rPr>
                <w:rFonts w:ascii="Arial" w:eastAsia="Arial" w:hAnsi="Arial" w:cs="Arial"/>
                <w:sz w:val="20"/>
                <w:szCs w:val="20"/>
              </w:rPr>
              <w:t>20-80 %</w:t>
            </w:r>
          </w:p>
        </w:tc>
      </w:tr>
      <w:tr w:rsidR="0040281B" w14:paraId="69AA8BA3" w14:textId="77777777">
        <w:trPr>
          <w:trHeight w:val="340"/>
          <w:jc w:val="center"/>
        </w:trPr>
        <w:tc>
          <w:tcPr>
            <w:tcW w:w="3056" w:type="dxa"/>
          </w:tcPr>
          <w:p w14:paraId="22DFCAF3" w14:textId="77777777" w:rsidR="0040281B" w:rsidRDefault="00867BEC">
            <w:pPr>
              <w:jc w:val="center"/>
              <w:rPr>
                <w:rFonts w:ascii="Arial" w:eastAsia="Arial" w:hAnsi="Arial" w:cs="Arial"/>
                <w:sz w:val="20"/>
                <w:szCs w:val="20"/>
              </w:rPr>
            </w:pPr>
            <w:r>
              <w:rPr>
                <w:rFonts w:ascii="Arial" w:eastAsia="Arial" w:hAnsi="Arial" w:cs="Arial"/>
                <w:sz w:val="20"/>
                <w:szCs w:val="20"/>
              </w:rPr>
              <w:t>GLY 79</w:t>
            </w:r>
          </w:p>
        </w:tc>
        <w:tc>
          <w:tcPr>
            <w:tcW w:w="3197" w:type="dxa"/>
          </w:tcPr>
          <w:p w14:paraId="7E79A404" w14:textId="77777777" w:rsidR="0040281B" w:rsidRDefault="00867BEC">
            <w:pPr>
              <w:jc w:val="center"/>
              <w:rPr>
                <w:rFonts w:ascii="Arial" w:eastAsia="Arial" w:hAnsi="Arial" w:cs="Arial"/>
                <w:sz w:val="20"/>
                <w:szCs w:val="20"/>
              </w:rPr>
            </w:pPr>
            <w:r>
              <w:rPr>
                <w:rFonts w:ascii="Arial" w:eastAsia="Arial" w:hAnsi="Arial" w:cs="Arial"/>
                <w:sz w:val="20"/>
                <w:szCs w:val="20"/>
              </w:rPr>
              <w:t>0-30 %</w:t>
            </w:r>
          </w:p>
        </w:tc>
        <w:tc>
          <w:tcPr>
            <w:tcW w:w="2763" w:type="dxa"/>
          </w:tcPr>
          <w:p w14:paraId="1B962232"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293F4B97" w14:textId="77777777">
        <w:trPr>
          <w:trHeight w:val="340"/>
          <w:jc w:val="center"/>
        </w:trPr>
        <w:tc>
          <w:tcPr>
            <w:tcW w:w="3056" w:type="dxa"/>
          </w:tcPr>
          <w:p w14:paraId="4EBBE440" w14:textId="77777777" w:rsidR="0040281B" w:rsidRDefault="00867BEC">
            <w:pPr>
              <w:jc w:val="center"/>
              <w:rPr>
                <w:rFonts w:ascii="Arial" w:eastAsia="Arial" w:hAnsi="Arial" w:cs="Arial"/>
                <w:sz w:val="20"/>
                <w:szCs w:val="20"/>
              </w:rPr>
            </w:pPr>
            <w:r>
              <w:rPr>
                <w:rFonts w:ascii="Arial" w:eastAsia="Arial" w:hAnsi="Arial" w:cs="Arial"/>
                <w:sz w:val="20"/>
                <w:szCs w:val="20"/>
              </w:rPr>
              <w:t>GLU 81</w:t>
            </w:r>
          </w:p>
        </w:tc>
        <w:tc>
          <w:tcPr>
            <w:tcW w:w="3197" w:type="dxa"/>
          </w:tcPr>
          <w:p w14:paraId="193044A4" w14:textId="77777777" w:rsidR="0040281B" w:rsidRDefault="00867BEC">
            <w:pPr>
              <w:jc w:val="center"/>
              <w:rPr>
                <w:rFonts w:ascii="Arial" w:eastAsia="Arial" w:hAnsi="Arial" w:cs="Arial"/>
                <w:sz w:val="20"/>
                <w:szCs w:val="20"/>
              </w:rPr>
            </w:pPr>
            <w:r>
              <w:rPr>
                <w:rFonts w:ascii="Arial" w:eastAsia="Arial" w:hAnsi="Arial" w:cs="Arial"/>
                <w:sz w:val="20"/>
                <w:szCs w:val="20"/>
              </w:rPr>
              <w:t>20-30 %</w:t>
            </w:r>
          </w:p>
        </w:tc>
        <w:tc>
          <w:tcPr>
            <w:tcW w:w="2763" w:type="dxa"/>
          </w:tcPr>
          <w:p w14:paraId="6BC615CD" w14:textId="77777777" w:rsidR="0040281B" w:rsidRDefault="00867BEC">
            <w:pPr>
              <w:jc w:val="center"/>
              <w:rPr>
                <w:rFonts w:ascii="Arial" w:eastAsia="Arial" w:hAnsi="Arial" w:cs="Arial"/>
                <w:sz w:val="20"/>
                <w:szCs w:val="20"/>
              </w:rPr>
            </w:pPr>
            <w:r>
              <w:rPr>
                <w:rFonts w:ascii="Arial" w:eastAsia="Arial" w:hAnsi="Arial" w:cs="Arial"/>
                <w:sz w:val="20"/>
                <w:szCs w:val="20"/>
              </w:rPr>
              <w:t>Salt bridge; 30-40 %</w:t>
            </w:r>
          </w:p>
        </w:tc>
      </w:tr>
      <w:tr w:rsidR="0040281B" w14:paraId="33750683" w14:textId="77777777">
        <w:trPr>
          <w:trHeight w:val="340"/>
          <w:jc w:val="center"/>
        </w:trPr>
        <w:tc>
          <w:tcPr>
            <w:tcW w:w="3056" w:type="dxa"/>
          </w:tcPr>
          <w:p w14:paraId="7C43ABE8" w14:textId="77777777" w:rsidR="0040281B" w:rsidRDefault="00867BEC">
            <w:pPr>
              <w:jc w:val="center"/>
              <w:rPr>
                <w:rFonts w:ascii="Arial" w:eastAsia="Arial" w:hAnsi="Arial" w:cs="Arial"/>
                <w:sz w:val="20"/>
                <w:szCs w:val="20"/>
              </w:rPr>
            </w:pPr>
            <w:r>
              <w:rPr>
                <w:rFonts w:ascii="Arial" w:eastAsia="Arial" w:hAnsi="Arial" w:cs="Arial"/>
                <w:sz w:val="20"/>
                <w:szCs w:val="20"/>
              </w:rPr>
              <w:t>LEU 83</w:t>
            </w:r>
          </w:p>
        </w:tc>
        <w:tc>
          <w:tcPr>
            <w:tcW w:w="3197" w:type="dxa"/>
          </w:tcPr>
          <w:p w14:paraId="4B26CB22" w14:textId="77777777" w:rsidR="0040281B" w:rsidRDefault="00867BEC">
            <w:pPr>
              <w:jc w:val="center"/>
              <w:rPr>
                <w:rFonts w:ascii="Arial" w:eastAsia="Arial" w:hAnsi="Arial" w:cs="Arial"/>
                <w:sz w:val="20"/>
                <w:szCs w:val="20"/>
              </w:rPr>
            </w:pPr>
            <w:r>
              <w:rPr>
                <w:rFonts w:ascii="Arial" w:eastAsia="Arial" w:hAnsi="Arial" w:cs="Arial"/>
                <w:sz w:val="20"/>
                <w:szCs w:val="20"/>
              </w:rPr>
              <w:t>0-20 %</w:t>
            </w:r>
          </w:p>
        </w:tc>
        <w:tc>
          <w:tcPr>
            <w:tcW w:w="2763" w:type="dxa"/>
          </w:tcPr>
          <w:p w14:paraId="2A4BA7E7"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6A5492F8" w14:textId="77777777">
        <w:trPr>
          <w:trHeight w:val="340"/>
          <w:jc w:val="center"/>
        </w:trPr>
        <w:tc>
          <w:tcPr>
            <w:tcW w:w="3056" w:type="dxa"/>
          </w:tcPr>
          <w:p w14:paraId="2B878EE8" w14:textId="77777777" w:rsidR="0040281B" w:rsidRDefault="00867BEC">
            <w:pPr>
              <w:jc w:val="center"/>
              <w:rPr>
                <w:rFonts w:ascii="Arial" w:eastAsia="Arial" w:hAnsi="Arial" w:cs="Arial"/>
                <w:sz w:val="20"/>
                <w:szCs w:val="20"/>
              </w:rPr>
            </w:pPr>
            <w:r>
              <w:rPr>
                <w:rFonts w:ascii="Arial" w:eastAsia="Arial" w:hAnsi="Arial" w:cs="Arial"/>
                <w:sz w:val="20"/>
                <w:szCs w:val="20"/>
              </w:rPr>
              <w:t>GLU 138</w:t>
            </w:r>
          </w:p>
        </w:tc>
        <w:tc>
          <w:tcPr>
            <w:tcW w:w="3197" w:type="dxa"/>
          </w:tcPr>
          <w:p w14:paraId="0A82206B" w14:textId="77777777" w:rsidR="0040281B" w:rsidRDefault="00867BEC">
            <w:pPr>
              <w:jc w:val="center"/>
              <w:rPr>
                <w:rFonts w:ascii="Arial" w:eastAsia="Arial" w:hAnsi="Arial" w:cs="Arial"/>
                <w:sz w:val="20"/>
                <w:szCs w:val="20"/>
              </w:rPr>
            </w:pPr>
            <w:r>
              <w:rPr>
                <w:rFonts w:ascii="Arial" w:eastAsia="Arial" w:hAnsi="Arial" w:cs="Arial"/>
                <w:sz w:val="20"/>
                <w:szCs w:val="20"/>
              </w:rPr>
              <w:t>80-100 %</w:t>
            </w:r>
          </w:p>
        </w:tc>
        <w:tc>
          <w:tcPr>
            <w:tcW w:w="2763" w:type="dxa"/>
          </w:tcPr>
          <w:p w14:paraId="3D225CF2" w14:textId="77777777" w:rsidR="0040281B" w:rsidRDefault="00867BEC">
            <w:pPr>
              <w:jc w:val="center"/>
              <w:rPr>
                <w:rFonts w:ascii="Arial" w:eastAsia="Arial" w:hAnsi="Arial" w:cs="Arial"/>
                <w:sz w:val="20"/>
                <w:szCs w:val="20"/>
              </w:rPr>
            </w:pPr>
            <w:r>
              <w:rPr>
                <w:rFonts w:ascii="Arial" w:eastAsia="Arial" w:hAnsi="Arial" w:cs="Arial"/>
                <w:sz w:val="20"/>
                <w:szCs w:val="20"/>
              </w:rPr>
              <w:t>60-70 %</w:t>
            </w:r>
          </w:p>
        </w:tc>
      </w:tr>
      <w:tr w:rsidR="0040281B" w14:paraId="52ACE6A6" w14:textId="77777777">
        <w:trPr>
          <w:trHeight w:val="340"/>
          <w:jc w:val="center"/>
        </w:trPr>
        <w:tc>
          <w:tcPr>
            <w:tcW w:w="3056" w:type="dxa"/>
          </w:tcPr>
          <w:p w14:paraId="499712E1" w14:textId="77777777" w:rsidR="0040281B" w:rsidRDefault="00867BEC">
            <w:pPr>
              <w:jc w:val="center"/>
              <w:rPr>
                <w:rFonts w:ascii="Arial" w:eastAsia="Arial" w:hAnsi="Arial" w:cs="Arial"/>
                <w:sz w:val="20"/>
                <w:szCs w:val="20"/>
              </w:rPr>
            </w:pPr>
            <w:r>
              <w:rPr>
                <w:rFonts w:ascii="Arial" w:eastAsia="Arial" w:hAnsi="Arial" w:cs="Arial"/>
                <w:sz w:val="20"/>
                <w:szCs w:val="20"/>
              </w:rPr>
              <w:t>GLN 139</w:t>
            </w:r>
          </w:p>
        </w:tc>
        <w:tc>
          <w:tcPr>
            <w:tcW w:w="3197" w:type="dxa"/>
          </w:tcPr>
          <w:p w14:paraId="43BC12F6" w14:textId="77777777" w:rsidR="0040281B" w:rsidRDefault="00867BEC">
            <w:pPr>
              <w:jc w:val="center"/>
              <w:rPr>
                <w:rFonts w:ascii="Arial" w:eastAsia="Arial" w:hAnsi="Arial" w:cs="Arial"/>
                <w:sz w:val="20"/>
                <w:szCs w:val="20"/>
              </w:rPr>
            </w:pPr>
            <w:r>
              <w:rPr>
                <w:rFonts w:ascii="Arial" w:eastAsia="Arial" w:hAnsi="Arial" w:cs="Arial"/>
                <w:sz w:val="20"/>
                <w:szCs w:val="20"/>
              </w:rPr>
              <w:t>0-100 %</w:t>
            </w:r>
          </w:p>
        </w:tc>
        <w:tc>
          <w:tcPr>
            <w:tcW w:w="2763" w:type="dxa"/>
          </w:tcPr>
          <w:p w14:paraId="21303D50"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192BA7F0" w14:textId="77777777">
        <w:trPr>
          <w:trHeight w:val="340"/>
          <w:jc w:val="center"/>
        </w:trPr>
        <w:tc>
          <w:tcPr>
            <w:tcW w:w="3056" w:type="dxa"/>
          </w:tcPr>
          <w:p w14:paraId="4E195E2C" w14:textId="77777777" w:rsidR="0040281B" w:rsidRDefault="00867BEC">
            <w:pPr>
              <w:jc w:val="center"/>
              <w:rPr>
                <w:rFonts w:ascii="Arial" w:eastAsia="Arial" w:hAnsi="Arial" w:cs="Arial"/>
                <w:sz w:val="20"/>
                <w:szCs w:val="20"/>
              </w:rPr>
            </w:pPr>
            <w:r>
              <w:rPr>
                <w:rFonts w:ascii="Arial" w:eastAsia="Arial" w:hAnsi="Arial" w:cs="Arial"/>
                <w:sz w:val="20"/>
                <w:szCs w:val="20"/>
              </w:rPr>
              <w:t>ASP 140</w:t>
            </w:r>
          </w:p>
        </w:tc>
        <w:tc>
          <w:tcPr>
            <w:tcW w:w="3197" w:type="dxa"/>
          </w:tcPr>
          <w:p w14:paraId="3E3E9F18" w14:textId="77777777" w:rsidR="0040281B" w:rsidRDefault="00867BEC">
            <w:pPr>
              <w:jc w:val="center"/>
              <w:rPr>
                <w:rFonts w:ascii="Arial" w:eastAsia="Arial" w:hAnsi="Arial" w:cs="Arial"/>
                <w:sz w:val="20"/>
                <w:szCs w:val="20"/>
              </w:rPr>
            </w:pPr>
            <w:r>
              <w:rPr>
                <w:rFonts w:ascii="Arial" w:eastAsia="Arial" w:hAnsi="Arial" w:cs="Arial"/>
                <w:sz w:val="20"/>
                <w:szCs w:val="20"/>
              </w:rPr>
              <w:t>30-40 %</w:t>
            </w:r>
          </w:p>
        </w:tc>
        <w:tc>
          <w:tcPr>
            <w:tcW w:w="2763" w:type="dxa"/>
          </w:tcPr>
          <w:p w14:paraId="036A1EC9" w14:textId="77777777" w:rsidR="0040281B" w:rsidRDefault="00867BEC">
            <w:pPr>
              <w:jc w:val="center"/>
              <w:rPr>
                <w:rFonts w:ascii="Arial" w:eastAsia="Arial" w:hAnsi="Arial" w:cs="Arial"/>
                <w:sz w:val="20"/>
                <w:szCs w:val="20"/>
              </w:rPr>
            </w:pPr>
            <w:r>
              <w:rPr>
                <w:rFonts w:ascii="Arial" w:eastAsia="Arial" w:hAnsi="Arial" w:cs="Arial"/>
                <w:sz w:val="20"/>
                <w:szCs w:val="20"/>
              </w:rPr>
              <w:t>30 %</w:t>
            </w:r>
          </w:p>
        </w:tc>
      </w:tr>
      <w:tr w:rsidR="0040281B" w14:paraId="42C71AD5" w14:textId="77777777">
        <w:trPr>
          <w:trHeight w:val="340"/>
          <w:jc w:val="center"/>
        </w:trPr>
        <w:tc>
          <w:tcPr>
            <w:tcW w:w="3056" w:type="dxa"/>
          </w:tcPr>
          <w:p w14:paraId="3AD66E64" w14:textId="77777777" w:rsidR="0040281B" w:rsidRDefault="00867BEC">
            <w:pPr>
              <w:jc w:val="center"/>
              <w:rPr>
                <w:rFonts w:ascii="Arial" w:eastAsia="Arial" w:hAnsi="Arial" w:cs="Arial"/>
                <w:sz w:val="20"/>
                <w:szCs w:val="20"/>
              </w:rPr>
            </w:pPr>
            <w:r>
              <w:rPr>
                <w:rFonts w:ascii="Arial" w:eastAsia="Arial" w:hAnsi="Arial" w:cs="Arial"/>
                <w:sz w:val="20"/>
                <w:szCs w:val="20"/>
              </w:rPr>
              <w:t>GLU 147</w:t>
            </w:r>
          </w:p>
        </w:tc>
        <w:tc>
          <w:tcPr>
            <w:tcW w:w="3197" w:type="dxa"/>
          </w:tcPr>
          <w:p w14:paraId="4F55C1C0" w14:textId="77777777" w:rsidR="0040281B" w:rsidRDefault="00867BEC">
            <w:pPr>
              <w:jc w:val="center"/>
              <w:rPr>
                <w:rFonts w:ascii="Arial" w:eastAsia="Arial" w:hAnsi="Arial" w:cs="Arial"/>
                <w:sz w:val="20"/>
                <w:szCs w:val="20"/>
              </w:rPr>
            </w:pPr>
            <w:r>
              <w:rPr>
                <w:rFonts w:ascii="Arial" w:eastAsia="Arial" w:hAnsi="Arial" w:cs="Arial"/>
                <w:sz w:val="20"/>
                <w:szCs w:val="20"/>
              </w:rPr>
              <w:t>10-20 %</w:t>
            </w:r>
          </w:p>
        </w:tc>
        <w:tc>
          <w:tcPr>
            <w:tcW w:w="2763" w:type="dxa"/>
          </w:tcPr>
          <w:p w14:paraId="27F6D145" w14:textId="77777777" w:rsidR="0040281B" w:rsidRDefault="00867BEC">
            <w:pPr>
              <w:jc w:val="center"/>
              <w:rPr>
                <w:rFonts w:ascii="Arial" w:eastAsia="Arial" w:hAnsi="Arial" w:cs="Arial"/>
                <w:sz w:val="20"/>
                <w:szCs w:val="20"/>
              </w:rPr>
            </w:pPr>
            <w:r>
              <w:rPr>
                <w:rFonts w:ascii="Arial" w:eastAsia="Arial" w:hAnsi="Arial" w:cs="Arial"/>
                <w:sz w:val="20"/>
                <w:szCs w:val="20"/>
              </w:rPr>
              <w:t>10 %</w:t>
            </w:r>
          </w:p>
        </w:tc>
      </w:tr>
      <w:tr w:rsidR="0040281B" w14:paraId="2329930D" w14:textId="77777777">
        <w:trPr>
          <w:trHeight w:val="340"/>
          <w:jc w:val="center"/>
        </w:trPr>
        <w:tc>
          <w:tcPr>
            <w:tcW w:w="3056" w:type="dxa"/>
          </w:tcPr>
          <w:p w14:paraId="6B5D4441" w14:textId="77777777" w:rsidR="0040281B" w:rsidRDefault="00867BEC">
            <w:pPr>
              <w:jc w:val="center"/>
              <w:rPr>
                <w:rFonts w:ascii="Arial" w:eastAsia="Arial" w:hAnsi="Arial" w:cs="Arial"/>
                <w:sz w:val="20"/>
                <w:szCs w:val="20"/>
              </w:rPr>
            </w:pPr>
            <w:r>
              <w:rPr>
                <w:rFonts w:ascii="Arial" w:eastAsia="Arial" w:hAnsi="Arial" w:cs="Arial"/>
                <w:sz w:val="20"/>
                <w:szCs w:val="20"/>
              </w:rPr>
              <w:t>SER 149</w:t>
            </w:r>
          </w:p>
        </w:tc>
        <w:tc>
          <w:tcPr>
            <w:tcW w:w="3197" w:type="dxa"/>
          </w:tcPr>
          <w:p w14:paraId="74105A83" w14:textId="77777777" w:rsidR="0040281B" w:rsidRDefault="00867BEC">
            <w:pPr>
              <w:jc w:val="center"/>
              <w:rPr>
                <w:rFonts w:ascii="Arial" w:eastAsia="Arial" w:hAnsi="Arial" w:cs="Arial"/>
                <w:sz w:val="20"/>
                <w:szCs w:val="20"/>
              </w:rPr>
            </w:pPr>
            <w:r>
              <w:rPr>
                <w:rFonts w:ascii="Arial" w:eastAsia="Arial" w:hAnsi="Arial" w:cs="Arial"/>
                <w:sz w:val="20"/>
                <w:szCs w:val="20"/>
              </w:rPr>
              <w:t>0-10 %</w:t>
            </w:r>
          </w:p>
        </w:tc>
        <w:tc>
          <w:tcPr>
            <w:tcW w:w="2763" w:type="dxa"/>
          </w:tcPr>
          <w:p w14:paraId="326D38D2" w14:textId="77777777" w:rsidR="0040281B" w:rsidRDefault="00867BEC">
            <w:pPr>
              <w:jc w:val="center"/>
              <w:rPr>
                <w:rFonts w:ascii="Arial" w:eastAsia="Arial" w:hAnsi="Arial" w:cs="Arial"/>
                <w:sz w:val="20"/>
                <w:szCs w:val="20"/>
              </w:rPr>
            </w:pPr>
            <w:r>
              <w:rPr>
                <w:rFonts w:ascii="Arial" w:eastAsia="Arial" w:hAnsi="Arial" w:cs="Arial"/>
                <w:sz w:val="20"/>
                <w:szCs w:val="20"/>
              </w:rPr>
              <w:t>-</w:t>
            </w:r>
          </w:p>
        </w:tc>
      </w:tr>
      <w:tr w:rsidR="0040281B" w14:paraId="0BE85CFE" w14:textId="77777777">
        <w:trPr>
          <w:trHeight w:val="340"/>
          <w:jc w:val="center"/>
        </w:trPr>
        <w:tc>
          <w:tcPr>
            <w:tcW w:w="3056" w:type="dxa"/>
          </w:tcPr>
          <w:p w14:paraId="0CFB2D7F" w14:textId="77777777" w:rsidR="0040281B" w:rsidRDefault="00867BEC">
            <w:pPr>
              <w:jc w:val="center"/>
              <w:rPr>
                <w:rFonts w:ascii="Arial" w:eastAsia="Arial" w:hAnsi="Arial" w:cs="Arial"/>
                <w:sz w:val="20"/>
                <w:szCs w:val="20"/>
              </w:rPr>
            </w:pPr>
            <w:r>
              <w:rPr>
                <w:rFonts w:ascii="Arial" w:eastAsia="Arial" w:hAnsi="Arial" w:cs="Arial"/>
                <w:sz w:val="20"/>
                <w:szCs w:val="20"/>
              </w:rPr>
              <w:t>GLN 150</w:t>
            </w:r>
          </w:p>
        </w:tc>
        <w:tc>
          <w:tcPr>
            <w:tcW w:w="3197" w:type="dxa"/>
          </w:tcPr>
          <w:p w14:paraId="1B0D1776" w14:textId="77777777" w:rsidR="0040281B" w:rsidRDefault="00867BEC">
            <w:pPr>
              <w:jc w:val="center"/>
              <w:rPr>
                <w:rFonts w:ascii="Arial" w:eastAsia="Arial" w:hAnsi="Arial" w:cs="Arial"/>
                <w:sz w:val="20"/>
                <w:szCs w:val="20"/>
              </w:rPr>
            </w:pPr>
            <w:r>
              <w:rPr>
                <w:rFonts w:ascii="Arial" w:eastAsia="Arial" w:hAnsi="Arial" w:cs="Arial"/>
                <w:sz w:val="20"/>
                <w:szCs w:val="20"/>
              </w:rPr>
              <w:t>H bond; 50-90 %</w:t>
            </w:r>
          </w:p>
        </w:tc>
        <w:tc>
          <w:tcPr>
            <w:tcW w:w="2763" w:type="dxa"/>
          </w:tcPr>
          <w:p w14:paraId="6049D7CA" w14:textId="77777777" w:rsidR="0040281B" w:rsidRDefault="00867BEC">
            <w:pPr>
              <w:jc w:val="center"/>
              <w:rPr>
                <w:rFonts w:ascii="Arial" w:eastAsia="Arial" w:hAnsi="Arial" w:cs="Arial"/>
                <w:sz w:val="20"/>
                <w:szCs w:val="20"/>
              </w:rPr>
            </w:pPr>
            <w:r>
              <w:rPr>
                <w:rFonts w:ascii="Arial" w:eastAsia="Arial" w:hAnsi="Arial" w:cs="Arial"/>
                <w:sz w:val="20"/>
                <w:szCs w:val="20"/>
              </w:rPr>
              <w:t>H bond; 50-60 %</w:t>
            </w:r>
          </w:p>
        </w:tc>
      </w:tr>
    </w:tbl>
    <w:p w14:paraId="6C44325F" w14:textId="77777777" w:rsidR="0040281B" w:rsidRDefault="0040281B">
      <w:pPr>
        <w:spacing w:line="480" w:lineRule="auto"/>
        <w:jc w:val="both"/>
        <w:rPr>
          <w:rFonts w:ascii="Arial" w:eastAsia="Arial" w:hAnsi="Arial" w:cs="Arial"/>
          <w:b/>
          <w:sz w:val="20"/>
          <w:szCs w:val="20"/>
        </w:rPr>
      </w:pPr>
    </w:p>
    <w:p w14:paraId="0F4D45E6" w14:textId="77777777" w:rsidR="0040281B" w:rsidRDefault="0040281B">
      <w:pPr>
        <w:rPr>
          <w:rFonts w:ascii="Arial" w:eastAsia="Arial" w:hAnsi="Arial" w:cs="Arial"/>
          <w:b/>
          <w:sz w:val="20"/>
          <w:szCs w:val="20"/>
        </w:rPr>
      </w:pPr>
    </w:p>
    <w:p w14:paraId="227F44E0" w14:textId="77777777" w:rsidR="0040281B" w:rsidRDefault="0040281B">
      <w:pPr>
        <w:rPr>
          <w:rFonts w:ascii="Arial" w:eastAsia="Arial" w:hAnsi="Arial" w:cs="Arial"/>
          <w:b/>
          <w:sz w:val="20"/>
          <w:szCs w:val="20"/>
        </w:rPr>
      </w:pPr>
    </w:p>
    <w:p w14:paraId="07820152" w14:textId="77777777" w:rsidR="0040281B" w:rsidRDefault="00867BEC">
      <w:pPr>
        <w:jc w:val="center"/>
        <w:rPr>
          <w:rFonts w:ascii="Arial" w:eastAsia="Arial" w:hAnsi="Arial" w:cs="Arial"/>
          <w:b/>
          <w:sz w:val="20"/>
          <w:szCs w:val="20"/>
        </w:rPr>
      </w:pPr>
      <w:r>
        <w:rPr>
          <w:rFonts w:ascii="Arial" w:eastAsia="Arial" w:hAnsi="Arial" w:cs="Arial"/>
          <w:b/>
          <w:sz w:val="20"/>
          <w:szCs w:val="20"/>
        </w:rPr>
        <w:t>Table S2. Statistics of crystal structure determination of pCRP in complex with C10M</w:t>
      </w:r>
    </w:p>
    <w:p w14:paraId="21796641" w14:textId="77777777" w:rsidR="0040281B" w:rsidRDefault="0040281B">
      <w:pPr>
        <w:jc w:val="center"/>
        <w:rPr>
          <w:rFonts w:ascii="Arial" w:eastAsia="Arial" w:hAnsi="Arial" w:cs="Arial"/>
          <w:b/>
          <w:sz w:val="20"/>
          <w:szCs w:val="20"/>
        </w:rPr>
      </w:pPr>
    </w:p>
    <w:tbl>
      <w:tblPr>
        <w:tblStyle w:val="a0"/>
        <w:tblW w:w="5314" w:type="dxa"/>
        <w:jc w:val="center"/>
        <w:tblInd w:w="0" w:type="dxa"/>
        <w:tblLayout w:type="fixed"/>
        <w:tblLook w:val="0400" w:firstRow="0" w:lastRow="0" w:firstColumn="0" w:lastColumn="0" w:noHBand="0" w:noVBand="1"/>
      </w:tblPr>
      <w:tblGrid>
        <w:gridCol w:w="2280"/>
        <w:gridCol w:w="3026"/>
        <w:gridCol w:w="8"/>
      </w:tblGrid>
      <w:tr w:rsidR="0040281B" w14:paraId="71CF3F5E"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tcPr>
          <w:p w14:paraId="49549FAF" w14:textId="77777777" w:rsidR="0040281B" w:rsidRDefault="0040281B">
            <w:pPr>
              <w:rPr>
                <w:rFonts w:ascii="Arial" w:eastAsia="Arial" w:hAnsi="Arial" w:cs="Arial"/>
                <w:sz w:val="20"/>
                <w:szCs w:val="20"/>
              </w:rPr>
            </w:pPr>
          </w:p>
        </w:tc>
        <w:tc>
          <w:tcPr>
            <w:tcW w:w="3034" w:type="dxa"/>
            <w:gridSpan w:val="2"/>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tcPr>
          <w:p w14:paraId="4E7ECEC5" w14:textId="77777777" w:rsidR="0040281B" w:rsidRDefault="00867BEC">
            <w:pPr>
              <w:rPr>
                <w:rFonts w:ascii="Arial" w:eastAsia="Arial" w:hAnsi="Arial" w:cs="Arial"/>
                <w:sz w:val="20"/>
                <w:szCs w:val="20"/>
              </w:rPr>
            </w:pPr>
            <w:r>
              <w:rPr>
                <w:rFonts w:ascii="Arial" w:eastAsia="Arial" w:hAnsi="Arial" w:cs="Arial"/>
                <w:b/>
                <w:color w:val="000000"/>
                <w:sz w:val="20"/>
                <w:szCs w:val="20"/>
              </w:rPr>
              <w:t>C10</w:t>
            </w:r>
            <w:proofErr w:type="gramStart"/>
            <w:r>
              <w:rPr>
                <w:rFonts w:ascii="Arial" w:eastAsia="Arial" w:hAnsi="Arial" w:cs="Arial"/>
                <w:b/>
                <w:color w:val="000000"/>
                <w:sz w:val="20"/>
                <w:szCs w:val="20"/>
              </w:rPr>
              <w:t>M:pCRP</w:t>
            </w:r>
            <w:proofErr w:type="gramEnd"/>
          </w:p>
        </w:tc>
      </w:tr>
      <w:tr w:rsidR="0040281B" w14:paraId="0C531179" w14:textId="77777777">
        <w:trPr>
          <w:gridAfter w:val="1"/>
          <w:wAfter w:w="8" w:type="dxa"/>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6BEF741" w14:textId="77777777" w:rsidR="0040281B" w:rsidRDefault="00867BEC">
            <w:pPr>
              <w:rPr>
                <w:rFonts w:ascii="Arial" w:eastAsia="Arial" w:hAnsi="Arial" w:cs="Arial"/>
                <w:sz w:val="20"/>
                <w:szCs w:val="20"/>
              </w:rPr>
            </w:pPr>
            <w:r>
              <w:rPr>
                <w:rFonts w:ascii="Arial" w:eastAsia="Arial" w:hAnsi="Arial" w:cs="Arial"/>
                <w:b/>
                <w:color w:val="000000"/>
                <w:sz w:val="20"/>
                <w:szCs w:val="20"/>
              </w:rPr>
              <w:t>Resolution range</w:t>
            </w:r>
          </w:p>
        </w:tc>
        <w:tc>
          <w:tcPr>
            <w:tcW w:w="302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7204710" w14:textId="77777777" w:rsidR="0040281B" w:rsidRDefault="00867BEC">
            <w:pPr>
              <w:rPr>
                <w:rFonts w:ascii="Arial" w:eastAsia="Arial" w:hAnsi="Arial" w:cs="Arial"/>
                <w:sz w:val="20"/>
                <w:szCs w:val="20"/>
              </w:rPr>
            </w:pPr>
            <w:r>
              <w:rPr>
                <w:rFonts w:ascii="Arial" w:eastAsia="Arial" w:hAnsi="Arial" w:cs="Arial"/>
                <w:color w:val="000000"/>
                <w:sz w:val="20"/>
                <w:szCs w:val="20"/>
              </w:rPr>
              <w:t> 41.54- 3.50 (3.625 - 3.5)</w:t>
            </w:r>
          </w:p>
        </w:tc>
      </w:tr>
      <w:tr w:rsidR="0040281B" w14:paraId="3BE46B50" w14:textId="77777777">
        <w:trPr>
          <w:gridAfter w:val="1"/>
          <w:wAfter w:w="8" w:type="dxa"/>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9D20E92" w14:textId="77777777" w:rsidR="0040281B" w:rsidRDefault="00867BEC">
            <w:pPr>
              <w:rPr>
                <w:rFonts w:ascii="Arial" w:eastAsia="Arial" w:hAnsi="Arial" w:cs="Arial"/>
                <w:sz w:val="20"/>
                <w:szCs w:val="20"/>
              </w:rPr>
            </w:pPr>
            <w:r>
              <w:rPr>
                <w:rFonts w:ascii="Arial" w:eastAsia="Arial" w:hAnsi="Arial" w:cs="Arial"/>
                <w:b/>
                <w:color w:val="000000"/>
                <w:sz w:val="20"/>
                <w:szCs w:val="20"/>
              </w:rPr>
              <w:t>Space group</w:t>
            </w:r>
          </w:p>
        </w:tc>
        <w:tc>
          <w:tcPr>
            <w:tcW w:w="302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A85D90C" w14:textId="77777777" w:rsidR="0040281B" w:rsidRDefault="00867BEC">
            <w:pPr>
              <w:rPr>
                <w:rFonts w:ascii="Arial" w:eastAsia="Arial" w:hAnsi="Arial" w:cs="Arial"/>
                <w:sz w:val="20"/>
                <w:szCs w:val="20"/>
              </w:rPr>
            </w:pPr>
            <w:r>
              <w:rPr>
                <w:rFonts w:ascii="Arial" w:eastAsia="Arial" w:hAnsi="Arial" w:cs="Arial"/>
                <w:i/>
                <w:color w:val="000000"/>
                <w:sz w:val="20"/>
                <w:szCs w:val="20"/>
              </w:rPr>
              <w:t>P</w:t>
            </w:r>
            <w:r>
              <w:rPr>
                <w:rFonts w:ascii="Arial" w:eastAsia="Arial" w:hAnsi="Arial" w:cs="Arial"/>
                <w:color w:val="000000"/>
                <w:sz w:val="20"/>
                <w:szCs w:val="20"/>
              </w:rPr>
              <w:t>1</w:t>
            </w:r>
          </w:p>
        </w:tc>
      </w:tr>
      <w:tr w:rsidR="0040281B" w14:paraId="3E1C0E1C"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F5C09E" w14:textId="77777777" w:rsidR="0040281B" w:rsidRDefault="00867BEC">
            <w:pPr>
              <w:rPr>
                <w:rFonts w:ascii="Arial" w:eastAsia="Arial" w:hAnsi="Arial" w:cs="Arial"/>
                <w:sz w:val="20"/>
                <w:szCs w:val="20"/>
              </w:rPr>
            </w:pPr>
            <w:r>
              <w:rPr>
                <w:rFonts w:ascii="Arial" w:eastAsia="Arial" w:hAnsi="Arial" w:cs="Arial"/>
                <w:b/>
                <w:color w:val="000000"/>
                <w:sz w:val="20"/>
                <w:szCs w:val="20"/>
              </w:rPr>
              <w:t>Unit cell (Å,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2EB3E19" w14:textId="77777777" w:rsidR="0040281B" w:rsidRDefault="00867BEC">
            <w:pPr>
              <w:rPr>
                <w:rFonts w:ascii="Arial" w:eastAsia="Arial" w:hAnsi="Arial" w:cs="Arial"/>
                <w:color w:val="000000"/>
                <w:sz w:val="20"/>
                <w:szCs w:val="20"/>
              </w:rPr>
            </w:pPr>
            <w:r>
              <w:rPr>
                <w:rFonts w:ascii="Arial" w:eastAsia="Arial" w:hAnsi="Arial" w:cs="Arial"/>
                <w:color w:val="000000"/>
                <w:sz w:val="20"/>
                <w:szCs w:val="20"/>
              </w:rPr>
              <w:t xml:space="preserve">72.57, 98.17, 160.40 </w:t>
            </w:r>
          </w:p>
          <w:p w14:paraId="35BA109C" w14:textId="77777777" w:rsidR="0040281B" w:rsidRDefault="00867BEC">
            <w:pPr>
              <w:rPr>
                <w:rFonts w:ascii="Arial" w:eastAsia="Arial" w:hAnsi="Arial" w:cs="Arial"/>
                <w:sz w:val="20"/>
                <w:szCs w:val="20"/>
              </w:rPr>
            </w:pPr>
            <w:r>
              <w:rPr>
                <w:rFonts w:ascii="Arial" w:eastAsia="Arial" w:hAnsi="Arial" w:cs="Arial"/>
                <w:color w:val="000000"/>
                <w:sz w:val="20"/>
                <w:szCs w:val="20"/>
              </w:rPr>
              <w:t>89.09, 89.76, 87.48</w:t>
            </w:r>
          </w:p>
        </w:tc>
      </w:tr>
      <w:tr w:rsidR="0040281B" w14:paraId="6137D1E4"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5560F0E" w14:textId="77777777" w:rsidR="0040281B" w:rsidRDefault="00867BEC">
            <w:pPr>
              <w:rPr>
                <w:rFonts w:ascii="Arial" w:eastAsia="Arial" w:hAnsi="Arial" w:cs="Arial"/>
                <w:sz w:val="20"/>
                <w:szCs w:val="20"/>
              </w:rPr>
            </w:pPr>
            <w:r>
              <w:rPr>
                <w:rFonts w:ascii="Arial" w:eastAsia="Arial" w:hAnsi="Arial" w:cs="Arial"/>
                <w:b/>
                <w:color w:val="000000"/>
                <w:sz w:val="20"/>
                <w:szCs w:val="20"/>
              </w:rPr>
              <w:t>Total reflections</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18C5F7B" w14:textId="77777777" w:rsidR="0040281B" w:rsidRDefault="00867BEC">
            <w:pPr>
              <w:rPr>
                <w:rFonts w:ascii="Arial" w:eastAsia="Arial" w:hAnsi="Arial" w:cs="Arial"/>
                <w:sz w:val="20"/>
                <w:szCs w:val="20"/>
              </w:rPr>
            </w:pPr>
            <w:r>
              <w:rPr>
                <w:rFonts w:ascii="Arial" w:eastAsia="Arial" w:hAnsi="Arial" w:cs="Arial"/>
                <w:color w:val="000000"/>
                <w:sz w:val="20"/>
                <w:szCs w:val="20"/>
              </w:rPr>
              <w:t>184033 (18530)</w:t>
            </w:r>
          </w:p>
        </w:tc>
      </w:tr>
      <w:tr w:rsidR="0040281B" w14:paraId="730D8673"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57BFA5C" w14:textId="77777777" w:rsidR="0040281B" w:rsidRDefault="00867BEC">
            <w:pPr>
              <w:rPr>
                <w:rFonts w:ascii="Arial" w:eastAsia="Arial" w:hAnsi="Arial" w:cs="Arial"/>
                <w:sz w:val="20"/>
                <w:szCs w:val="20"/>
              </w:rPr>
            </w:pPr>
            <w:r>
              <w:rPr>
                <w:rFonts w:ascii="Arial" w:eastAsia="Arial" w:hAnsi="Arial" w:cs="Arial"/>
                <w:b/>
                <w:color w:val="000000"/>
                <w:sz w:val="20"/>
                <w:szCs w:val="20"/>
              </w:rPr>
              <w:t>Unique reflections</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0406FCA" w14:textId="77777777" w:rsidR="0040281B" w:rsidRDefault="00867BEC">
            <w:pPr>
              <w:rPr>
                <w:rFonts w:ascii="Arial" w:eastAsia="Arial" w:hAnsi="Arial" w:cs="Arial"/>
                <w:sz w:val="20"/>
                <w:szCs w:val="20"/>
              </w:rPr>
            </w:pPr>
            <w:r>
              <w:rPr>
                <w:rFonts w:ascii="Arial" w:eastAsia="Arial" w:hAnsi="Arial" w:cs="Arial"/>
                <w:color w:val="000000"/>
                <w:sz w:val="20"/>
                <w:szCs w:val="20"/>
              </w:rPr>
              <w:t>54137 (5362)</w:t>
            </w:r>
          </w:p>
        </w:tc>
      </w:tr>
      <w:tr w:rsidR="0040281B" w14:paraId="506DDF39"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8EBE389" w14:textId="77777777" w:rsidR="0040281B" w:rsidRDefault="00867BEC">
            <w:pPr>
              <w:rPr>
                <w:rFonts w:ascii="Arial" w:eastAsia="Arial" w:hAnsi="Arial" w:cs="Arial"/>
                <w:sz w:val="20"/>
                <w:szCs w:val="20"/>
              </w:rPr>
            </w:pPr>
            <w:r>
              <w:rPr>
                <w:rFonts w:ascii="Arial" w:eastAsia="Arial" w:hAnsi="Arial" w:cs="Arial"/>
                <w:b/>
                <w:color w:val="000000"/>
                <w:sz w:val="20"/>
                <w:szCs w:val="20"/>
              </w:rPr>
              <w:t>Multiplicity</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C84DF0E" w14:textId="77777777" w:rsidR="0040281B" w:rsidRDefault="00867BEC">
            <w:pPr>
              <w:rPr>
                <w:rFonts w:ascii="Arial" w:eastAsia="Arial" w:hAnsi="Arial" w:cs="Arial"/>
                <w:sz w:val="20"/>
                <w:szCs w:val="20"/>
              </w:rPr>
            </w:pPr>
            <w:r>
              <w:rPr>
                <w:rFonts w:ascii="Arial" w:eastAsia="Arial" w:hAnsi="Arial" w:cs="Arial"/>
                <w:color w:val="000000"/>
                <w:sz w:val="20"/>
                <w:szCs w:val="20"/>
              </w:rPr>
              <w:t>3.4 (3.4)</w:t>
            </w:r>
          </w:p>
        </w:tc>
      </w:tr>
      <w:tr w:rsidR="0040281B" w14:paraId="377843CB"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2195DF5" w14:textId="77777777" w:rsidR="0040281B" w:rsidRDefault="00867BEC">
            <w:pPr>
              <w:rPr>
                <w:rFonts w:ascii="Arial" w:eastAsia="Arial" w:hAnsi="Arial" w:cs="Arial"/>
                <w:sz w:val="20"/>
                <w:szCs w:val="20"/>
              </w:rPr>
            </w:pPr>
            <w:r>
              <w:rPr>
                <w:rFonts w:ascii="Arial" w:eastAsia="Arial" w:hAnsi="Arial" w:cs="Arial"/>
                <w:b/>
                <w:color w:val="000000"/>
                <w:sz w:val="20"/>
                <w:szCs w:val="20"/>
              </w:rPr>
              <w:t>Completeness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2364816" w14:textId="77777777" w:rsidR="0040281B" w:rsidRDefault="00867BEC">
            <w:pPr>
              <w:rPr>
                <w:rFonts w:ascii="Arial" w:eastAsia="Arial" w:hAnsi="Arial" w:cs="Arial"/>
                <w:sz w:val="20"/>
                <w:szCs w:val="20"/>
              </w:rPr>
            </w:pPr>
            <w:r>
              <w:rPr>
                <w:rFonts w:ascii="Arial" w:eastAsia="Arial" w:hAnsi="Arial" w:cs="Arial"/>
                <w:color w:val="000000"/>
                <w:sz w:val="20"/>
                <w:szCs w:val="20"/>
              </w:rPr>
              <w:t>95.90 (96.21)</w:t>
            </w:r>
          </w:p>
        </w:tc>
      </w:tr>
      <w:tr w:rsidR="0040281B" w14:paraId="50F22D97" w14:textId="77777777">
        <w:trPr>
          <w:trHeight w:val="362"/>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BCD8762" w14:textId="77777777" w:rsidR="0040281B" w:rsidRDefault="00867BEC">
            <w:pPr>
              <w:rPr>
                <w:rFonts w:ascii="Arial" w:eastAsia="Arial" w:hAnsi="Arial" w:cs="Arial"/>
                <w:sz w:val="20"/>
                <w:szCs w:val="20"/>
              </w:rPr>
            </w:pPr>
            <w:r>
              <w:rPr>
                <w:rFonts w:ascii="Arial" w:eastAsia="Arial" w:hAnsi="Arial" w:cs="Arial"/>
                <w:b/>
                <w:color w:val="000000"/>
                <w:sz w:val="20"/>
                <w:szCs w:val="20"/>
              </w:rPr>
              <w:t>Mean I/sigma(I)</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36CF7CC4" w14:textId="77777777" w:rsidR="0040281B" w:rsidRDefault="00867BEC">
            <w:pPr>
              <w:rPr>
                <w:rFonts w:ascii="Arial" w:eastAsia="Arial" w:hAnsi="Arial" w:cs="Arial"/>
                <w:sz w:val="20"/>
                <w:szCs w:val="20"/>
              </w:rPr>
            </w:pPr>
            <w:r>
              <w:rPr>
                <w:rFonts w:ascii="Arial" w:eastAsia="Arial" w:hAnsi="Arial" w:cs="Arial"/>
                <w:color w:val="000000"/>
                <w:sz w:val="20"/>
                <w:szCs w:val="20"/>
              </w:rPr>
              <w:t>4.63 (1.62)</w:t>
            </w:r>
          </w:p>
        </w:tc>
      </w:tr>
      <w:tr w:rsidR="0040281B" w14:paraId="149C1D5A"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CBD125" w14:textId="77777777" w:rsidR="0040281B" w:rsidRDefault="00867BEC">
            <w:pPr>
              <w:rPr>
                <w:rFonts w:ascii="Arial" w:eastAsia="Arial" w:hAnsi="Arial" w:cs="Arial"/>
                <w:sz w:val="20"/>
                <w:szCs w:val="20"/>
              </w:rPr>
            </w:pPr>
            <w:r>
              <w:rPr>
                <w:rFonts w:ascii="Arial" w:eastAsia="Arial" w:hAnsi="Arial" w:cs="Arial"/>
                <w:b/>
                <w:color w:val="000000"/>
                <w:sz w:val="20"/>
                <w:szCs w:val="20"/>
              </w:rPr>
              <w:t>Wilson B-factor</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72369BC" w14:textId="77777777" w:rsidR="0040281B" w:rsidRDefault="00867BEC">
            <w:pPr>
              <w:rPr>
                <w:rFonts w:ascii="Arial" w:eastAsia="Arial" w:hAnsi="Arial" w:cs="Arial"/>
                <w:sz w:val="20"/>
                <w:szCs w:val="20"/>
              </w:rPr>
            </w:pPr>
            <w:r>
              <w:rPr>
                <w:rFonts w:ascii="Arial" w:eastAsia="Arial" w:hAnsi="Arial" w:cs="Arial"/>
                <w:color w:val="000000"/>
                <w:sz w:val="20"/>
                <w:szCs w:val="20"/>
              </w:rPr>
              <w:t>54.89</w:t>
            </w:r>
          </w:p>
        </w:tc>
      </w:tr>
      <w:tr w:rsidR="0040281B" w14:paraId="11ECC5FA" w14:textId="77777777">
        <w:trPr>
          <w:trHeight w:val="347"/>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1EC72F" w14:textId="77777777" w:rsidR="0040281B" w:rsidRDefault="00867BEC">
            <w:pPr>
              <w:rPr>
                <w:rFonts w:ascii="Arial" w:eastAsia="Arial" w:hAnsi="Arial" w:cs="Arial"/>
                <w:sz w:val="20"/>
                <w:szCs w:val="20"/>
              </w:rPr>
            </w:pPr>
            <w:r>
              <w:rPr>
                <w:rFonts w:ascii="Arial" w:eastAsia="Arial" w:hAnsi="Arial" w:cs="Arial"/>
                <w:b/>
                <w:i/>
                <w:color w:val="000000"/>
                <w:sz w:val="20"/>
                <w:szCs w:val="20"/>
              </w:rPr>
              <w:t>R</w:t>
            </w:r>
            <w:r>
              <w:rPr>
                <w:rFonts w:ascii="Arial" w:eastAsia="Arial" w:hAnsi="Arial" w:cs="Arial"/>
                <w:b/>
                <w:color w:val="000000"/>
                <w:sz w:val="20"/>
                <w:szCs w:val="20"/>
              </w:rPr>
              <w:t>-merge</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BCC2678" w14:textId="77777777" w:rsidR="0040281B" w:rsidRDefault="00867BEC">
            <w:pPr>
              <w:rPr>
                <w:rFonts w:ascii="Arial" w:eastAsia="Arial" w:hAnsi="Arial" w:cs="Arial"/>
                <w:sz w:val="20"/>
                <w:szCs w:val="20"/>
              </w:rPr>
            </w:pPr>
            <w:r>
              <w:rPr>
                <w:rFonts w:ascii="Arial" w:eastAsia="Arial" w:hAnsi="Arial" w:cs="Arial"/>
                <w:color w:val="000000"/>
                <w:sz w:val="20"/>
                <w:szCs w:val="20"/>
              </w:rPr>
              <w:t>0.2831 (0.7759)</w:t>
            </w:r>
          </w:p>
        </w:tc>
      </w:tr>
      <w:tr w:rsidR="0040281B" w14:paraId="6864923E"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373CF60" w14:textId="77777777" w:rsidR="0040281B" w:rsidRDefault="00867BEC">
            <w:pPr>
              <w:rPr>
                <w:rFonts w:ascii="Arial" w:eastAsia="Arial" w:hAnsi="Arial" w:cs="Arial"/>
                <w:sz w:val="20"/>
                <w:szCs w:val="20"/>
              </w:rPr>
            </w:pPr>
            <w:r>
              <w:rPr>
                <w:rFonts w:ascii="Arial" w:eastAsia="Arial" w:hAnsi="Arial" w:cs="Arial"/>
                <w:b/>
                <w:i/>
                <w:color w:val="000000"/>
                <w:sz w:val="20"/>
                <w:szCs w:val="20"/>
              </w:rPr>
              <w:t>R</w:t>
            </w:r>
            <w:r>
              <w:rPr>
                <w:rFonts w:ascii="Arial" w:eastAsia="Arial" w:hAnsi="Arial" w:cs="Arial"/>
                <w:b/>
                <w:color w:val="000000"/>
                <w:sz w:val="20"/>
                <w:szCs w:val="20"/>
              </w:rPr>
              <w:t>-meas</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CE7819F" w14:textId="77777777" w:rsidR="0040281B" w:rsidRDefault="00867BEC">
            <w:pPr>
              <w:rPr>
                <w:rFonts w:ascii="Arial" w:eastAsia="Arial" w:hAnsi="Arial" w:cs="Arial"/>
                <w:sz w:val="20"/>
                <w:szCs w:val="20"/>
              </w:rPr>
            </w:pPr>
            <w:r>
              <w:rPr>
                <w:rFonts w:ascii="Arial" w:eastAsia="Arial" w:hAnsi="Arial" w:cs="Arial"/>
                <w:color w:val="000000"/>
                <w:sz w:val="20"/>
                <w:szCs w:val="20"/>
              </w:rPr>
              <w:t>0.3384 (0.9233)</w:t>
            </w:r>
          </w:p>
        </w:tc>
      </w:tr>
      <w:tr w:rsidR="0040281B" w14:paraId="31C2355E"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54B3A6C" w14:textId="77777777" w:rsidR="0040281B" w:rsidRDefault="00867BEC">
            <w:pPr>
              <w:rPr>
                <w:rFonts w:ascii="Arial" w:eastAsia="Arial" w:hAnsi="Arial" w:cs="Arial"/>
                <w:sz w:val="20"/>
                <w:szCs w:val="20"/>
              </w:rPr>
            </w:pPr>
            <w:r>
              <w:rPr>
                <w:rFonts w:ascii="Arial" w:eastAsia="Arial" w:hAnsi="Arial" w:cs="Arial"/>
                <w:b/>
                <w:i/>
                <w:color w:val="000000"/>
                <w:sz w:val="20"/>
                <w:szCs w:val="20"/>
              </w:rPr>
              <w:t>R</w:t>
            </w:r>
            <w:r>
              <w:rPr>
                <w:rFonts w:ascii="Arial" w:eastAsia="Arial" w:hAnsi="Arial" w:cs="Arial"/>
                <w:b/>
                <w:color w:val="000000"/>
                <w:sz w:val="20"/>
                <w:szCs w:val="20"/>
              </w:rPr>
              <w:t>-pim</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20D42A2" w14:textId="77777777" w:rsidR="0040281B" w:rsidRDefault="00867BEC">
            <w:pPr>
              <w:rPr>
                <w:rFonts w:ascii="Arial" w:eastAsia="Arial" w:hAnsi="Arial" w:cs="Arial"/>
                <w:sz w:val="20"/>
                <w:szCs w:val="20"/>
              </w:rPr>
            </w:pPr>
            <w:r>
              <w:rPr>
                <w:rFonts w:ascii="Arial" w:eastAsia="Arial" w:hAnsi="Arial" w:cs="Arial"/>
                <w:color w:val="000000"/>
                <w:sz w:val="20"/>
                <w:szCs w:val="20"/>
              </w:rPr>
              <w:t>0.1827 (0.4939)</w:t>
            </w:r>
          </w:p>
        </w:tc>
      </w:tr>
      <w:tr w:rsidR="0040281B" w14:paraId="55D4913E"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2861BF0" w14:textId="77777777" w:rsidR="0040281B" w:rsidRDefault="00867BEC">
            <w:pPr>
              <w:rPr>
                <w:rFonts w:ascii="Arial" w:eastAsia="Arial" w:hAnsi="Arial" w:cs="Arial"/>
                <w:sz w:val="20"/>
                <w:szCs w:val="20"/>
              </w:rPr>
            </w:pPr>
            <w:r>
              <w:rPr>
                <w:rFonts w:ascii="Arial" w:eastAsia="Arial" w:hAnsi="Arial" w:cs="Arial"/>
                <w:b/>
                <w:color w:val="000000"/>
                <w:sz w:val="20"/>
                <w:szCs w:val="20"/>
              </w:rPr>
              <w:t>CC1/2</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DEA6FEC" w14:textId="77777777" w:rsidR="0040281B" w:rsidRDefault="00867BEC">
            <w:pPr>
              <w:rPr>
                <w:rFonts w:ascii="Arial" w:eastAsia="Arial" w:hAnsi="Arial" w:cs="Arial"/>
                <w:sz w:val="20"/>
                <w:szCs w:val="20"/>
              </w:rPr>
            </w:pPr>
            <w:r>
              <w:rPr>
                <w:rFonts w:ascii="Arial" w:eastAsia="Arial" w:hAnsi="Arial" w:cs="Arial"/>
                <w:color w:val="000000"/>
                <w:sz w:val="20"/>
                <w:szCs w:val="20"/>
              </w:rPr>
              <w:t>0.947 (0.635)</w:t>
            </w:r>
          </w:p>
        </w:tc>
      </w:tr>
      <w:tr w:rsidR="0040281B" w14:paraId="7CFF10D7" w14:textId="77777777">
        <w:trPr>
          <w:trHeight w:val="180"/>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56D4E6A4" w14:textId="77777777" w:rsidR="0040281B" w:rsidRDefault="00867BEC">
            <w:pPr>
              <w:rPr>
                <w:rFonts w:ascii="Arial" w:eastAsia="Arial" w:hAnsi="Arial" w:cs="Arial"/>
                <w:sz w:val="20"/>
                <w:szCs w:val="20"/>
              </w:rPr>
            </w:pPr>
            <w:r>
              <w:rPr>
                <w:rFonts w:ascii="Arial" w:eastAsia="Arial" w:hAnsi="Arial" w:cs="Arial"/>
                <w:b/>
                <w:color w:val="000000"/>
                <w:sz w:val="20"/>
                <w:szCs w:val="20"/>
              </w:rPr>
              <w:t>CC*</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0A109BB" w14:textId="77777777" w:rsidR="0040281B" w:rsidRDefault="00867BEC">
            <w:pPr>
              <w:rPr>
                <w:rFonts w:ascii="Arial" w:eastAsia="Arial" w:hAnsi="Arial" w:cs="Arial"/>
                <w:sz w:val="20"/>
                <w:szCs w:val="20"/>
              </w:rPr>
            </w:pPr>
            <w:r>
              <w:rPr>
                <w:rFonts w:ascii="Arial" w:eastAsia="Arial" w:hAnsi="Arial" w:cs="Arial"/>
                <w:color w:val="000000"/>
                <w:sz w:val="20"/>
                <w:szCs w:val="20"/>
              </w:rPr>
              <w:t>0.986 (0.881)</w:t>
            </w:r>
          </w:p>
        </w:tc>
      </w:tr>
      <w:tr w:rsidR="0040281B" w14:paraId="45CA4D88"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6035F400" w14:textId="77777777" w:rsidR="0040281B" w:rsidRDefault="00867BEC">
            <w:pPr>
              <w:rPr>
                <w:rFonts w:ascii="Arial" w:eastAsia="Arial" w:hAnsi="Arial" w:cs="Arial"/>
                <w:sz w:val="20"/>
                <w:szCs w:val="20"/>
              </w:rPr>
            </w:pPr>
            <w:r>
              <w:rPr>
                <w:rFonts w:ascii="Arial" w:eastAsia="Arial" w:hAnsi="Arial" w:cs="Arial"/>
                <w:b/>
                <w:color w:val="000000"/>
                <w:sz w:val="20"/>
                <w:szCs w:val="20"/>
              </w:rPr>
              <w:t>Reflections used in refinement</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0DE936C" w14:textId="77777777" w:rsidR="0040281B" w:rsidRDefault="00867BEC">
            <w:pPr>
              <w:rPr>
                <w:rFonts w:ascii="Arial" w:eastAsia="Arial" w:hAnsi="Arial" w:cs="Arial"/>
                <w:sz w:val="20"/>
                <w:szCs w:val="20"/>
              </w:rPr>
            </w:pPr>
            <w:r>
              <w:rPr>
                <w:rFonts w:ascii="Arial" w:eastAsia="Arial" w:hAnsi="Arial" w:cs="Arial"/>
                <w:color w:val="000000"/>
                <w:sz w:val="20"/>
                <w:szCs w:val="20"/>
              </w:rPr>
              <w:t>53469 (5360)</w:t>
            </w:r>
          </w:p>
        </w:tc>
      </w:tr>
      <w:tr w:rsidR="0040281B" w14:paraId="2DECD67F"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D0D3631" w14:textId="77777777" w:rsidR="0040281B" w:rsidRDefault="00867BEC">
            <w:pPr>
              <w:rPr>
                <w:rFonts w:ascii="Arial" w:eastAsia="Arial" w:hAnsi="Arial" w:cs="Arial"/>
                <w:sz w:val="20"/>
                <w:szCs w:val="20"/>
              </w:rPr>
            </w:pPr>
            <w:r>
              <w:rPr>
                <w:rFonts w:ascii="Arial" w:eastAsia="Arial" w:hAnsi="Arial" w:cs="Arial"/>
                <w:b/>
                <w:color w:val="000000"/>
                <w:sz w:val="20"/>
                <w:szCs w:val="20"/>
              </w:rPr>
              <w:t xml:space="preserve">Reflections used for </w:t>
            </w:r>
            <w:r>
              <w:rPr>
                <w:rFonts w:ascii="Arial" w:eastAsia="Arial" w:hAnsi="Arial" w:cs="Arial"/>
                <w:b/>
                <w:i/>
                <w:color w:val="000000"/>
                <w:sz w:val="20"/>
                <w:szCs w:val="20"/>
              </w:rPr>
              <w:t>R</w:t>
            </w:r>
            <w:r>
              <w:rPr>
                <w:rFonts w:ascii="Arial" w:eastAsia="Arial" w:hAnsi="Arial" w:cs="Arial"/>
                <w:b/>
                <w:color w:val="000000"/>
                <w:sz w:val="20"/>
                <w:szCs w:val="20"/>
              </w:rPr>
              <w:t>-free</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EE4E331" w14:textId="77777777" w:rsidR="0040281B" w:rsidRDefault="00867BEC">
            <w:pPr>
              <w:rPr>
                <w:rFonts w:ascii="Arial" w:eastAsia="Arial" w:hAnsi="Arial" w:cs="Arial"/>
                <w:sz w:val="20"/>
                <w:szCs w:val="20"/>
              </w:rPr>
            </w:pPr>
            <w:r>
              <w:rPr>
                <w:rFonts w:ascii="Arial" w:eastAsia="Arial" w:hAnsi="Arial" w:cs="Arial"/>
                <w:color w:val="000000"/>
                <w:sz w:val="20"/>
                <w:szCs w:val="20"/>
              </w:rPr>
              <w:t>1989 (202)</w:t>
            </w:r>
          </w:p>
        </w:tc>
      </w:tr>
      <w:tr w:rsidR="0040281B" w14:paraId="1F6ECCF0"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1ED9E2D" w14:textId="77777777" w:rsidR="0040281B" w:rsidRDefault="00867BEC">
            <w:pPr>
              <w:rPr>
                <w:rFonts w:ascii="Arial" w:eastAsia="Arial" w:hAnsi="Arial" w:cs="Arial"/>
                <w:sz w:val="20"/>
                <w:szCs w:val="20"/>
              </w:rPr>
            </w:pPr>
            <w:r>
              <w:rPr>
                <w:rFonts w:ascii="Arial" w:eastAsia="Arial" w:hAnsi="Arial" w:cs="Arial"/>
                <w:b/>
                <w:i/>
                <w:color w:val="000000"/>
                <w:sz w:val="20"/>
                <w:szCs w:val="20"/>
              </w:rPr>
              <w:t>R</w:t>
            </w:r>
            <w:r>
              <w:rPr>
                <w:rFonts w:ascii="Arial" w:eastAsia="Arial" w:hAnsi="Arial" w:cs="Arial"/>
                <w:b/>
                <w:color w:val="000000"/>
                <w:sz w:val="20"/>
                <w:szCs w:val="20"/>
              </w:rPr>
              <w:t>-work</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3DA0E99" w14:textId="77777777" w:rsidR="0040281B" w:rsidRDefault="00867BEC">
            <w:pPr>
              <w:rPr>
                <w:rFonts w:ascii="Arial" w:eastAsia="Arial" w:hAnsi="Arial" w:cs="Arial"/>
                <w:sz w:val="20"/>
                <w:szCs w:val="20"/>
              </w:rPr>
            </w:pPr>
            <w:r>
              <w:rPr>
                <w:rFonts w:ascii="Arial" w:eastAsia="Arial" w:hAnsi="Arial" w:cs="Arial"/>
                <w:color w:val="000000"/>
                <w:sz w:val="20"/>
                <w:szCs w:val="20"/>
              </w:rPr>
              <w:t>0.1539 (0.1990)</w:t>
            </w:r>
          </w:p>
        </w:tc>
      </w:tr>
      <w:tr w:rsidR="0040281B" w14:paraId="4AC3022D"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78B8E65B" w14:textId="77777777" w:rsidR="0040281B" w:rsidRDefault="00867BEC">
            <w:pPr>
              <w:rPr>
                <w:rFonts w:ascii="Arial" w:eastAsia="Arial" w:hAnsi="Arial" w:cs="Arial"/>
                <w:sz w:val="20"/>
                <w:szCs w:val="20"/>
              </w:rPr>
            </w:pPr>
            <w:r>
              <w:rPr>
                <w:rFonts w:ascii="Arial" w:eastAsia="Arial" w:hAnsi="Arial" w:cs="Arial"/>
                <w:b/>
                <w:i/>
                <w:color w:val="000000"/>
                <w:sz w:val="20"/>
                <w:szCs w:val="20"/>
              </w:rPr>
              <w:t>R</w:t>
            </w:r>
            <w:r>
              <w:rPr>
                <w:rFonts w:ascii="Arial" w:eastAsia="Arial" w:hAnsi="Arial" w:cs="Arial"/>
                <w:b/>
                <w:color w:val="000000"/>
                <w:sz w:val="20"/>
                <w:szCs w:val="20"/>
              </w:rPr>
              <w:t>-free</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86A22B9" w14:textId="77777777" w:rsidR="0040281B" w:rsidRDefault="00867BEC">
            <w:pPr>
              <w:rPr>
                <w:rFonts w:ascii="Arial" w:eastAsia="Arial" w:hAnsi="Arial" w:cs="Arial"/>
                <w:sz w:val="20"/>
                <w:szCs w:val="20"/>
              </w:rPr>
            </w:pPr>
            <w:r>
              <w:rPr>
                <w:rFonts w:ascii="Arial" w:eastAsia="Arial" w:hAnsi="Arial" w:cs="Arial"/>
                <w:color w:val="000000"/>
                <w:sz w:val="20"/>
                <w:szCs w:val="20"/>
              </w:rPr>
              <w:t>0.2655 (0.3487)</w:t>
            </w:r>
          </w:p>
        </w:tc>
      </w:tr>
      <w:tr w:rsidR="0040281B" w14:paraId="28219604"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6375290" w14:textId="77777777" w:rsidR="0040281B" w:rsidRDefault="00867BEC">
            <w:pPr>
              <w:rPr>
                <w:rFonts w:ascii="Arial" w:eastAsia="Arial" w:hAnsi="Arial" w:cs="Arial"/>
                <w:sz w:val="20"/>
                <w:szCs w:val="20"/>
              </w:rPr>
            </w:pPr>
            <w:proofErr w:type="gramStart"/>
            <w:r>
              <w:rPr>
                <w:rFonts w:ascii="Arial" w:eastAsia="Arial" w:hAnsi="Arial" w:cs="Arial"/>
                <w:b/>
                <w:color w:val="000000"/>
                <w:sz w:val="20"/>
                <w:szCs w:val="20"/>
              </w:rPr>
              <w:t>CC(</w:t>
            </w:r>
            <w:proofErr w:type="gramEnd"/>
            <w:r>
              <w:rPr>
                <w:rFonts w:ascii="Arial" w:eastAsia="Arial" w:hAnsi="Arial" w:cs="Arial"/>
                <w:b/>
                <w:color w:val="000000"/>
                <w:sz w:val="20"/>
                <w:szCs w:val="20"/>
              </w:rPr>
              <w:t>work)</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3672C77" w14:textId="77777777" w:rsidR="0040281B" w:rsidRDefault="00867BEC">
            <w:pPr>
              <w:rPr>
                <w:rFonts w:ascii="Arial" w:eastAsia="Arial" w:hAnsi="Arial" w:cs="Arial"/>
                <w:sz w:val="20"/>
                <w:szCs w:val="20"/>
              </w:rPr>
            </w:pPr>
            <w:r>
              <w:rPr>
                <w:rFonts w:ascii="Arial" w:eastAsia="Arial" w:hAnsi="Arial" w:cs="Arial"/>
                <w:color w:val="000000"/>
                <w:sz w:val="20"/>
                <w:szCs w:val="20"/>
              </w:rPr>
              <w:t>0.956 (0.873)</w:t>
            </w:r>
          </w:p>
        </w:tc>
      </w:tr>
      <w:tr w:rsidR="0040281B" w14:paraId="258D99FA"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B84E78E" w14:textId="77777777" w:rsidR="0040281B" w:rsidRDefault="00867BEC">
            <w:pPr>
              <w:rPr>
                <w:rFonts w:ascii="Arial" w:eastAsia="Arial" w:hAnsi="Arial" w:cs="Arial"/>
                <w:sz w:val="20"/>
                <w:szCs w:val="20"/>
              </w:rPr>
            </w:pPr>
            <w:proofErr w:type="gramStart"/>
            <w:r>
              <w:rPr>
                <w:rFonts w:ascii="Arial" w:eastAsia="Arial" w:hAnsi="Arial" w:cs="Arial"/>
                <w:b/>
                <w:color w:val="000000"/>
                <w:sz w:val="20"/>
                <w:szCs w:val="20"/>
              </w:rPr>
              <w:t>CC(</w:t>
            </w:r>
            <w:proofErr w:type="gramEnd"/>
            <w:r>
              <w:rPr>
                <w:rFonts w:ascii="Arial" w:eastAsia="Arial" w:hAnsi="Arial" w:cs="Arial"/>
                <w:b/>
                <w:color w:val="000000"/>
                <w:sz w:val="20"/>
                <w:szCs w:val="20"/>
              </w:rPr>
              <w:t>free)</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4B3ECBB" w14:textId="77777777" w:rsidR="0040281B" w:rsidRDefault="00867BEC">
            <w:pPr>
              <w:rPr>
                <w:rFonts w:ascii="Arial" w:eastAsia="Arial" w:hAnsi="Arial" w:cs="Arial"/>
                <w:sz w:val="20"/>
                <w:szCs w:val="20"/>
              </w:rPr>
            </w:pPr>
            <w:r>
              <w:rPr>
                <w:rFonts w:ascii="Arial" w:eastAsia="Arial" w:hAnsi="Arial" w:cs="Arial"/>
                <w:color w:val="000000"/>
                <w:sz w:val="20"/>
                <w:szCs w:val="20"/>
              </w:rPr>
              <w:t>0.887 (0.566)</w:t>
            </w:r>
          </w:p>
        </w:tc>
      </w:tr>
      <w:tr w:rsidR="0040281B" w14:paraId="10AE719B"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458CFB5" w14:textId="77777777" w:rsidR="0040281B" w:rsidRDefault="00867BEC">
            <w:pPr>
              <w:rPr>
                <w:rFonts w:ascii="Arial" w:eastAsia="Arial" w:hAnsi="Arial" w:cs="Arial"/>
                <w:sz w:val="20"/>
                <w:szCs w:val="20"/>
              </w:rPr>
            </w:pPr>
            <w:r>
              <w:rPr>
                <w:rFonts w:ascii="Arial" w:eastAsia="Arial" w:hAnsi="Arial" w:cs="Arial"/>
                <w:b/>
                <w:color w:val="000000"/>
                <w:sz w:val="20"/>
                <w:szCs w:val="20"/>
              </w:rPr>
              <w:t>Protein residues</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E251BF6" w14:textId="77777777" w:rsidR="0040281B" w:rsidRDefault="00867BEC">
            <w:pPr>
              <w:rPr>
                <w:rFonts w:ascii="Arial" w:eastAsia="Arial" w:hAnsi="Arial" w:cs="Arial"/>
                <w:sz w:val="20"/>
                <w:szCs w:val="20"/>
              </w:rPr>
            </w:pPr>
            <w:r>
              <w:rPr>
                <w:rFonts w:ascii="Arial" w:eastAsia="Arial" w:hAnsi="Arial" w:cs="Arial"/>
                <w:color w:val="000000"/>
                <w:sz w:val="20"/>
                <w:szCs w:val="20"/>
              </w:rPr>
              <w:t>4121</w:t>
            </w:r>
          </w:p>
        </w:tc>
      </w:tr>
      <w:tr w:rsidR="0040281B" w14:paraId="11241AE1"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F48F47E" w14:textId="77777777" w:rsidR="0040281B" w:rsidRDefault="00867BEC">
            <w:pPr>
              <w:rPr>
                <w:rFonts w:ascii="Arial" w:eastAsia="Arial" w:hAnsi="Arial" w:cs="Arial"/>
                <w:sz w:val="20"/>
                <w:szCs w:val="20"/>
              </w:rPr>
            </w:pPr>
            <w:r>
              <w:rPr>
                <w:rFonts w:ascii="Arial" w:eastAsia="Arial" w:hAnsi="Arial" w:cs="Arial"/>
                <w:b/>
                <w:color w:val="000000"/>
                <w:sz w:val="20"/>
                <w:szCs w:val="20"/>
              </w:rPr>
              <w:t>RMS on bonds, (Å)</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CD84D8D" w14:textId="77777777" w:rsidR="0040281B" w:rsidRDefault="00867BEC">
            <w:pPr>
              <w:rPr>
                <w:rFonts w:ascii="Arial" w:eastAsia="Arial" w:hAnsi="Arial" w:cs="Arial"/>
                <w:sz w:val="20"/>
                <w:szCs w:val="20"/>
              </w:rPr>
            </w:pPr>
            <w:r>
              <w:rPr>
                <w:rFonts w:ascii="Arial" w:eastAsia="Arial" w:hAnsi="Arial" w:cs="Arial"/>
                <w:color w:val="000000"/>
                <w:sz w:val="20"/>
                <w:szCs w:val="20"/>
              </w:rPr>
              <w:t>0.015</w:t>
            </w:r>
          </w:p>
        </w:tc>
      </w:tr>
      <w:tr w:rsidR="0040281B" w14:paraId="466E32D6" w14:textId="77777777">
        <w:trPr>
          <w:trHeight w:val="422"/>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3127D892" w14:textId="77777777" w:rsidR="0040281B" w:rsidRDefault="00867BEC">
            <w:pPr>
              <w:rPr>
                <w:rFonts w:ascii="Arial" w:eastAsia="Arial" w:hAnsi="Arial" w:cs="Arial"/>
                <w:sz w:val="20"/>
                <w:szCs w:val="20"/>
              </w:rPr>
            </w:pPr>
            <w:r>
              <w:rPr>
                <w:rFonts w:ascii="Arial" w:eastAsia="Arial" w:hAnsi="Arial" w:cs="Arial"/>
                <w:b/>
                <w:color w:val="000000"/>
                <w:sz w:val="20"/>
                <w:szCs w:val="20"/>
              </w:rPr>
              <w:t>RMS on angles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0AC20AB" w14:textId="77777777" w:rsidR="0040281B" w:rsidRDefault="00867BEC">
            <w:pPr>
              <w:rPr>
                <w:rFonts w:ascii="Arial" w:eastAsia="Arial" w:hAnsi="Arial" w:cs="Arial"/>
                <w:sz w:val="20"/>
                <w:szCs w:val="20"/>
              </w:rPr>
            </w:pPr>
            <w:r>
              <w:rPr>
                <w:rFonts w:ascii="Arial" w:eastAsia="Arial" w:hAnsi="Arial" w:cs="Arial"/>
                <w:color w:val="000000"/>
                <w:sz w:val="20"/>
                <w:szCs w:val="20"/>
              </w:rPr>
              <w:t>1.71</w:t>
            </w:r>
          </w:p>
        </w:tc>
      </w:tr>
      <w:tr w:rsidR="0040281B" w14:paraId="6F55F0B9"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0CA1191B" w14:textId="77777777" w:rsidR="0040281B" w:rsidRDefault="00867BEC">
            <w:pPr>
              <w:rPr>
                <w:rFonts w:ascii="Arial" w:eastAsia="Arial" w:hAnsi="Arial" w:cs="Arial"/>
                <w:sz w:val="20"/>
                <w:szCs w:val="20"/>
              </w:rPr>
            </w:pPr>
            <w:r>
              <w:rPr>
                <w:rFonts w:ascii="Arial" w:eastAsia="Arial" w:hAnsi="Arial" w:cs="Arial"/>
                <w:b/>
                <w:color w:val="000000"/>
                <w:sz w:val="20"/>
                <w:szCs w:val="20"/>
              </w:rPr>
              <w:t>Ramachandran favored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B4CE0BA" w14:textId="77777777" w:rsidR="0040281B" w:rsidRDefault="00867BEC">
            <w:pPr>
              <w:rPr>
                <w:rFonts w:ascii="Arial" w:eastAsia="Arial" w:hAnsi="Arial" w:cs="Arial"/>
                <w:sz w:val="20"/>
                <w:szCs w:val="20"/>
              </w:rPr>
            </w:pPr>
            <w:r>
              <w:rPr>
                <w:rFonts w:ascii="Arial" w:eastAsia="Arial" w:hAnsi="Arial" w:cs="Arial"/>
                <w:color w:val="000000"/>
                <w:sz w:val="20"/>
                <w:szCs w:val="20"/>
              </w:rPr>
              <w:t>87.50</w:t>
            </w:r>
          </w:p>
        </w:tc>
      </w:tr>
      <w:tr w:rsidR="0040281B" w14:paraId="2565846C" w14:textId="77777777">
        <w:trPr>
          <w:trHeight w:val="180"/>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00C90A" w14:textId="77777777" w:rsidR="0040281B" w:rsidRDefault="00867BEC">
            <w:pPr>
              <w:rPr>
                <w:rFonts w:ascii="Arial" w:eastAsia="Arial" w:hAnsi="Arial" w:cs="Arial"/>
                <w:sz w:val="20"/>
                <w:szCs w:val="20"/>
              </w:rPr>
            </w:pPr>
            <w:r>
              <w:rPr>
                <w:rFonts w:ascii="Arial" w:eastAsia="Arial" w:hAnsi="Arial" w:cs="Arial"/>
                <w:b/>
                <w:color w:val="000000"/>
                <w:sz w:val="20"/>
                <w:szCs w:val="20"/>
              </w:rPr>
              <w:t>Ramachandran allowed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C2D6AC2" w14:textId="77777777" w:rsidR="0040281B" w:rsidRDefault="00867BEC">
            <w:pPr>
              <w:rPr>
                <w:rFonts w:ascii="Arial" w:eastAsia="Arial" w:hAnsi="Arial" w:cs="Arial"/>
                <w:sz w:val="20"/>
                <w:szCs w:val="20"/>
              </w:rPr>
            </w:pPr>
            <w:r>
              <w:rPr>
                <w:rFonts w:ascii="Arial" w:eastAsia="Arial" w:hAnsi="Arial" w:cs="Arial"/>
                <w:color w:val="000000"/>
                <w:sz w:val="20"/>
                <w:szCs w:val="20"/>
              </w:rPr>
              <w:t>10.81</w:t>
            </w:r>
          </w:p>
        </w:tc>
      </w:tr>
      <w:tr w:rsidR="0040281B" w14:paraId="3197EAC8"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295E519" w14:textId="77777777" w:rsidR="0040281B" w:rsidRDefault="00867BEC">
            <w:pPr>
              <w:rPr>
                <w:rFonts w:ascii="Arial" w:eastAsia="Arial" w:hAnsi="Arial" w:cs="Arial"/>
                <w:sz w:val="20"/>
                <w:szCs w:val="20"/>
              </w:rPr>
            </w:pPr>
            <w:r>
              <w:rPr>
                <w:rFonts w:ascii="Arial" w:eastAsia="Arial" w:hAnsi="Arial" w:cs="Arial"/>
                <w:b/>
                <w:color w:val="000000"/>
                <w:sz w:val="20"/>
                <w:szCs w:val="20"/>
              </w:rPr>
              <w:t>Ramachandran outliers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B82BCF6" w14:textId="77777777" w:rsidR="0040281B" w:rsidRDefault="00867BEC">
            <w:pPr>
              <w:rPr>
                <w:rFonts w:ascii="Arial" w:eastAsia="Arial" w:hAnsi="Arial" w:cs="Arial"/>
                <w:sz w:val="20"/>
                <w:szCs w:val="20"/>
              </w:rPr>
            </w:pPr>
            <w:r>
              <w:rPr>
                <w:rFonts w:ascii="Arial" w:eastAsia="Arial" w:hAnsi="Arial" w:cs="Arial"/>
                <w:color w:val="000000"/>
                <w:sz w:val="20"/>
                <w:szCs w:val="20"/>
              </w:rPr>
              <w:t>1.69</w:t>
            </w:r>
          </w:p>
        </w:tc>
      </w:tr>
      <w:tr w:rsidR="0040281B" w14:paraId="7E279188"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2C16C416" w14:textId="77777777" w:rsidR="0040281B" w:rsidRDefault="00867BEC">
            <w:pPr>
              <w:rPr>
                <w:rFonts w:ascii="Arial" w:eastAsia="Arial" w:hAnsi="Arial" w:cs="Arial"/>
                <w:sz w:val="20"/>
                <w:szCs w:val="20"/>
              </w:rPr>
            </w:pPr>
            <w:r>
              <w:rPr>
                <w:rFonts w:ascii="Arial" w:eastAsia="Arial" w:hAnsi="Arial" w:cs="Arial"/>
                <w:b/>
                <w:color w:val="000000"/>
                <w:sz w:val="20"/>
                <w:szCs w:val="20"/>
              </w:rPr>
              <w:t>Rotamer outliers (%)</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06D5A23" w14:textId="77777777" w:rsidR="0040281B" w:rsidRDefault="00867BEC">
            <w:pPr>
              <w:rPr>
                <w:rFonts w:ascii="Arial" w:eastAsia="Arial" w:hAnsi="Arial" w:cs="Arial"/>
                <w:sz w:val="20"/>
                <w:szCs w:val="20"/>
              </w:rPr>
            </w:pPr>
            <w:r>
              <w:rPr>
                <w:rFonts w:ascii="Arial" w:eastAsia="Arial" w:hAnsi="Arial" w:cs="Arial"/>
                <w:color w:val="000000"/>
                <w:sz w:val="20"/>
                <w:szCs w:val="20"/>
              </w:rPr>
              <w:t>6.04</w:t>
            </w:r>
          </w:p>
        </w:tc>
      </w:tr>
      <w:tr w:rsidR="0040281B" w14:paraId="32204206" w14:textId="77777777">
        <w:trPr>
          <w:trHeight w:val="16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4F06FDAD" w14:textId="77777777" w:rsidR="0040281B" w:rsidRDefault="00867BEC">
            <w:pPr>
              <w:rPr>
                <w:rFonts w:ascii="Arial" w:eastAsia="Arial" w:hAnsi="Arial" w:cs="Arial"/>
                <w:sz w:val="20"/>
                <w:szCs w:val="20"/>
              </w:rPr>
            </w:pPr>
            <w:r>
              <w:rPr>
                <w:rFonts w:ascii="Arial" w:eastAsia="Arial" w:hAnsi="Arial" w:cs="Arial"/>
                <w:b/>
                <w:color w:val="000000"/>
                <w:sz w:val="20"/>
                <w:szCs w:val="20"/>
              </w:rPr>
              <w:t>Clashscore</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A3EB12F" w14:textId="77777777" w:rsidR="0040281B" w:rsidRDefault="00867BEC">
            <w:pPr>
              <w:rPr>
                <w:rFonts w:ascii="Arial" w:eastAsia="Arial" w:hAnsi="Arial" w:cs="Arial"/>
                <w:sz w:val="20"/>
                <w:szCs w:val="20"/>
              </w:rPr>
            </w:pPr>
            <w:r>
              <w:rPr>
                <w:rFonts w:ascii="Arial" w:eastAsia="Arial" w:hAnsi="Arial" w:cs="Arial"/>
                <w:color w:val="000000"/>
                <w:sz w:val="20"/>
                <w:szCs w:val="20"/>
              </w:rPr>
              <w:t>23.37</w:t>
            </w:r>
          </w:p>
        </w:tc>
      </w:tr>
      <w:tr w:rsidR="0040281B" w14:paraId="58C260C4" w14:textId="77777777">
        <w:trPr>
          <w:trHeight w:val="325"/>
          <w:jc w:val="center"/>
        </w:trPr>
        <w:tc>
          <w:tcPr>
            <w:tcW w:w="2280" w:type="dxa"/>
            <w:tcBorders>
              <w:top w:val="single" w:sz="6" w:space="0" w:color="000000"/>
              <w:left w:val="single" w:sz="6" w:space="0" w:color="000000"/>
              <w:bottom w:val="single" w:sz="6" w:space="0" w:color="000000"/>
              <w:right w:val="single" w:sz="6" w:space="0" w:color="000000"/>
            </w:tcBorders>
            <w:shd w:val="clear" w:color="auto" w:fill="D4D4D4"/>
            <w:tcMar>
              <w:top w:w="60" w:type="dxa"/>
              <w:left w:w="60" w:type="dxa"/>
              <w:bottom w:w="60" w:type="dxa"/>
              <w:right w:w="60" w:type="dxa"/>
            </w:tcMar>
          </w:tcPr>
          <w:p w14:paraId="1A91B3E1" w14:textId="77777777" w:rsidR="0040281B" w:rsidRDefault="00867BEC">
            <w:pPr>
              <w:rPr>
                <w:rFonts w:ascii="Arial" w:eastAsia="Arial" w:hAnsi="Arial" w:cs="Arial"/>
                <w:sz w:val="20"/>
                <w:szCs w:val="20"/>
              </w:rPr>
            </w:pPr>
            <w:r>
              <w:rPr>
                <w:rFonts w:ascii="Arial" w:eastAsia="Arial" w:hAnsi="Arial" w:cs="Arial"/>
                <w:b/>
                <w:color w:val="000000"/>
                <w:sz w:val="20"/>
                <w:szCs w:val="20"/>
              </w:rPr>
              <w:t>Average B-factor (Å</w:t>
            </w:r>
            <w:r>
              <w:rPr>
                <w:rFonts w:ascii="Arial" w:eastAsia="Arial" w:hAnsi="Arial" w:cs="Arial"/>
                <w:b/>
                <w:color w:val="000000"/>
                <w:sz w:val="20"/>
                <w:szCs w:val="20"/>
                <w:vertAlign w:val="superscript"/>
              </w:rPr>
              <w:t>2</w:t>
            </w:r>
            <w:r>
              <w:rPr>
                <w:rFonts w:ascii="Arial" w:eastAsia="Arial" w:hAnsi="Arial" w:cs="Arial"/>
                <w:b/>
                <w:color w:val="000000"/>
                <w:sz w:val="20"/>
                <w:szCs w:val="20"/>
              </w:rPr>
              <w:t>)</w:t>
            </w:r>
          </w:p>
        </w:tc>
        <w:tc>
          <w:tcPr>
            <w:tcW w:w="3034" w:type="dxa"/>
            <w:gridSpan w:val="2"/>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2AE6E17" w14:textId="77777777" w:rsidR="0040281B" w:rsidRDefault="00867BEC">
            <w:pPr>
              <w:rPr>
                <w:rFonts w:ascii="Arial" w:eastAsia="Arial" w:hAnsi="Arial" w:cs="Arial"/>
                <w:sz w:val="20"/>
                <w:szCs w:val="20"/>
              </w:rPr>
            </w:pPr>
            <w:r>
              <w:rPr>
                <w:rFonts w:ascii="Arial" w:eastAsia="Arial" w:hAnsi="Arial" w:cs="Arial"/>
                <w:color w:val="000000"/>
                <w:sz w:val="20"/>
                <w:szCs w:val="20"/>
              </w:rPr>
              <w:t>44.40</w:t>
            </w:r>
          </w:p>
        </w:tc>
      </w:tr>
    </w:tbl>
    <w:p w14:paraId="34071512" w14:textId="77777777" w:rsidR="0040281B" w:rsidRDefault="0040281B">
      <w:pPr>
        <w:spacing w:line="480" w:lineRule="auto"/>
        <w:jc w:val="both"/>
        <w:rPr>
          <w:rFonts w:ascii="Arial" w:eastAsia="Arial" w:hAnsi="Arial" w:cs="Arial"/>
          <w:b/>
          <w:sz w:val="20"/>
          <w:szCs w:val="20"/>
        </w:rPr>
      </w:pPr>
    </w:p>
    <w:p w14:paraId="0EC03387" w14:textId="77777777" w:rsidR="0040281B" w:rsidRDefault="00867BEC">
      <w:pPr>
        <w:rPr>
          <w:rFonts w:ascii="Arial" w:eastAsia="Arial" w:hAnsi="Arial" w:cs="Arial"/>
          <w:b/>
        </w:rPr>
      </w:pPr>
      <w:r>
        <w:rPr>
          <w:rFonts w:ascii="Arial" w:eastAsia="Arial" w:hAnsi="Arial" w:cs="Arial"/>
          <w:b/>
        </w:rPr>
        <w:lastRenderedPageBreak/>
        <w:t>Supplementary Figures</w:t>
      </w:r>
    </w:p>
    <w:p w14:paraId="7E85694D" w14:textId="77777777" w:rsidR="0040281B" w:rsidRDefault="0040281B">
      <w:pPr>
        <w:rPr>
          <w:rFonts w:ascii="Arial" w:eastAsia="Arial" w:hAnsi="Arial" w:cs="Arial"/>
          <w:b/>
        </w:rPr>
      </w:pPr>
    </w:p>
    <w:p w14:paraId="7CF5681B" w14:textId="77777777" w:rsidR="00BE65F5" w:rsidRDefault="00BE65F5">
      <w:pPr>
        <w:pBdr>
          <w:top w:val="nil"/>
          <w:left w:val="nil"/>
          <w:bottom w:val="nil"/>
          <w:right w:val="nil"/>
          <w:between w:val="nil"/>
        </w:pBdr>
        <w:spacing w:line="480" w:lineRule="auto"/>
        <w:jc w:val="both"/>
        <w:rPr>
          <w:rFonts w:ascii="Arial" w:eastAsia="Arial" w:hAnsi="Arial" w:cs="Arial"/>
          <w:b/>
          <w:color w:val="000000"/>
          <w:sz w:val="20"/>
          <w:szCs w:val="20"/>
        </w:rPr>
      </w:pPr>
      <w:bookmarkStart w:id="0" w:name="_gjdgxs" w:colFirst="0" w:colLast="0"/>
      <w:bookmarkEnd w:id="0"/>
    </w:p>
    <w:p w14:paraId="7CA2E2A2" w14:textId="272EFA17" w:rsidR="00BE65F5" w:rsidRDefault="00BE65F5">
      <w:pPr>
        <w:pBdr>
          <w:top w:val="nil"/>
          <w:left w:val="nil"/>
          <w:bottom w:val="nil"/>
          <w:right w:val="nil"/>
          <w:between w:val="nil"/>
        </w:pBdr>
        <w:spacing w:line="480" w:lineRule="auto"/>
        <w:jc w:val="both"/>
        <w:rPr>
          <w:rFonts w:ascii="Arial" w:eastAsia="Arial" w:hAnsi="Arial" w:cs="Arial"/>
          <w:b/>
          <w:color w:val="000000"/>
          <w:sz w:val="20"/>
          <w:szCs w:val="20"/>
        </w:rPr>
      </w:pPr>
      <w:r>
        <w:rPr>
          <w:rFonts w:ascii="Arial" w:eastAsia="Arial" w:hAnsi="Arial" w:cs="Arial"/>
          <w:b/>
          <w:noProof/>
          <w:color w:val="000000"/>
          <w:sz w:val="20"/>
          <w:szCs w:val="20"/>
        </w:rPr>
        <w:drawing>
          <wp:anchor distT="0" distB="0" distL="114300" distR="114300" simplePos="0" relativeHeight="251658240" behindDoc="0" locked="0" layoutInCell="1" allowOverlap="1" wp14:anchorId="50C557FF" wp14:editId="59D2C341">
            <wp:simplePos x="0" y="0"/>
            <wp:positionH relativeFrom="margin">
              <wp:align>center</wp:align>
            </wp:positionH>
            <wp:positionV relativeFrom="paragraph">
              <wp:posOffset>0</wp:posOffset>
            </wp:positionV>
            <wp:extent cx="7200000" cy="2959200"/>
            <wp:effectExtent l="0" t="0" r="1270" b="0"/>
            <wp:wrapTopAndBottom/>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7" cstate="print">
                      <a:extLst>
                        <a:ext uri="{28A0092B-C50C-407E-A947-70E740481C1C}">
                          <a14:useLocalDpi xmlns:a14="http://schemas.microsoft.com/office/drawing/2010/main" val="0"/>
                        </a:ext>
                      </a:extLst>
                    </a:blip>
                    <a:srcRect t="6920" b="64038"/>
                    <a:stretch/>
                  </pic:blipFill>
                  <pic:spPr bwMode="auto">
                    <a:xfrm>
                      <a:off x="0" y="0"/>
                      <a:ext cx="7200000" cy="2959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05F00B" w14:textId="77777777" w:rsidR="00902E1E" w:rsidRDefault="00902E1E">
      <w:pPr>
        <w:pBdr>
          <w:top w:val="nil"/>
          <w:left w:val="nil"/>
          <w:bottom w:val="nil"/>
          <w:right w:val="nil"/>
          <w:between w:val="nil"/>
        </w:pBdr>
        <w:spacing w:line="480" w:lineRule="auto"/>
        <w:jc w:val="both"/>
        <w:rPr>
          <w:rFonts w:ascii="Arial" w:eastAsia="Arial" w:hAnsi="Arial" w:cs="Arial"/>
          <w:b/>
          <w:color w:val="000000"/>
          <w:sz w:val="20"/>
          <w:szCs w:val="20"/>
        </w:rPr>
      </w:pPr>
    </w:p>
    <w:p w14:paraId="0630FAF6" w14:textId="77777777" w:rsidR="00902E1E" w:rsidRDefault="00902E1E">
      <w:pPr>
        <w:pBdr>
          <w:top w:val="nil"/>
          <w:left w:val="nil"/>
          <w:bottom w:val="nil"/>
          <w:right w:val="nil"/>
          <w:between w:val="nil"/>
        </w:pBdr>
        <w:spacing w:line="480" w:lineRule="auto"/>
        <w:jc w:val="both"/>
        <w:rPr>
          <w:rFonts w:ascii="Arial" w:eastAsia="Arial" w:hAnsi="Arial" w:cs="Arial"/>
          <w:b/>
          <w:color w:val="000000"/>
          <w:sz w:val="20"/>
          <w:szCs w:val="20"/>
        </w:rPr>
      </w:pPr>
    </w:p>
    <w:p w14:paraId="5F25B611" w14:textId="09D68820" w:rsidR="0040281B" w:rsidRDefault="00867BEC">
      <w:pPr>
        <w:pBdr>
          <w:top w:val="nil"/>
          <w:left w:val="nil"/>
          <w:bottom w:val="nil"/>
          <w:right w:val="nil"/>
          <w:between w:val="nil"/>
        </w:pBdr>
        <w:spacing w:line="480" w:lineRule="auto"/>
        <w:jc w:val="both"/>
        <w:rPr>
          <w:color w:val="000000"/>
          <w:sz w:val="20"/>
          <w:szCs w:val="20"/>
        </w:rPr>
      </w:pPr>
      <w:r>
        <w:rPr>
          <w:rFonts w:ascii="Arial" w:eastAsia="Arial" w:hAnsi="Arial" w:cs="Arial"/>
          <w:b/>
          <w:color w:val="000000"/>
          <w:sz w:val="20"/>
          <w:szCs w:val="20"/>
        </w:rPr>
        <w:t xml:space="preserve">Supplementary Figure 1: Crystallographic structure of pCRP in complex with C10M. </w:t>
      </w:r>
      <w:r>
        <w:rPr>
          <w:rFonts w:ascii="Arial" w:eastAsia="Arial" w:hAnsi="Arial" w:cs="Arial"/>
          <w:color w:val="000000"/>
          <w:sz w:val="20"/>
          <w:szCs w:val="20"/>
        </w:rPr>
        <w:t>(A) 2</w:t>
      </w:r>
      <w:r>
        <w:rPr>
          <w:rFonts w:ascii="Arial" w:eastAsia="Arial" w:hAnsi="Arial" w:cs="Arial"/>
          <w:i/>
          <w:color w:val="000000"/>
          <w:sz w:val="20"/>
          <w:szCs w:val="20"/>
        </w:rPr>
        <w:t>F</w:t>
      </w:r>
      <w:r>
        <w:rPr>
          <w:rFonts w:ascii="Arial" w:eastAsia="Arial" w:hAnsi="Arial" w:cs="Arial"/>
          <w:color w:val="000000"/>
          <w:sz w:val="20"/>
          <w:szCs w:val="20"/>
          <w:vertAlign w:val="subscript"/>
        </w:rPr>
        <w:t>o</w:t>
      </w:r>
      <w:r>
        <w:rPr>
          <w:rFonts w:ascii="Arial" w:eastAsia="Arial" w:hAnsi="Arial" w:cs="Arial"/>
          <w:color w:val="000000"/>
          <w:sz w:val="20"/>
          <w:szCs w:val="20"/>
        </w:rPr>
        <w:t>-</w:t>
      </w:r>
      <w:r>
        <w:rPr>
          <w:rFonts w:ascii="Arial" w:eastAsia="Arial" w:hAnsi="Arial" w:cs="Arial"/>
          <w:i/>
          <w:color w:val="000000"/>
          <w:sz w:val="20"/>
          <w:szCs w:val="20"/>
        </w:rPr>
        <w:t>F</w:t>
      </w:r>
      <w:r>
        <w:rPr>
          <w:rFonts w:ascii="Arial" w:eastAsia="Arial" w:hAnsi="Arial" w:cs="Arial"/>
          <w:color w:val="000000"/>
          <w:sz w:val="20"/>
          <w:szCs w:val="20"/>
          <w:vertAlign w:val="subscript"/>
        </w:rPr>
        <w:t>c</w:t>
      </w:r>
      <w:r>
        <w:rPr>
          <w:rFonts w:ascii="Arial" w:eastAsia="Arial" w:hAnsi="Arial" w:cs="Arial"/>
          <w:color w:val="000000"/>
          <w:sz w:val="20"/>
          <w:szCs w:val="20"/>
        </w:rPr>
        <w:t xml:space="preserve"> electron density map of C10M bound to pCRP (contoured at 1</w:t>
      </w:r>
      <w:r>
        <w:rPr>
          <w:rFonts w:ascii="Symbol" w:eastAsia="Symbol" w:hAnsi="Symbol" w:cs="Symbol"/>
          <w:color w:val="000000"/>
          <w:sz w:val="20"/>
          <w:szCs w:val="20"/>
        </w:rPr>
        <w:t>σ</w:t>
      </w:r>
      <w:r>
        <w:rPr>
          <w:rFonts w:ascii="Arial" w:eastAsia="Arial" w:hAnsi="Arial" w:cs="Arial"/>
          <w:color w:val="000000"/>
          <w:sz w:val="20"/>
          <w:szCs w:val="20"/>
        </w:rPr>
        <w:t xml:space="preserve">). The 2D structure of C10M is shown lower left. (B) Polder omit map </w:t>
      </w:r>
      <w:r>
        <w:rPr>
          <w:rFonts w:ascii="Arial" w:eastAsia="Arial" w:hAnsi="Arial" w:cs="Arial"/>
          <w:color w:val="000000"/>
          <w:sz w:val="20"/>
          <w:szCs w:val="20"/>
          <w:vertAlign w:val="superscript"/>
        </w:rPr>
        <w:t>27</w:t>
      </w:r>
      <w:r>
        <w:rPr>
          <w:rFonts w:ascii="Arial" w:eastAsia="Arial" w:hAnsi="Arial" w:cs="Arial"/>
          <w:color w:val="000000"/>
          <w:sz w:val="20"/>
          <w:szCs w:val="20"/>
        </w:rPr>
        <w:t xml:space="preserve"> of C10M bound to pCRP (contoured at 5</w:t>
      </w:r>
      <w:r>
        <w:rPr>
          <w:rFonts w:ascii="Symbol" w:eastAsia="Symbol" w:hAnsi="Symbol" w:cs="Symbol"/>
          <w:color w:val="000000"/>
          <w:sz w:val="20"/>
          <w:szCs w:val="20"/>
        </w:rPr>
        <w:t>σ</w:t>
      </w:r>
      <w:r>
        <w:rPr>
          <w:rFonts w:ascii="Arial" w:eastAsia="Arial" w:hAnsi="Arial" w:cs="Arial"/>
          <w:color w:val="000000"/>
          <w:sz w:val="20"/>
          <w:szCs w:val="20"/>
        </w:rPr>
        <w:t>).</w:t>
      </w:r>
    </w:p>
    <w:p w14:paraId="6E31F3D0" w14:textId="727BA4B4" w:rsidR="00BE65F5" w:rsidRDefault="00BE65F5">
      <w:pPr>
        <w:spacing w:line="480" w:lineRule="auto"/>
        <w:jc w:val="both"/>
        <w:rPr>
          <w:rFonts w:ascii="Arial" w:eastAsia="Arial" w:hAnsi="Arial" w:cs="Arial"/>
          <w:b/>
          <w:sz w:val="20"/>
          <w:szCs w:val="20"/>
        </w:rPr>
      </w:pPr>
      <w:r>
        <w:rPr>
          <w:rFonts w:ascii="Arial" w:eastAsia="Arial" w:hAnsi="Arial" w:cs="Arial"/>
          <w:b/>
          <w:noProof/>
          <w:sz w:val="20"/>
          <w:szCs w:val="20"/>
        </w:rPr>
        <w:lastRenderedPageBreak/>
        <w:drawing>
          <wp:anchor distT="0" distB="0" distL="114300" distR="114300" simplePos="0" relativeHeight="251659264" behindDoc="0" locked="0" layoutInCell="1" allowOverlap="1" wp14:anchorId="0C6A7565" wp14:editId="1EF7C174">
            <wp:simplePos x="0" y="0"/>
            <wp:positionH relativeFrom="margin">
              <wp:align>center</wp:align>
            </wp:positionH>
            <wp:positionV relativeFrom="paragraph">
              <wp:posOffset>0</wp:posOffset>
            </wp:positionV>
            <wp:extent cx="7200000" cy="4597200"/>
            <wp:effectExtent l="0" t="0" r="1270" b="63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8" cstate="print">
                      <a:extLst>
                        <a:ext uri="{28A0092B-C50C-407E-A947-70E740481C1C}">
                          <a14:useLocalDpi xmlns:a14="http://schemas.microsoft.com/office/drawing/2010/main" val="0"/>
                        </a:ext>
                      </a:extLst>
                    </a:blip>
                    <a:srcRect t="8073" b="46841"/>
                    <a:stretch/>
                  </pic:blipFill>
                  <pic:spPr bwMode="auto">
                    <a:xfrm>
                      <a:off x="0" y="0"/>
                      <a:ext cx="7200000" cy="4597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8F0C06" w14:textId="3C321D77" w:rsidR="0040281B" w:rsidRPr="00BE65F5" w:rsidRDefault="00867BEC">
      <w:pPr>
        <w:spacing w:line="480" w:lineRule="auto"/>
        <w:jc w:val="both"/>
        <w:rPr>
          <w:rFonts w:ascii="Arial" w:eastAsia="Arial" w:hAnsi="Arial" w:cs="Arial"/>
          <w:sz w:val="20"/>
          <w:szCs w:val="20"/>
        </w:rPr>
      </w:pPr>
      <w:r>
        <w:rPr>
          <w:rFonts w:ascii="Arial" w:eastAsia="Arial" w:hAnsi="Arial" w:cs="Arial"/>
          <w:b/>
          <w:sz w:val="20"/>
          <w:szCs w:val="20"/>
        </w:rPr>
        <w:t>Supplementary Figure 2: CPR-binding to ADP-activated platelets is calcium-dependent.</w:t>
      </w:r>
      <w:r>
        <w:rPr>
          <w:rFonts w:ascii="Arial" w:eastAsia="Arial" w:hAnsi="Arial" w:cs="Arial"/>
          <w:sz w:val="20"/>
          <w:szCs w:val="20"/>
        </w:rPr>
        <w:t xml:space="preserve"> pCRP-Atto 594 incubated with ADP-activated washed platelets showed Ca</w:t>
      </w:r>
      <w:r>
        <w:rPr>
          <w:rFonts w:ascii="Arial" w:eastAsia="Arial" w:hAnsi="Arial" w:cs="Arial"/>
          <w:sz w:val="20"/>
          <w:szCs w:val="20"/>
          <w:vertAlign w:val="superscript"/>
        </w:rPr>
        <w:t>2+</w:t>
      </w:r>
      <w:r>
        <w:rPr>
          <w:rFonts w:ascii="Arial" w:eastAsia="Arial" w:hAnsi="Arial" w:cs="Arial"/>
          <w:sz w:val="20"/>
          <w:szCs w:val="20"/>
        </w:rPr>
        <w:t>-dependent binding of CRP to P-selectin expressing platelets. The shown gating strategy served as control for the inhibition of CRP-binding to activated platelets by C10M.</w:t>
      </w:r>
    </w:p>
    <w:p w14:paraId="30355C02" w14:textId="69A13F7C" w:rsidR="00BE65F5" w:rsidRDefault="00BE65F5">
      <w:pPr>
        <w:spacing w:line="480" w:lineRule="auto"/>
        <w:jc w:val="both"/>
        <w:rPr>
          <w:rFonts w:ascii="Arial" w:eastAsia="Arial" w:hAnsi="Arial" w:cs="Arial"/>
          <w:b/>
          <w:sz w:val="20"/>
          <w:szCs w:val="20"/>
        </w:rPr>
      </w:pPr>
      <w:r>
        <w:rPr>
          <w:rFonts w:ascii="Arial" w:eastAsia="Arial" w:hAnsi="Arial" w:cs="Arial"/>
          <w:b/>
          <w:noProof/>
          <w:sz w:val="20"/>
          <w:szCs w:val="20"/>
        </w:rPr>
        <w:lastRenderedPageBreak/>
        <w:drawing>
          <wp:anchor distT="0" distB="0" distL="114300" distR="114300" simplePos="0" relativeHeight="251660288" behindDoc="0" locked="0" layoutInCell="1" allowOverlap="1" wp14:anchorId="7AC36A4D" wp14:editId="6D872713">
            <wp:simplePos x="0" y="0"/>
            <wp:positionH relativeFrom="margin">
              <wp:align>center</wp:align>
            </wp:positionH>
            <wp:positionV relativeFrom="paragraph">
              <wp:posOffset>0</wp:posOffset>
            </wp:positionV>
            <wp:extent cx="7200000" cy="8316000"/>
            <wp:effectExtent l="0" t="0" r="1270" b="254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9" cstate="print">
                      <a:extLst>
                        <a:ext uri="{28A0092B-C50C-407E-A947-70E740481C1C}">
                          <a14:useLocalDpi xmlns:a14="http://schemas.microsoft.com/office/drawing/2010/main" val="0"/>
                        </a:ext>
                      </a:extLst>
                    </a:blip>
                    <a:srcRect t="7549" b="10882"/>
                    <a:stretch/>
                  </pic:blipFill>
                  <pic:spPr bwMode="auto">
                    <a:xfrm>
                      <a:off x="0" y="0"/>
                      <a:ext cx="7200000" cy="8316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30C934" w14:textId="77777777" w:rsidR="00902E1E" w:rsidRDefault="00902E1E">
      <w:pPr>
        <w:spacing w:line="480" w:lineRule="auto"/>
        <w:jc w:val="both"/>
        <w:rPr>
          <w:rFonts w:ascii="Arial" w:eastAsia="Arial" w:hAnsi="Arial" w:cs="Arial"/>
          <w:b/>
          <w:sz w:val="20"/>
          <w:szCs w:val="20"/>
        </w:rPr>
      </w:pPr>
    </w:p>
    <w:p w14:paraId="2B80587C" w14:textId="77777777" w:rsidR="00902E1E" w:rsidRDefault="00902E1E">
      <w:pPr>
        <w:spacing w:line="480" w:lineRule="auto"/>
        <w:jc w:val="both"/>
        <w:rPr>
          <w:rFonts w:ascii="Arial" w:eastAsia="Arial" w:hAnsi="Arial" w:cs="Arial"/>
          <w:b/>
          <w:sz w:val="20"/>
          <w:szCs w:val="20"/>
        </w:rPr>
      </w:pPr>
    </w:p>
    <w:p w14:paraId="2F15965F" w14:textId="77777777" w:rsidR="00902E1E" w:rsidRDefault="00902E1E">
      <w:pPr>
        <w:spacing w:line="480" w:lineRule="auto"/>
        <w:jc w:val="both"/>
        <w:rPr>
          <w:rFonts w:ascii="Arial" w:eastAsia="Arial" w:hAnsi="Arial" w:cs="Arial"/>
          <w:b/>
          <w:sz w:val="20"/>
          <w:szCs w:val="20"/>
        </w:rPr>
      </w:pPr>
    </w:p>
    <w:p w14:paraId="10CD2397" w14:textId="75CF5C51" w:rsidR="0040281B" w:rsidRDefault="00867BEC">
      <w:pPr>
        <w:spacing w:line="480" w:lineRule="auto"/>
        <w:jc w:val="both"/>
        <w:rPr>
          <w:rFonts w:ascii="Arial" w:eastAsia="Arial" w:hAnsi="Arial" w:cs="Arial"/>
          <w:sz w:val="20"/>
          <w:szCs w:val="20"/>
        </w:rPr>
      </w:pPr>
      <w:r>
        <w:rPr>
          <w:rFonts w:ascii="Arial" w:eastAsia="Arial" w:hAnsi="Arial" w:cs="Arial"/>
          <w:b/>
          <w:sz w:val="20"/>
          <w:szCs w:val="20"/>
        </w:rPr>
        <w:t>Supplementary Figure 3:</w:t>
      </w:r>
      <w:r>
        <w:rPr>
          <w:rFonts w:ascii="Arial" w:eastAsia="Arial" w:hAnsi="Arial" w:cs="Arial"/>
          <w:sz w:val="20"/>
          <w:szCs w:val="20"/>
        </w:rPr>
        <w:t xml:space="preserve"> </w:t>
      </w:r>
      <w:r>
        <w:rPr>
          <w:rFonts w:ascii="Arial" w:eastAsia="Arial" w:hAnsi="Arial" w:cs="Arial"/>
          <w:b/>
          <w:sz w:val="20"/>
          <w:szCs w:val="20"/>
        </w:rPr>
        <w:t>CPR-binding to microvesicles as a pro-inflammatory vehicle is abrogated by C10M.</w:t>
      </w:r>
      <w:r>
        <w:rPr>
          <w:rFonts w:ascii="Arial" w:eastAsia="Arial" w:hAnsi="Arial" w:cs="Arial"/>
          <w:sz w:val="20"/>
          <w:szCs w:val="20"/>
        </w:rPr>
        <w:t xml:space="preserve"> (A) pCRP-Atto 594 (red) incubated with CMFDA-labeled (green) microvesicles derived from THP-1 cells were found bound to HUVECs (nucleus DAPI-stained, blue) by confocal fluorescence microscopy. THP-1 cells were CMFDA-labeled and LPS-stimulated in the presence of pCRP-Atto 594 (50 µg/ml) with and without C10M (1:100 molar ratio, pCRP to C10M). Shedded microvesicles were purified and added to HUVEC monolayers in µ-slides. After 2 hours, cells were fixed and embedded. Scale bar 20 µm. ICAM-1 expression in HUVECs induced by pCRP* bound to microvesicles was performed as described under (Fig. 4B and C). Isolated microvesicles treated with pCRP and pCRP + C10M, respectively, incubated with HUVECs for 6 hours. ICAM-1 expression was detected by specific antibody and assessed by flow cytometry. Scatter plots of median fluorescence intensity (MFI) results in flow cytometry are shown with results normalized to control = 100, mean </w:t>
      </w:r>
      <w:r>
        <w:rPr>
          <w:rFonts w:ascii="Symbol" w:eastAsia="Symbol" w:hAnsi="Symbol" w:cs="Symbol"/>
          <w:sz w:val="20"/>
          <w:szCs w:val="20"/>
        </w:rPr>
        <w:t>±</w:t>
      </w:r>
      <w:r>
        <w:rPr>
          <w:rFonts w:ascii="Arial" w:eastAsia="Arial" w:hAnsi="Arial" w:cs="Arial"/>
          <w:sz w:val="20"/>
          <w:szCs w:val="20"/>
        </w:rPr>
        <w:t xml:space="preserve"> SEM. </w:t>
      </w:r>
      <w:r>
        <w:rPr>
          <w:rFonts w:ascii="Arial" w:eastAsia="Arial" w:hAnsi="Arial" w:cs="Arial"/>
          <w:i/>
          <w:sz w:val="20"/>
          <w:szCs w:val="20"/>
        </w:rPr>
        <w:t>P</w:t>
      </w:r>
      <w:r>
        <w:rPr>
          <w:rFonts w:ascii="Arial" w:eastAsia="Arial" w:hAnsi="Arial" w:cs="Arial"/>
          <w:sz w:val="20"/>
          <w:szCs w:val="20"/>
        </w:rPr>
        <w:t xml:space="preserve"> values were calculated with ANOVA and </w:t>
      </w:r>
      <w:r>
        <w:rPr>
          <w:rFonts w:ascii="Arial" w:eastAsia="Arial" w:hAnsi="Arial" w:cs="Arial"/>
          <w:i/>
          <w:sz w:val="20"/>
          <w:szCs w:val="20"/>
        </w:rPr>
        <w:t>Tukey’s</w:t>
      </w:r>
      <w:r>
        <w:rPr>
          <w:rFonts w:ascii="Arial" w:eastAsia="Arial" w:hAnsi="Arial" w:cs="Arial"/>
          <w:sz w:val="20"/>
          <w:szCs w:val="20"/>
        </w:rPr>
        <w:t xml:space="preserve"> post-hoc test. n = 6. ***</w:t>
      </w:r>
      <w:r>
        <w:rPr>
          <w:rFonts w:ascii="Arial" w:eastAsia="Arial" w:hAnsi="Arial" w:cs="Arial"/>
          <w:i/>
          <w:sz w:val="20"/>
          <w:szCs w:val="20"/>
        </w:rPr>
        <w:t>P</w:t>
      </w:r>
      <w:r>
        <w:rPr>
          <w:rFonts w:ascii="Arial" w:eastAsia="Arial" w:hAnsi="Arial" w:cs="Arial"/>
          <w:sz w:val="20"/>
          <w:szCs w:val="20"/>
        </w:rPr>
        <w:t xml:space="preserve"> &lt;0.001, ****</w:t>
      </w:r>
      <w:r>
        <w:rPr>
          <w:rFonts w:ascii="Arial" w:eastAsia="Arial" w:hAnsi="Arial" w:cs="Arial"/>
          <w:i/>
          <w:sz w:val="20"/>
          <w:szCs w:val="20"/>
        </w:rPr>
        <w:t>P</w:t>
      </w:r>
      <w:r>
        <w:rPr>
          <w:rFonts w:ascii="Arial" w:eastAsia="Arial" w:hAnsi="Arial" w:cs="Arial"/>
          <w:sz w:val="20"/>
          <w:szCs w:val="20"/>
        </w:rPr>
        <w:t xml:space="preserve"> &lt;0.0001, ns: not significant. (B) CRP-dependent ROS generation was tested in human heparinized whole blood by redox-indicator dihydroethidium (DHE) in monocytes and neutrophils. Blood samples incubated for 3 hours at 37 °C and 5 % CO</w:t>
      </w:r>
      <w:r>
        <w:rPr>
          <w:rFonts w:ascii="Arial" w:eastAsia="Arial" w:hAnsi="Arial" w:cs="Arial"/>
          <w:sz w:val="20"/>
          <w:szCs w:val="20"/>
          <w:vertAlign w:val="subscript"/>
        </w:rPr>
        <w:t>2</w:t>
      </w:r>
      <w:r>
        <w:rPr>
          <w:rFonts w:ascii="Arial" w:eastAsia="Arial" w:hAnsi="Arial" w:cs="Arial"/>
          <w:sz w:val="20"/>
          <w:szCs w:val="20"/>
        </w:rPr>
        <w:t xml:space="preserve"> with 50 µg/ml pCRP and mCRP, 20 µM ADP and C10M (10 mM), respectively. Control was left unstimulated. mCRP served as positive control. DHE (10 µg/ml) was added for the last 30 min of incubation. Cells were pelleted (450 </w:t>
      </w:r>
      <w:r>
        <w:rPr>
          <w:rFonts w:ascii="Arial" w:eastAsia="Arial" w:hAnsi="Arial" w:cs="Arial"/>
          <w:i/>
          <w:sz w:val="20"/>
          <w:szCs w:val="20"/>
        </w:rPr>
        <w:t>x g</w:t>
      </w:r>
      <w:r>
        <w:rPr>
          <w:rFonts w:ascii="Arial" w:eastAsia="Arial" w:hAnsi="Arial" w:cs="Arial"/>
          <w:sz w:val="20"/>
          <w:szCs w:val="20"/>
        </w:rPr>
        <w:t xml:space="preserve">, 5 min), treated with ammonium chloride red blood cell lysis and washed again. Cells were stained with anti-CD14 Pacific Blue (1:50), anti-CD16 PE-Cy7 (1:50), and anti HLA-DR APC (1:50). Cells were washed again and subsequently analyzed by flow cytometry. Displayed is a scatter plot of MFI results in flow cytometry with results normalized to control = 100, mean </w:t>
      </w:r>
      <w:r>
        <w:rPr>
          <w:rFonts w:ascii="Symbol" w:eastAsia="Symbol" w:hAnsi="Symbol" w:cs="Symbol"/>
          <w:sz w:val="20"/>
          <w:szCs w:val="20"/>
        </w:rPr>
        <w:t>±</w:t>
      </w:r>
      <w:r>
        <w:rPr>
          <w:rFonts w:ascii="Arial" w:eastAsia="Arial" w:hAnsi="Arial" w:cs="Arial"/>
          <w:sz w:val="20"/>
          <w:szCs w:val="20"/>
        </w:rPr>
        <w:t xml:space="preserve"> SEM. </w:t>
      </w:r>
      <w:r>
        <w:rPr>
          <w:rFonts w:ascii="Arial" w:eastAsia="Arial" w:hAnsi="Arial" w:cs="Arial"/>
          <w:i/>
          <w:sz w:val="20"/>
          <w:szCs w:val="20"/>
        </w:rPr>
        <w:t>P</w:t>
      </w:r>
      <w:r>
        <w:rPr>
          <w:rFonts w:ascii="Arial" w:eastAsia="Arial" w:hAnsi="Arial" w:cs="Arial"/>
          <w:sz w:val="20"/>
          <w:szCs w:val="20"/>
        </w:rPr>
        <w:t xml:space="preserve"> values were calculated with ANOVA and </w:t>
      </w:r>
      <w:r>
        <w:rPr>
          <w:rFonts w:ascii="Arial" w:eastAsia="Arial" w:hAnsi="Arial" w:cs="Arial"/>
          <w:i/>
          <w:sz w:val="20"/>
          <w:szCs w:val="20"/>
        </w:rPr>
        <w:t>Tukey’s</w:t>
      </w:r>
      <w:r>
        <w:rPr>
          <w:rFonts w:ascii="Arial" w:eastAsia="Arial" w:hAnsi="Arial" w:cs="Arial"/>
          <w:sz w:val="20"/>
          <w:szCs w:val="20"/>
        </w:rPr>
        <w:t xml:space="preserve"> post-hoc test. n = 4. *</w:t>
      </w:r>
      <w:r>
        <w:rPr>
          <w:rFonts w:ascii="Arial" w:eastAsia="Arial" w:hAnsi="Arial" w:cs="Arial"/>
          <w:i/>
          <w:sz w:val="20"/>
          <w:szCs w:val="20"/>
        </w:rPr>
        <w:t>P</w:t>
      </w:r>
      <w:r>
        <w:rPr>
          <w:rFonts w:ascii="Arial" w:eastAsia="Arial" w:hAnsi="Arial" w:cs="Arial"/>
          <w:sz w:val="20"/>
          <w:szCs w:val="20"/>
        </w:rPr>
        <w:t xml:space="preserve"> &lt;0.05, **</w:t>
      </w:r>
      <w:r>
        <w:rPr>
          <w:rFonts w:ascii="Arial" w:eastAsia="Arial" w:hAnsi="Arial" w:cs="Arial"/>
          <w:i/>
          <w:sz w:val="20"/>
          <w:szCs w:val="20"/>
        </w:rPr>
        <w:t>P</w:t>
      </w:r>
      <w:r>
        <w:rPr>
          <w:rFonts w:ascii="Arial" w:eastAsia="Arial" w:hAnsi="Arial" w:cs="Arial"/>
          <w:sz w:val="20"/>
          <w:szCs w:val="20"/>
        </w:rPr>
        <w:t xml:space="preserve"> &lt;0.01, ***</w:t>
      </w:r>
      <w:r>
        <w:rPr>
          <w:rFonts w:ascii="Arial" w:eastAsia="Arial" w:hAnsi="Arial" w:cs="Arial"/>
          <w:i/>
          <w:sz w:val="20"/>
          <w:szCs w:val="20"/>
        </w:rPr>
        <w:t>P</w:t>
      </w:r>
      <w:r>
        <w:rPr>
          <w:rFonts w:ascii="Arial" w:eastAsia="Arial" w:hAnsi="Arial" w:cs="Arial"/>
          <w:sz w:val="20"/>
          <w:szCs w:val="20"/>
        </w:rPr>
        <w:t xml:space="preserve"> &lt;0.001, ****</w:t>
      </w:r>
      <w:r>
        <w:rPr>
          <w:rFonts w:ascii="Arial" w:eastAsia="Arial" w:hAnsi="Arial" w:cs="Arial"/>
          <w:i/>
          <w:sz w:val="20"/>
          <w:szCs w:val="20"/>
        </w:rPr>
        <w:t>P</w:t>
      </w:r>
      <w:r>
        <w:rPr>
          <w:rFonts w:ascii="Arial" w:eastAsia="Arial" w:hAnsi="Arial" w:cs="Arial"/>
          <w:sz w:val="20"/>
          <w:szCs w:val="20"/>
        </w:rPr>
        <w:t xml:space="preserve"> &lt;0.0001, ns: not significant. (C) Detection of pCRP*/mCRP-induced NET formation by confocal fluorescence microscopy. Neutrophils and platelets were isolated from fresh human whole blood. Washed platelets incubated with 20 µM ADP and pCRP (50 µg/ml) with and without C10M for 15 min. Subsequently, platelets were added to isolated neutrophils and placed on µ-slides.</w:t>
      </w:r>
    </w:p>
    <w:p w14:paraId="28DB106E" w14:textId="77777777" w:rsidR="0040281B" w:rsidRDefault="0040281B">
      <w:pPr>
        <w:spacing w:line="480" w:lineRule="auto"/>
        <w:jc w:val="both"/>
        <w:rPr>
          <w:rFonts w:ascii="Arial" w:eastAsia="Arial" w:hAnsi="Arial" w:cs="Arial"/>
          <w:sz w:val="20"/>
          <w:szCs w:val="20"/>
        </w:rPr>
      </w:pPr>
    </w:p>
    <w:p w14:paraId="771204C1" w14:textId="77777777" w:rsidR="0040281B" w:rsidRDefault="0040281B">
      <w:pPr>
        <w:spacing w:line="480" w:lineRule="auto"/>
        <w:jc w:val="both"/>
        <w:rPr>
          <w:rFonts w:ascii="Arial" w:eastAsia="Arial" w:hAnsi="Arial" w:cs="Arial"/>
          <w:b/>
          <w:sz w:val="20"/>
          <w:szCs w:val="20"/>
        </w:rPr>
      </w:pPr>
    </w:p>
    <w:p w14:paraId="2077D02F" w14:textId="77777777" w:rsidR="00BE65F5" w:rsidRDefault="00BE65F5">
      <w:pPr>
        <w:rPr>
          <w:rFonts w:ascii="Arial" w:eastAsia="Arial" w:hAnsi="Arial" w:cs="Arial"/>
          <w:b/>
        </w:rPr>
      </w:pPr>
      <w:r>
        <w:rPr>
          <w:rFonts w:ascii="Arial" w:eastAsia="Arial" w:hAnsi="Arial" w:cs="Arial"/>
          <w:b/>
        </w:rPr>
        <w:br w:type="page"/>
      </w:r>
    </w:p>
    <w:p w14:paraId="094D542E" w14:textId="6A0D6F68" w:rsidR="0040281B" w:rsidRDefault="00867BEC">
      <w:pPr>
        <w:spacing w:line="480" w:lineRule="auto"/>
        <w:jc w:val="both"/>
        <w:rPr>
          <w:rFonts w:ascii="Arial" w:eastAsia="Arial" w:hAnsi="Arial" w:cs="Arial"/>
          <w:sz w:val="20"/>
          <w:szCs w:val="20"/>
        </w:rPr>
      </w:pPr>
      <w:r>
        <w:rPr>
          <w:rFonts w:ascii="Arial" w:eastAsia="Arial" w:hAnsi="Arial" w:cs="Arial"/>
          <w:b/>
        </w:rPr>
        <w:lastRenderedPageBreak/>
        <w:t>Supplementary References</w:t>
      </w:r>
    </w:p>
    <w:p w14:paraId="76A32A1F"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w:t>
      </w:r>
      <w:r>
        <w:rPr>
          <w:rFonts w:ascii="Arial" w:eastAsia="Arial" w:hAnsi="Arial" w:cs="Arial"/>
          <w:color w:val="000000"/>
          <w:sz w:val="20"/>
          <w:szCs w:val="20"/>
        </w:rPr>
        <w:tab/>
        <w:t xml:space="preserve">Braig D, Nero TL, Koch HG, Kaiser B, Wang X, Thiele JR, Morton CJ, Zeller J, Kiefer J, Potempa LA, Mellett NA, Miles LA, Du XJ, Meikle PJ, Huber-Lang M, Stark GB, Parker MW, Peter K and Eisenhardt SU. Transitional changes in the CRP structure </w:t>
      </w:r>
      <w:proofErr w:type="gramStart"/>
      <w:r>
        <w:rPr>
          <w:rFonts w:ascii="Arial" w:eastAsia="Arial" w:hAnsi="Arial" w:cs="Arial"/>
          <w:color w:val="000000"/>
          <w:sz w:val="20"/>
          <w:szCs w:val="20"/>
        </w:rPr>
        <w:t>lead</w:t>
      </w:r>
      <w:proofErr w:type="gramEnd"/>
      <w:r>
        <w:rPr>
          <w:rFonts w:ascii="Arial" w:eastAsia="Arial" w:hAnsi="Arial" w:cs="Arial"/>
          <w:color w:val="000000"/>
          <w:sz w:val="20"/>
          <w:szCs w:val="20"/>
        </w:rPr>
        <w:t xml:space="preserve"> to the exposure of proinflammatory binding sites. Nature communications. </w:t>
      </w:r>
      <w:proofErr w:type="gramStart"/>
      <w:r>
        <w:rPr>
          <w:rFonts w:ascii="Arial" w:eastAsia="Arial" w:hAnsi="Arial" w:cs="Arial"/>
          <w:color w:val="000000"/>
          <w:sz w:val="20"/>
          <w:szCs w:val="20"/>
        </w:rPr>
        <w:t>2017;8:14188</w:t>
      </w:r>
      <w:proofErr w:type="gramEnd"/>
      <w:r>
        <w:rPr>
          <w:rFonts w:ascii="Arial" w:eastAsia="Arial" w:hAnsi="Arial" w:cs="Arial"/>
          <w:color w:val="000000"/>
          <w:sz w:val="20"/>
          <w:szCs w:val="20"/>
        </w:rPr>
        <w:t>.</w:t>
      </w:r>
    </w:p>
    <w:p w14:paraId="6C93D70D"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w:t>
      </w:r>
      <w:r>
        <w:rPr>
          <w:rFonts w:ascii="Arial" w:eastAsia="Arial" w:hAnsi="Arial" w:cs="Arial"/>
          <w:color w:val="000000"/>
          <w:sz w:val="20"/>
          <w:szCs w:val="20"/>
        </w:rPr>
        <w:tab/>
        <w:t xml:space="preserve">Ying SC, Gewurz H, Kinoshita CM, Potempa LA and Siegel JN. Identification and partial characterization of multiple native and neoantigenic epitopes of human C-reactive protein by using monoclonal antibodies. J Immunol. </w:t>
      </w:r>
      <w:proofErr w:type="gramStart"/>
      <w:r>
        <w:rPr>
          <w:rFonts w:ascii="Arial" w:eastAsia="Arial" w:hAnsi="Arial" w:cs="Arial"/>
          <w:color w:val="000000"/>
          <w:sz w:val="20"/>
          <w:szCs w:val="20"/>
        </w:rPr>
        <w:t>1989;143:221</w:t>
      </w:r>
      <w:proofErr w:type="gramEnd"/>
      <w:r>
        <w:rPr>
          <w:rFonts w:ascii="Arial" w:eastAsia="Arial" w:hAnsi="Arial" w:cs="Arial"/>
          <w:color w:val="000000"/>
          <w:sz w:val="20"/>
          <w:szCs w:val="20"/>
        </w:rPr>
        <w:t>-8.</w:t>
      </w:r>
    </w:p>
    <w:p w14:paraId="7EAE0E39"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3.</w:t>
      </w:r>
      <w:r>
        <w:rPr>
          <w:rFonts w:ascii="Arial" w:eastAsia="Arial" w:hAnsi="Arial" w:cs="Arial"/>
          <w:color w:val="000000"/>
          <w:sz w:val="20"/>
          <w:szCs w:val="20"/>
        </w:rPr>
        <w:tab/>
        <w:t xml:space="preserve">Volanakis JE. Human C-reactive protein: expression, structure, and function. Mol Immunol. </w:t>
      </w:r>
      <w:proofErr w:type="gramStart"/>
      <w:r>
        <w:rPr>
          <w:rFonts w:ascii="Arial" w:eastAsia="Arial" w:hAnsi="Arial" w:cs="Arial"/>
          <w:color w:val="000000"/>
          <w:sz w:val="20"/>
          <w:szCs w:val="20"/>
        </w:rPr>
        <w:t>2001;38:189</w:t>
      </w:r>
      <w:proofErr w:type="gramEnd"/>
      <w:r>
        <w:rPr>
          <w:rFonts w:ascii="Arial" w:eastAsia="Arial" w:hAnsi="Arial" w:cs="Arial"/>
          <w:color w:val="000000"/>
          <w:sz w:val="20"/>
          <w:szCs w:val="20"/>
        </w:rPr>
        <w:t>-97.</w:t>
      </w:r>
    </w:p>
    <w:p w14:paraId="76648E53"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4.</w:t>
      </w:r>
      <w:r>
        <w:rPr>
          <w:rFonts w:ascii="Arial" w:eastAsia="Arial" w:hAnsi="Arial" w:cs="Arial"/>
          <w:color w:val="000000"/>
          <w:sz w:val="20"/>
          <w:szCs w:val="20"/>
        </w:rPr>
        <w:tab/>
        <w:t xml:space="preserve">Lane T, Wassef N, Poole S, Mistry Y, Lachmann HJ, Gillmore JD, Hawkins PN and Pepys MB. Infusion of pharmaceutical-grade natural human C-reactive protein is not proinflammatory in healthy adult human volunteers. Circ Res. </w:t>
      </w:r>
      <w:proofErr w:type="gramStart"/>
      <w:r>
        <w:rPr>
          <w:rFonts w:ascii="Arial" w:eastAsia="Arial" w:hAnsi="Arial" w:cs="Arial"/>
          <w:color w:val="000000"/>
          <w:sz w:val="20"/>
          <w:szCs w:val="20"/>
        </w:rPr>
        <w:t>2014;114:672</w:t>
      </w:r>
      <w:proofErr w:type="gramEnd"/>
      <w:r>
        <w:rPr>
          <w:rFonts w:ascii="Arial" w:eastAsia="Arial" w:hAnsi="Arial" w:cs="Arial"/>
          <w:color w:val="000000"/>
          <w:sz w:val="20"/>
          <w:szCs w:val="20"/>
        </w:rPr>
        <w:t>-6.</w:t>
      </w:r>
    </w:p>
    <w:p w14:paraId="0AB4FC78"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5.</w:t>
      </w:r>
      <w:r>
        <w:rPr>
          <w:rFonts w:ascii="Arial" w:eastAsia="Arial" w:hAnsi="Arial" w:cs="Arial"/>
          <w:color w:val="000000"/>
          <w:sz w:val="20"/>
          <w:szCs w:val="20"/>
        </w:rPr>
        <w:tab/>
        <w:t xml:space="preserve">Griselli M, Herbert J, Hutchinson WL, Taylor KM, Sohail M, Krausz T and Pepys MB. C-reactive protein and complement are important mediators of tissue damage in acute myocardial infarction. J Exp Med. </w:t>
      </w:r>
      <w:proofErr w:type="gramStart"/>
      <w:r>
        <w:rPr>
          <w:rFonts w:ascii="Arial" w:eastAsia="Arial" w:hAnsi="Arial" w:cs="Arial"/>
          <w:color w:val="000000"/>
          <w:sz w:val="20"/>
          <w:szCs w:val="20"/>
        </w:rPr>
        <w:t>1999;190:1733</w:t>
      </w:r>
      <w:proofErr w:type="gramEnd"/>
      <w:r>
        <w:rPr>
          <w:rFonts w:ascii="Arial" w:eastAsia="Arial" w:hAnsi="Arial" w:cs="Arial"/>
          <w:color w:val="000000"/>
          <w:sz w:val="20"/>
          <w:szCs w:val="20"/>
        </w:rPr>
        <w:t>-40.</w:t>
      </w:r>
    </w:p>
    <w:p w14:paraId="5C4633E0"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6.</w:t>
      </w:r>
      <w:r>
        <w:rPr>
          <w:rFonts w:ascii="Arial" w:eastAsia="Arial" w:hAnsi="Arial" w:cs="Arial"/>
          <w:color w:val="000000"/>
          <w:sz w:val="20"/>
          <w:szCs w:val="20"/>
        </w:rPr>
        <w:tab/>
        <w:t xml:space="preserve">Gill R, Kemp JA, Sabin C and Pepys MB. Human C-reactive protein increases cerebral infarct size after middle cerebral artery occlusion in adult rats. J Cereb Blood Flow Metab. </w:t>
      </w:r>
      <w:proofErr w:type="gramStart"/>
      <w:r>
        <w:rPr>
          <w:rFonts w:ascii="Arial" w:eastAsia="Arial" w:hAnsi="Arial" w:cs="Arial"/>
          <w:color w:val="000000"/>
          <w:sz w:val="20"/>
          <w:szCs w:val="20"/>
        </w:rPr>
        <w:t>2004;24:1214</w:t>
      </w:r>
      <w:proofErr w:type="gramEnd"/>
      <w:r>
        <w:rPr>
          <w:rFonts w:ascii="Arial" w:eastAsia="Arial" w:hAnsi="Arial" w:cs="Arial"/>
          <w:color w:val="000000"/>
          <w:sz w:val="20"/>
          <w:szCs w:val="20"/>
        </w:rPr>
        <w:t>-8.</w:t>
      </w:r>
    </w:p>
    <w:p w14:paraId="0C40FFA1"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7.</w:t>
      </w:r>
      <w:r>
        <w:rPr>
          <w:rFonts w:ascii="Arial" w:eastAsia="Arial" w:hAnsi="Arial" w:cs="Arial"/>
          <w:color w:val="000000"/>
          <w:sz w:val="20"/>
          <w:szCs w:val="20"/>
        </w:rPr>
        <w:tab/>
        <w:t xml:space="preserve">Pepys MB, Hirschfield GM, Tennent GA, Gallimore JR, Kahan MC, Bellotti V, Hawkins PN, Myers RM, Smith MD, Polara A, Cobb AJ, Ley SV, Aquilina JA, Robinson CV, Sharif I, Gray GA, Sabin CA, Jenvey MC, Kolstoe SE, Thompson D and Wood SP. Targeting C-reactive protein for the treatment of cardiovascular disease. Nature. </w:t>
      </w:r>
      <w:proofErr w:type="gramStart"/>
      <w:r>
        <w:rPr>
          <w:rFonts w:ascii="Arial" w:eastAsia="Arial" w:hAnsi="Arial" w:cs="Arial"/>
          <w:color w:val="000000"/>
          <w:sz w:val="20"/>
          <w:szCs w:val="20"/>
        </w:rPr>
        <w:t>2006;440:1217</w:t>
      </w:r>
      <w:proofErr w:type="gramEnd"/>
      <w:r>
        <w:rPr>
          <w:rFonts w:ascii="Arial" w:eastAsia="Arial" w:hAnsi="Arial" w:cs="Arial"/>
          <w:color w:val="000000"/>
          <w:sz w:val="20"/>
          <w:szCs w:val="20"/>
        </w:rPr>
        <w:t>-21.</w:t>
      </w:r>
    </w:p>
    <w:p w14:paraId="349B8281"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8.</w:t>
      </w:r>
      <w:r>
        <w:rPr>
          <w:rFonts w:ascii="Arial" w:eastAsia="Arial" w:hAnsi="Arial" w:cs="Arial"/>
          <w:color w:val="000000"/>
          <w:sz w:val="20"/>
          <w:szCs w:val="20"/>
        </w:rPr>
        <w:tab/>
        <w:t xml:space="preserve">Biro A, Rovo Z, Papp D, Cervenak L, Varga L, Fust G, Thielens NM, Arlaud GJ and Prohaszka Z. Studies on the interactions between C-reactive protein and complement proteins. Immunology. </w:t>
      </w:r>
      <w:proofErr w:type="gramStart"/>
      <w:r>
        <w:rPr>
          <w:rFonts w:ascii="Arial" w:eastAsia="Arial" w:hAnsi="Arial" w:cs="Arial"/>
          <w:color w:val="000000"/>
          <w:sz w:val="20"/>
          <w:szCs w:val="20"/>
        </w:rPr>
        <w:t>2007;121:40</w:t>
      </w:r>
      <w:proofErr w:type="gramEnd"/>
      <w:r>
        <w:rPr>
          <w:rFonts w:ascii="Arial" w:eastAsia="Arial" w:hAnsi="Arial" w:cs="Arial"/>
          <w:color w:val="000000"/>
          <w:sz w:val="20"/>
          <w:szCs w:val="20"/>
        </w:rPr>
        <w:t>-50.</w:t>
      </w:r>
    </w:p>
    <w:p w14:paraId="4CEA5F7C"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9.</w:t>
      </w:r>
      <w:r>
        <w:rPr>
          <w:rFonts w:ascii="Arial" w:eastAsia="Arial" w:hAnsi="Arial" w:cs="Arial"/>
          <w:color w:val="000000"/>
          <w:sz w:val="20"/>
          <w:szCs w:val="20"/>
        </w:rPr>
        <w:tab/>
        <w:t xml:space="preserve">Volanakis JEC, W. </w:t>
      </w:r>
      <w:proofErr w:type="gramStart"/>
      <w:r>
        <w:rPr>
          <w:rFonts w:ascii="Arial" w:eastAsia="Arial" w:hAnsi="Arial" w:cs="Arial"/>
          <w:color w:val="000000"/>
          <w:sz w:val="20"/>
          <w:szCs w:val="20"/>
        </w:rPr>
        <w:t>L. ;</w:t>
      </w:r>
      <w:proofErr w:type="gramEnd"/>
      <w:r>
        <w:rPr>
          <w:rFonts w:ascii="Arial" w:eastAsia="Arial" w:hAnsi="Arial" w:cs="Arial"/>
          <w:color w:val="000000"/>
          <w:sz w:val="20"/>
          <w:szCs w:val="20"/>
        </w:rPr>
        <w:t xml:space="preserve">  Schrohenloher, R.E. C-reactive protein: purification by affinity chromatography and physicochemical characterization. Journal of Immunological Methods. </w:t>
      </w:r>
      <w:proofErr w:type="gramStart"/>
      <w:r>
        <w:rPr>
          <w:rFonts w:ascii="Arial" w:eastAsia="Arial" w:hAnsi="Arial" w:cs="Arial"/>
          <w:color w:val="000000"/>
          <w:sz w:val="20"/>
          <w:szCs w:val="20"/>
        </w:rPr>
        <w:t>1978;23:285</w:t>
      </w:r>
      <w:proofErr w:type="gramEnd"/>
      <w:r>
        <w:rPr>
          <w:rFonts w:ascii="Arial" w:eastAsia="Arial" w:hAnsi="Arial" w:cs="Arial"/>
          <w:color w:val="000000"/>
          <w:sz w:val="20"/>
          <w:szCs w:val="20"/>
        </w:rPr>
        <w:t>-295.</w:t>
      </w:r>
    </w:p>
    <w:p w14:paraId="565E02F8"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10.</w:t>
      </w:r>
      <w:r>
        <w:rPr>
          <w:rFonts w:ascii="Arial" w:eastAsia="Arial" w:hAnsi="Arial" w:cs="Arial"/>
          <w:color w:val="000000"/>
          <w:sz w:val="20"/>
          <w:szCs w:val="20"/>
        </w:rPr>
        <w:tab/>
        <w:t xml:space="preserve">Eisenhardt SU, Habersberger J, Murphy A, Chen YC, Woollard KJ, Bassler N, Qian H, von Zur Muhlen C, Hagemeyer CE, Ahrens I, Chin-Dusting J, Bobik A and Peter K. Dissociation of pentameric </w:t>
      </w:r>
      <w:r>
        <w:rPr>
          <w:rFonts w:ascii="Arial" w:eastAsia="Arial" w:hAnsi="Arial" w:cs="Arial"/>
          <w:color w:val="000000"/>
          <w:sz w:val="20"/>
          <w:szCs w:val="20"/>
        </w:rPr>
        <w:lastRenderedPageBreak/>
        <w:t xml:space="preserve">to monomeric C-reactive protein on activated platelets localizes inflammation to atherosclerotic plaques. Circ Res. </w:t>
      </w:r>
      <w:proofErr w:type="gramStart"/>
      <w:r>
        <w:rPr>
          <w:rFonts w:ascii="Arial" w:eastAsia="Arial" w:hAnsi="Arial" w:cs="Arial"/>
          <w:color w:val="000000"/>
          <w:sz w:val="20"/>
          <w:szCs w:val="20"/>
        </w:rPr>
        <w:t>2009;105:128</w:t>
      </w:r>
      <w:proofErr w:type="gramEnd"/>
      <w:r>
        <w:rPr>
          <w:rFonts w:ascii="Arial" w:eastAsia="Arial" w:hAnsi="Arial" w:cs="Arial"/>
          <w:color w:val="000000"/>
          <w:sz w:val="20"/>
          <w:szCs w:val="20"/>
        </w:rPr>
        <w:t>-37.</w:t>
      </w:r>
    </w:p>
    <w:p w14:paraId="6FA4C5A6"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11.</w:t>
      </w:r>
      <w:r>
        <w:rPr>
          <w:rFonts w:ascii="Arial" w:eastAsia="Arial" w:hAnsi="Arial" w:cs="Arial"/>
          <w:color w:val="000000"/>
          <w:sz w:val="20"/>
          <w:szCs w:val="20"/>
        </w:rPr>
        <w:tab/>
        <w:t xml:space="preserve">Thiele JR, Habersberger J, Braig D, Schmidt Y, Goerendt K, Maurer V, Bannasch H, Scheichl A, Woollard KJ, von Dobschutz E, Kolodgie F, Virmani R, Stark GB, Peter K and Eisenhardt SU. Dissociation of pentameric to monomeric C-reactive protein localizes and aggravates inflammation: in vivo proof of a powerful proinflammatory mechanism and a new anti-inflammatory strategy. Circulation. </w:t>
      </w:r>
      <w:proofErr w:type="gramStart"/>
      <w:r>
        <w:rPr>
          <w:rFonts w:ascii="Arial" w:eastAsia="Arial" w:hAnsi="Arial" w:cs="Arial"/>
          <w:color w:val="000000"/>
          <w:sz w:val="20"/>
          <w:szCs w:val="20"/>
        </w:rPr>
        <w:t>2014;130:35</w:t>
      </w:r>
      <w:proofErr w:type="gramEnd"/>
      <w:r>
        <w:rPr>
          <w:rFonts w:ascii="Arial" w:eastAsia="Arial" w:hAnsi="Arial" w:cs="Arial"/>
          <w:color w:val="000000"/>
          <w:sz w:val="20"/>
          <w:szCs w:val="20"/>
        </w:rPr>
        <w:t>-50.</w:t>
      </w:r>
    </w:p>
    <w:p w14:paraId="1F3F5E2E"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12.</w:t>
      </w:r>
      <w:r>
        <w:rPr>
          <w:rFonts w:ascii="Arial" w:eastAsia="Arial" w:hAnsi="Arial" w:cs="Arial"/>
          <w:color w:val="000000"/>
          <w:sz w:val="20"/>
          <w:szCs w:val="20"/>
        </w:rPr>
        <w:tab/>
        <w:t xml:space="preserve">O'Neil-Andersen NJ and Lawrence DA. Differential modulation of surface and intracellular protein expression by T cells after stimulation in the presence of monensin or brefeldin A. Clin Diagn Lab Immunol. </w:t>
      </w:r>
      <w:proofErr w:type="gramStart"/>
      <w:r>
        <w:rPr>
          <w:rFonts w:ascii="Arial" w:eastAsia="Arial" w:hAnsi="Arial" w:cs="Arial"/>
          <w:color w:val="000000"/>
          <w:sz w:val="20"/>
          <w:szCs w:val="20"/>
        </w:rPr>
        <w:t>2002;9:243</w:t>
      </w:r>
      <w:proofErr w:type="gramEnd"/>
      <w:r>
        <w:rPr>
          <w:rFonts w:ascii="Arial" w:eastAsia="Arial" w:hAnsi="Arial" w:cs="Arial"/>
          <w:color w:val="000000"/>
          <w:sz w:val="20"/>
          <w:szCs w:val="20"/>
        </w:rPr>
        <w:t>-50.</w:t>
      </w:r>
    </w:p>
    <w:p w14:paraId="5D0CBB57"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13.</w:t>
      </w:r>
      <w:r>
        <w:rPr>
          <w:rFonts w:ascii="Arial" w:eastAsia="Arial" w:hAnsi="Arial" w:cs="Arial"/>
          <w:color w:val="000000"/>
          <w:sz w:val="20"/>
          <w:szCs w:val="20"/>
        </w:rPr>
        <w:tab/>
        <w:t xml:space="preserve">Belge KU, Dayyani F, Horelt A, Siedlar M, Frankenberger M, Frankenberger B, Espevik T and Ziegler-Heitbrock L. The proinflammatory CD14+CD16+DR++ monocytes are a major source of TNF. J Immunol. </w:t>
      </w:r>
      <w:proofErr w:type="gramStart"/>
      <w:r>
        <w:rPr>
          <w:rFonts w:ascii="Arial" w:eastAsia="Arial" w:hAnsi="Arial" w:cs="Arial"/>
          <w:color w:val="000000"/>
          <w:sz w:val="20"/>
          <w:szCs w:val="20"/>
        </w:rPr>
        <w:t>2002;168:3536</w:t>
      </w:r>
      <w:proofErr w:type="gramEnd"/>
      <w:r>
        <w:rPr>
          <w:rFonts w:ascii="Arial" w:eastAsia="Arial" w:hAnsi="Arial" w:cs="Arial"/>
          <w:color w:val="000000"/>
          <w:sz w:val="20"/>
          <w:szCs w:val="20"/>
        </w:rPr>
        <w:t>-42.</w:t>
      </w:r>
    </w:p>
    <w:p w14:paraId="4C7BCE06"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14.</w:t>
      </w:r>
      <w:r>
        <w:rPr>
          <w:rFonts w:ascii="Arial" w:eastAsia="Arial" w:hAnsi="Arial" w:cs="Arial"/>
          <w:color w:val="000000"/>
          <w:sz w:val="20"/>
          <w:szCs w:val="20"/>
        </w:rPr>
        <w:tab/>
        <w:t xml:space="preserve">Boyum A. Separation of leukocytes from blood and bone marrow. Introduction. Scand J Clin Lab Invest Suppl. </w:t>
      </w:r>
      <w:proofErr w:type="gramStart"/>
      <w:r>
        <w:rPr>
          <w:rFonts w:ascii="Arial" w:eastAsia="Arial" w:hAnsi="Arial" w:cs="Arial"/>
          <w:color w:val="000000"/>
          <w:sz w:val="20"/>
          <w:szCs w:val="20"/>
        </w:rPr>
        <w:t>1968;97:7</w:t>
      </w:r>
      <w:proofErr w:type="gramEnd"/>
      <w:r>
        <w:rPr>
          <w:rFonts w:ascii="Arial" w:eastAsia="Arial" w:hAnsi="Arial" w:cs="Arial"/>
          <w:color w:val="000000"/>
          <w:sz w:val="20"/>
          <w:szCs w:val="20"/>
        </w:rPr>
        <w:t>.</w:t>
      </w:r>
    </w:p>
    <w:p w14:paraId="449B98B7"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15.</w:t>
      </w:r>
      <w:r>
        <w:rPr>
          <w:rFonts w:ascii="Arial" w:eastAsia="Arial" w:hAnsi="Arial" w:cs="Arial"/>
          <w:color w:val="000000"/>
          <w:sz w:val="20"/>
          <w:szCs w:val="20"/>
        </w:rPr>
        <w:tab/>
        <w:t xml:space="preserve">Ferrante A and Thong YH. Optimal conditions for simultaneous purification of mononuclear and polymorphonuclear leucocytes from human blood by the Hypaque-Ficoll method. J Immunol Methods. </w:t>
      </w:r>
      <w:proofErr w:type="gramStart"/>
      <w:r>
        <w:rPr>
          <w:rFonts w:ascii="Arial" w:eastAsia="Arial" w:hAnsi="Arial" w:cs="Arial"/>
          <w:color w:val="000000"/>
          <w:sz w:val="20"/>
          <w:szCs w:val="20"/>
        </w:rPr>
        <w:t>1980;36:109</w:t>
      </w:r>
      <w:proofErr w:type="gramEnd"/>
      <w:r>
        <w:rPr>
          <w:rFonts w:ascii="Arial" w:eastAsia="Arial" w:hAnsi="Arial" w:cs="Arial"/>
          <w:color w:val="000000"/>
          <w:sz w:val="20"/>
          <w:szCs w:val="20"/>
        </w:rPr>
        <w:t>-17.</w:t>
      </w:r>
    </w:p>
    <w:p w14:paraId="203E8AD6"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16.</w:t>
      </w:r>
      <w:r>
        <w:rPr>
          <w:rFonts w:ascii="Arial" w:eastAsia="Arial" w:hAnsi="Arial" w:cs="Arial"/>
          <w:color w:val="000000"/>
          <w:sz w:val="20"/>
          <w:szCs w:val="20"/>
        </w:rPr>
        <w:tab/>
        <w:t xml:space="preserve">Eisenhardt SU, Habersberger J and Peter K. Monomeric C-reactive protein generation on activated platelets: the missing link between inflammation and atherothrombotic risk. Trends Cardiovasc Med. </w:t>
      </w:r>
      <w:proofErr w:type="gramStart"/>
      <w:r>
        <w:rPr>
          <w:rFonts w:ascii="Arial" w:eastAsia="Arial" w:hAnsi="Arial" w:cs="Arial"/>
          <w:color w:val="000000"/>
          <w:sz w:val="20"/>
          <w:szCs w:val="20"/>
        </w:rPr>
        <w:t>2009;19:232</w:t>
      </w:r>
      <w:proofErr w:type="gramEnd"/>
      <w:r>
        <w:rPr>
          <w:rFonts w:ascii="Arial" w:eastAsia="Arial" w:hAnsi="Arial" w:cs="Arial"/>
          <w:color w:val="000000"/>
          <w:sz w:val="20"/>
          <w:szCs w:val="20"/>
        </w:rPr>
        <w:t>-7.</w:t>
      </w:r>
    </w:p>
    <w:p w14:paraId="1A60EBDE"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17.</w:t>
      </w:r>
      <w:r>
        <w:rPr>
          <w:rFonts w:ascii="Arial" w:eastAsia="Arial" w:hAnsi="Arial" w:cs="Arial"/>
          <w:color w:val="000000"/>
          <w:sz w:val="20"/>
          <w:szCs w:val="20"/>
        </w:rPr>
        <w:tab/>
        <w:t xml:space="preserve">Mold C, Gresham HD and Du Clos TW. Serum amyloid P component and C-reactive protein mediate phagocytosis through murine Fc gamma Rs. J Immunol. </w:t>
      </w:r>
      <w:proofErr w:type="gramStart"/>
      <w:r>
        <w:rPr>
          <w:rFonts w:ascii="Arial" w:eastAsia="Arial" w:hAnsi="Arial" w:cs="Arial"/>
          <w:color w:val="000000"/>
          <w:sz w:val="20"/>
          <w:szCs w:val="20"/>
        </w:rPr>
        <w:t>2001;166:1200</w:t>
      </w:r>
      <w:proofErr w:type="gramEnd"/>
      <w:r>
        <w:rPr>
          <w:rFonts w:ascii="Arial" w:eastAsia="Arial" w:hAnsi="Arial" w:cs="Arial"/>
          <w:color w:val="000000"/>
          <w:sz w:val="20"/>
          <w:szCs w:val="20"/>
        </w:rPr>
        <w:t>-5.</w:t>
      </w:r>
    </w:p>
    <w:p w14:paraId="13455900"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18.</w:t>
      </w:r>
      <w:r>
        <w:rPr>
          <w:rFonts w:ascii="Arial" w:eastAsia="Arial" w:hAnsi="Arial" w:cs="Arial"/>
          <w:color w:val="000000"/>
          <w:sz w:val="20"/>
          <w:szCs w:val="20"/>
        </w:rPr>
        <w:tab/>
        <w:t xml:space="preserve">Bharadwaj D, Stein MP, Volzer M, Mold C and Du Clos TW. The major receptor for C-reactive protein on leukocytes is fcgamma receptor II. J Exp Med. </w:t>
      </w:r>
      <w:proofErr w:type="gramStart"/>
      <w:r>
        <w:rPr>
          <w:rFonts w:ascii="Arial" w:eastAsia="Arial" w:hAnsi="Arial" w:cs="Arial"/>
          <w:color w:val="000000"/>
          <w:sz w:val="20"/>
          <w:szCs w:val="20"/>
        </w:rPr>
        <w:t>1999;190:585</w:t>
      </w:r>
      <w:proofErr w:type="gramEnd"/>
      <w:r>
        <w:rPr>
          <w:rFonts w:ascii="Arial" w:eastAsia="Arial" w:hAnsi="Arial" w:cs="Arial"/>
          <w:color w:val="000000"/>
          <w:sz w:val="20"/>
          <w:szCs w:val="20"/>
        </w:rPr>
        <w:t>-90.</w:t>
      </w:r>
    </w:p>
    <w:p w14:paraId="66741510"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19.</w:t>
      </w:r>
      <w:r>
        <w:rPr>
          <w:rFonts w:ascii="Arial" w:eastAsia="Arial" w:hAnsi="Arial" w:cs="Arial"/>
          <w:color w:val="000000"/>
          <w:sz w:val="20"/>
          <w:szCs w:val="20"/>
        </w:rPr>
        <w:tab/>
        <w:t xml:space="preserve">Nuutila J and Lilius EM. Flow cytometric quantitative determination of ingestion by phagocytes needs the distinguishing of overlapping populations of binding and ingesting cells. Cytometry A. </w:t>
      </w:r>
      <w:proofErr w:type="gramStart"/>
      <w:r>
        <w:rPr>
          <w:rFonts w:ascii="Arial" w:eastAsia="Arial" w:hAnsi="Arial" w:cs="Arial"/>
          <w:color w:val="000000"/>
          <w:sz w:val="20"/>
          <w:szCs w:val="20"/>
        </w:rPr>
        <w:t>2005;65:93</w:t>
      </w:r>
      <w:proofErr w:type="gramEnd"/>
      <w:r>
        <w:rPr>
          <w:rFonts w:ascii="Arial" w:eastAsia="Arial" w:hAnsi="Arial" w:cs="Arial"/>
          <w:color w:val="000000"/>
          <w:sz w:val="20"/>
          <w:szCs w:val="20"/>
        </w:rPr>
        <w:t>-102.</w:t>
      </w:r>
    </w:p>
    <w:p w14:paraId="0E58EC45"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20.</w:t>
      </w:r>
      <w:r>
        <w:rPr>
          <w:rFonts w:ascii="Arial" w:eastAsia="Arial" w:hAnsi="Arial" w:cs="Arial"/>
          <w:color w:val="000000"/>
          <w:sz w:val="20"/>
          <w:szCs w:val="20"/>
        </w:rPr>
        <w:tab/>
        <w:t xml:space="preserve">Zhao H, Kalivendi S, Zhang H, Joseph J, Nithipatikom K, Vasquez-Vivar J and Kalyanaraman B. Superoxide reacts with hydroethidine but forms a fluorescent product that is distinctly different from </w:t>
      </w:r>
      <w:r>
        <w:rPr>
          <w:rFonts w:ascii="Arial" w:eastAsia="Arial" w:hAnsi="Arial" w:cs="Arial"/>
          <w:color w:val="000000"/>
          <w:sz w:val="20"/>
          <w:szCs w:val="20"/>
        </w:rPr>
        <w:lastRenderedPageBreak/>
        <w:t xml:space="preserve">ethidium: potential implications in intracellular fluorescence detection of superoxide. Free Radic Biol Med. </w:t>
      </w:r>
      <w:proofErr w:type="gramStart"/>
      <w:r>
        <w:rPr>
          <w:rFonts w:ascii="Arial" w:eastAsia="Arial" w:hAnsi="Arial" w:cs="Arial"/>
          <w:color w:val="000000"/>
          <w:sz w:val="20"/>
          <w:szCs w:val="20"/>
        </w:rPr>
        <w:t>2003;34:1359</w:t>
      </w:r>
      <w:proofErr w:type="gramEnd"/>
      <w:r>
        <w:rPr>
          <w:rFonts w:ascii="Arial" w:eastAsia="Arial" w:hAnsi="Arial" w:cs="Arial"/>
          <w:color w:val="000000"/>
          <w:sz w:val="20"/>
          <w:szCs w:val="20"/>
        </w:rPr>
        <w:t>-68.</w:t>
      </w:r>
    </w:p>
    <w:p w14:paraId="046CC44C"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21.</w:t>
      </w:r>
      <w:r>
        <w:rPr>
          <w:rFonts w:ascii="Arial" w:eastAsia="Arial" w:hAnsi="Arial" w:cs="Arial"/>
          <w:color w:val="000000"/>
          <w:sz w:val="20"/>
          <w:szCs w:val="20"/>
        </w:rPr>
        <w:tab/>
        <w:t xml:space="preserve">Kalyanaraman B, Darley-Usmar V, Davies KJ, Dennery PA, Forman HJ, Grisham MB, Mann GE, Moore K, Roberts LJ, 2nd and Ischiropoulos H. Measuring reactive oxygen and nitrogen species with fluorescent probes: challenges and limitations. Free Radic Biol Med. </w:t>
      </w:r>
      <w:proofErr w:type="gramStart"/>
      <w:r>
        <w:rPr>
          <w:rFonts w:ascii="Arial" w:eastAsia="Arial" w:hAnsi="Arial" w:cs="Arial"/>
          <w:color w:val="000000"/>
          <w:sz w:val="20"/>
          <w:szCs w:val="20"/>
        </w:rPr>
        <w:t>2012;52:1</w:t>
      </w:r>
      <w:proofErr w:type="gramEnd"/>
      <w:r>
        <w:rPr>
          <w:rFonts w:ascii="Arial" w:eastAsia="Arial" w:hAnsi="Arial" w:cs="Arial"/>
          <w:color w:val="000000"/>
          <w:sz w:val="20"/>
          <w:szCs w:val="20"/>
        </w:rPr>
        <w:t>-6.</w:t>
      </w:r>
    </w:p>
    <w:p w14:paraId="5BB3580C"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22.</w:t>
      </w:r>
      <w:r>
        <w:rPr>
          <w:rFonts w:ascii="Arial" w:eastAsia="Arial" w:hAnsi="Arial" w:cs="Arial"/>
          <w:color w:val="000000"/>
          <w:sz w:val="20"/>
          <w:szCs w:val="20"/>
        </w:rPr>
        <w:tab/>
        <w:t xml:space="preserve">Jarvis GE. Platelet aggregation: turbidimetric measurements. Methods Mol Biol. </w:t>
      </w:r>
      <w:proofErr w:type="gramStart"/>
      <w:r>
        <w:rPr>
          <w:rFonts w:ascii="Arial" w:eastAsia="Arial" w:hAnsi="Arial" w:cs="Arial"/>
          <w:color w:val="000000"/>
          <w:sz w:val="20"/>
          <w:szCs w:val="20"/>
        </w:rPr>
        <w:t>2004;272:65</w:t>
      </w:r>
      <w:proofErr w:type="gramEnd"/>
      <w:r>
        <w:rPr>
          <w:rFonts w:ascii="Arial" w:eastAsia="Arial" w:hAnsi="Arial" w:cs="Arial"/>
          <w:color w:val="000000"/>
          <w:sz w:val="20"/>
          <w:szCs w:val="20"/>
        </w:rPr>
        <w:t>-76.</w:t>
      </w:r>
    </w:p>
    <w:p w14:paraId="0A45A64B"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23.</w:t>
      </w:r>
      <w:r>
        <w:rPr>
          <w:rFonts w:ascii="Arial" w:eastAsia="Arial" w:hAnsi="Arial" w:cs="Arial"/>
          <w:color w:val="000000"/>
          <w:sz w:val="20"/>
          <w:szCs w:val="20"/>
        </w:rPr>
        <w:tab/>
        <w:t xml:space="preserve">Cazenave JP, Ohlmann P, Cassel D, Eckly A, Hechler B and Gachet C. Preparation of washed platelet suspensions from human and rodent blood. Methods Mol Biol. </w:t>
      </w:r>
      <w:proofErr w:type="gramStart"/>
      <w:r>
        <w:rPr>
          <w:rFonts w:ascii="Arial" w:eastAsia="Arial" w:hAnsi="Arial" w:cs="Arial"/>
          <w:color w:val="000000"/>
          <w:sz w:val="20"/>
          <w:szCs w:val="20"/>
        </w:rPr>
        <w:t>2004;272:13</w:t>
      </w:r>
      <w:proofErr w:type="gramEnd"/>
      <w:r>
        <w:rPr>
          <w:rFonts w:ascii="Arial" w:eastAsia="Arial" w:hAnsi="Arial" w:cs="Arial"/>
          <w:color w:val="000000"/>
          <w:sz w:val="20"/>
          <w:szCs w:val="20"/>
        </w:rPr>
        <w:t>-28.</w:t>
      </w:r>
    </w:p>
    <w:p w14:paraId="2D094E3C"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24.</w:t>
      </w:r>
      <w:r>
        <w:rPr>
          <w:rFonts w:ascii="Arial" w:eastAsia="Arial" w:hAnsi="Arial" w:cs="Arial"/>
          <w:color w:val="000000"/>
          <w:sz w:val="20"/>
          <w:szCs w:val="20"/>
        </w:rPr>
        <w:tab/>
        <w:t xml:space="preserve">Schneider CA, Rasband WS and Eliceiri KW. NIH Image to ImageJ: 25 years of image analysis. Nat Methods. </w:t>
      </w:r>
      <w:proofErr w:type="gramStart"/>
      <w:r>
        <w:rPr>
          <w:rFonts w:ascii="Arial" w:eastAsia="Arial" w:hAnsi="Arial" w:cs="Arial"/>
          <w:color w:val="000000"/>
          <w:sz w:val="20"/>
          <w:szCs w:val="20"/>
        </w:rPr>
        <w:t>2012;9:671</w:t>
      </w:r>
      <w:proofErr w:type="gramEnd"/>
      <w:r>
        <w:rPr>
          <w:rFonts w:ascii="Arial" w:eastAsia="Arial" w:hAnsi="Arial" w:cs="Arial"/>
          <w:color w:val="000000"/>
          <w:sz w:val="20"/>
          <w:szCs w:val="20"/>
        </w:rPr>
        <w:t>-5.</w:t>
      </w:r>
    </w:p>
    <w:p w14:paraId="590B161B"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25.</w:t>
      </w:r>
      <w:r>
        <w:rPr>
          <w:rFonts w:ascii="Arial" w:eastAsia="Arial" w:hAnsi="Arial" w:cs="Arial"/>
          <w:color w:val="000000"/>
          <w:sz w:val="20"/>
          <w:szCs w:val="20"/>
        </w:rPr>
        <w:tab/>
        <w:t xml:space="preserve">Thompson D, Pepys MB and Wood SP. The physiological structure of human C-reactive protein and its complex with phosphocholine. Structure. </w:t>
      </w:r>
      <w:proofErr w:type="gramStart"/>
      <w:r>
        <w:rPr>
          <w:rFonts w:ascii="Arial" w:eastAsia="Arial" w:hAnsi="Arial" w:cs="Arial"/>
          <w:color w:val="000000"/>
          <w:sz w:val="20"/>
          <w:szCs w:val="20"/>
        </w:rPr>
        <w:t>1999;7:169</w:t>
      </w:r>
      <w:proofErr w:type="gramEnd"/>
      <w:r>
        <w:rPr>
          <w:rFonts w:ascii="Arial" w:eastAsia="Arial" w:hAnsi="Arial" w:cs="Arial"/>
          <w:color w:val="000000"/>
          <w:sz w:val="20"/>
          <w:szCs w:val="20"/>
        </w:rPr>
        <w:t>-77.</w:t>
      </w:r>
    </w:p>
    <w:p w14:paraId="195C007F"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26.</w:t>
      </w:r>
      <w:r>
        <w:rPr>
          <w:rFonts w:ascii="Arial" w:eastAsia="Arial" w:hAnsi="Arial" w:cs="Arial"/>
          <w:color w:val="000000"/>
          <w:sz w:val="20"/>
          <w:szCs w:val="20"/>
        </w:rPr>
        <w:tab/>
        <w:t xml:space="preserve">Krissinel E and Henrick K. Inference of macromolecular assemblies from crystalline state. J Mol Biol. </w:t>
      </w:r>
      <w:proofErr w:type="gramStart"/>
      <w:r>
        <w:rPr>
          <w:rFonts w:ascii="Arial" w:eastAsia="Arial" w:hAnsi="Arial" w:cs="Arial"/>
          <w:color w:val="000000"/>
          <w:sz w:val="20"/>
          <w:szCs w:val="20"/>
        </w:rPr>
        <w:t>2007;372:774</w:t>
      </w:r>
      <w:proofErr w:type="gramEnd"/>
      <w:r>
        <w:rPr>
          <w:rFonts w:ascii="Arial" w:eastAsia="Arial" w:hAnsi="Arial" w:cs="Arial"/>
          <w:color w:val="000000"/>
          <w:sz w:val="20"/>
          <w:szCs w:val="20"/>
        </w:rPr>
        <w:t>-97.</w:t>
      </w:r>
    </w:p>
    <w:p w14:paraId="798BD72F" w14:textId="77777777" w:rsidR="0040281B" w:rsidRDefault="00867BEC">
      <w:pPr>
        <w:pBdr>
          <w:top w:val="nil"/>
          <w:left w:val="nil"/>
          <w:bottom w:val="nil"/>
          <w:right w:val="nil"/>
          <w:between w:val="nil"/>
        </w:pBdr>
        <w:spacing w:line="480" w:lineRule="auto"/>
        <w:jc w:val="both"/>
        <w:rPr>
          <w:rFonts w:ascii="Arial" w:eastAsia="Arial" w:hAnsi="Arial" w:cs="Arial"/>
          <w:color w:val="000000"/>
          <w:sz w:val="20"/>
          <w:szCs w:val="20"/>
        </w:rPr>
      </w:pPr>
      <w:r>
        <w:rPr>
          <w:rFonts w:ascii="Arial" w:eastAsia="Arial" w:hAnsi="Arial" w:cs="Arial"/>
          <w:color w:val="000000"/>
          <w:sz w:val="20"/>
          <w:szCs w:val="20"/>
        </w:rPr>
        <w:t>27.</w:t>
      </w:r>
      <w:r>
        <w:rPr>
          <w:rFonts w:ascii="Arial" w:eastAsia="Arial" w:hAnsi="Arial" w:cs="Arial"/>
          <w:color w:val="000000"/>
          <w:sz w:val="20"/>
          <w:szCs w:val="20"/>
        </w:rPr>
        <w:tab/>
        <w:t xml:space="preserve">Liebschner D, Afonine PV, Moriarty NW, Poon BK, Sobolev OV, Terwilliger TC and Adams PD. Polder maps: improving OMIT maps by excluding bulk solvent. Acta Crystallogr D Struct Biol. </w:t>
      </w:r>
      <w:proofErr w:type="gramStart"/>
      <w:r>
        <w:rPr>
          <w:rFonts w:ascii="Arial" w:eastAsia="Arial" w:hAnsi="Arial" w:cs="Arial"/>
          <w:color w:val="000000"/>
          <w:sz w:val="20"/>
          <w:szCs w:val="20"/>
        </w:rPr>
        <w:t>2017;73:148</w:t>
      </w:r>
      <w:proofErr w:type="gramEnd"/>
      <w:r>
        <w:rPr>
          <w:rFonts w:ascii="Arial" w:eastAsia="Arial" w:hAnsi="Arial" w:cs="Arial"/>
          <w:color w:val="000000"/>
          <w:sz w:val="20"/>
          <w:szCs w:val="20"/>
        </w:rPr>
        <w:t>-157.</w:t>
      </w:r>
    </w:p>
    <w:p w14:paraId="04CB181E" w14:textId="77777777" w:rsidR="0040281B" w:rsidRDefault="0040281B">
      <w:pPr>
        <w:spacing w:line="480" w:lineRule="auto"/>
        <w:jc w:val="both"/>
        <w:rPr>
          <w:rFonts w:ascii="Arial" w:eastAsia="Arial" w:hAnsi="Arial" w:cs="Arial"/>
          <w:sz w:val="20"/>
          <w:szCs w:val="20"/>
        </w:rPr>
      </w:pPr>
    </w:p>
    <w:sectPr w:rsidR="0040281B">
      <w:footerReference w:type="even" r:id="rId10"/>
      <w:footerReference w:type="default" r:id="rId11"/>
      <w:pgSz w:w="11900" w:h="16840"/>
      <w:pgMar w:top="1417" w:right="1417" w:bottom="1134"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627FA" w14:textId="77777777" w:rsidR="00AE5A55" w:rsidRDefault="00AE5A55">
      <w:r>
        <w:separator/>
      </w:r>
    </w:p>
  </w:endnote>
  <w:endnote w:type="continuationSeparator" w:id="0">
    <w:p w14:paraId="4A6DB645" w14:textId="77777777" w:rsidR="00AE5A55" w:rsidRDefault="00AE5A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FFD8" w14:textId="77777777" w:rsidR="0040281B" w:rsidRDefault="00867BEC">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sidR="00AE5A55">
      <w:rPr>
        <w:color w:val="000000"/>
      </w:rPr>
      <w:fldChar w:fldCharType="separate"/>
    </w:r>
    <w:r>
      <w:rPr>
        <w:color w:val="000000"/>
      </w:rPr>
      <w:fldChar w:fldCharType="end"/>
    </w:r>
  </w:p>
  <w:p w14:paraId="73B7BFF5" w14:textId="77777777" w:rsidR="0040281B" w:rsidRDefault="0040281B">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516E2" w14:textId="77777777" w:rsidR="0040281B" w:rsidRDefault="00867BEC">
    <w:pPr>
      <w:pBdr>
        <w:top w:val="nil"/>
        <w:left w:val="nil"/>
        <w:bottom w:val="nil"/>
        <w:right w:val="nil"/>
        <w:between w:val="nil"/>
      </w:pBdr>
      <w:tabs>
        <w:tab w:val="center" w:pos="4536"/>
        <w:tab w:val="right" w:pos="9072"/>
      </w:tabs>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separate"/>
    </w:r>
    <w:r w:rsidR="00BE65F5">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7E6BC213" w14:textId="77777777" w:rsidR="0040281B" w:rsidRDefault="0040281B">
    <w:pPr>
      <w:pBdr>
        <w:top w:val="nil"/>
        <w:left w:val="nil"/>
        <w:bottom w:val="nil"/>
        <w:right w:val="nil"/>
        <w:between w:val="nil"/>
      </w:pBdr>
      <w:tabs>
        <w:tab w:val="center" w:pos="4536"/>
        <w:tab w:val="right" w:pos="9072"/>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5AE2" w14:textId="77777777" w:rsidR="00AE5A55" w:rsidRDefault="00AE5A55">
      <w:r>
        <w:separator/>
      </w:r>
    </w:p>
  </w:footnote>
  <w:footnote w:type="continuationSeparator" w:id="0">
    <w:p w14:paraId="57BE9E1B" w14:textId="77777777" w:rsidR="00AE5A55" w:rsidRDefault="00AE5A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81B"/>
    <w:rsid w:val="0040281B"/>
    <w:rsid w:val="005C0269"/>
    <w:rsid w:val="00736C95"/>
    <w:rsid w:val="00867BEC"/>
    <w:rsid w:val="00902E1E"/>
    <w:rsid w:val="00AE5A55"/>
    <w:rsid w:val="00BE65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0193B"/>
  <w15:docId w15:val="{161DC31B-E1D2-7842-B7A4-48480AFD3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240" w:line="259" w:lineRule="auto"/>
      <w:outlineLvl w:val="0"/>
    </w:pPr>
    <w:rPr>
      <w:rFonts w:ascii="Calibri" w:eastAsia="Calibri" w:hAnsi="Calibri" w:cs="Calibri"/>
      <w:color w:val="2F5496"/>
      <w:sz w:val="32"/>
      <w:szCs w:val="32"/>
    </w:rPr>
  </w:style>
  <w:style w:type="paragraph" w:styleId="berschrift2">
    <w:name w:val="heading 2"/>
    <w:basedOn w:val="Standard"/>
    <w:next w:val="Standard"/>
    <w:uiPriority w:val="9"/>
    <w:semiHidden/>
    <w:unhideWhenUsed/>
    <w:qFormat/>
    <w:pPr>
      <w:keepNext/>
      <w:keepLines/>
      <w:spacing w:before="40" w:line="259" w:lineRule="auto"/>
      <w:outlineLvl w:val="1"/>
    </w:pPr>
    <w:rPr>
      <w:rFonts w:ascii="Calibri" w:eastAsia="Calibri" w:hAnsi="Calibri" w:cs="Calibri"/>
      <w:color w:val="2F5496"/>
      <w:sz w:val="26"/>
      <w:szCs w:val="26"/>
    </w:rPr>
  </w:style>
  <w:style w:type="paragraph" w:styleId="berschrift3">
    <w:name w:val="heading 3"/>
    <w:basedOn w:val="Standard"/>
    <w:next w:val="Standard"/>
    <w:uiPriority w:val="9"/>
    <w:semiHidden/>
    <w:unhideWhenUsed/>
    <w:qFormat/>
    <w:pPr>
      <w:outlineLvl w:val="2"/>
    </w:pPr>
    <w:rPr>
      <w:b/>
      <w:sz w:val="27"/>
      <w:szCs w:val="27"/>
    </w:rPr>
  </w:style>
  <w:style w:type="paragraph" w:styleId="berschrift4">
    <w:name w:val="heading 4"/>
    <w:basedOn w:val="Standard"/>
    <w:next w:val="Standard"/>
    <w:uiPriority w:val="9"/>
    <w:semiHidden/>
    <w:unhideWhenUsed/>
    <w:qFormat/>
    <w:pPr>
      <w:keepNext/>
      <w:keepLines/>
      <w:spacing w:before="240" w:after="40"/>
      <w:outlineLvl w:val="3"/>
    </w:pPr>
    <w:rPr>
      <w:b/>
    </w:rPr>
  </w:style>
  <w:style w:type="paragraph" w:styleId="berschrift5">
    <w:name w:val="heading 5"/>
    <w:basedOn w:val="Standard"/>
    <w:next w:val="Standard"/>
    <w:uiPriority w:val="9"/>
    <w:semiHidden/>
    <w:unhideWhenUsed/>
    <w:qFormat/>
    <w:pPr>
      <w:keepNext/>
      <w:keepLines/>
      <w:spacing w:before="220" w:after="40"/>
      <w:outlineLvl w:val="4"/>
    </w:pPr>
    <w:rPr>
      <w:b/>
      <w:sz w:val="22"/>
      <w:szCs w:val="22"/>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5329</Words>
  <Characters>33579</Characters>
  <Application>Microsoft Office Word</Application>
  <DocSecurity>0</DocSecurity>
  <Lines>279</Lines>
  <Paragraphs>77</Paragraphs>
  <ScaleCrop>false</ScaleCrop>
  <Company/>
  <LinksUpToDate>false</LinksUpToDate>
  <CharactersWithSpaces>38831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Johannes Zeller</cp:lastModifiedBy>
  <cp:revision>4</cp:revision>
  <dcterms:created xsi:type="dcterms:W3CDTF">2021-09-26T11:15:00Z</dcterms:created>
  <dcterms:modified xsi:type="dcterms:W3CDTF">2021-09-26T17:28:00Z</dcterms:modified>
</cp:coreProperties>
</file>