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C3F4" w14:textId="77777777" w:rsidR="009811F3" w:rsidRPr="009811F3" w:rsidRDefault="009811F3" w:rsidP="009811F3">
      <w:pPr>
        <w:jc w:val="both"/>
        <w:rPr>
          <w:rFonts w:ascii="Times New Roman" w:hAnsi="Times New Roman" w:cs="Times New Roman"/>
        </w:rPr>
      </w:pPr>
      <w:r w:rsidRPr="009811F3">
        <w:rPr>
          <w:rFonts w:ascii="Times New Roman" w:hAnsi="Times New Roman" w:cs="Times New Roman"/>
          <w:b/>
          <w:bCs/>
        </w:rPr>
        <w:t>Supplementary Methods. Additional Statistical Analyses</w:t>
      </w:r>
    </w:p>
    <w:p w14:paraId="3B3D454D" w14:textId="77777777" w:rsidR="009811F3" w:rsidRPr="009811F3" w:rsidRDefault="009811F3" w:rsidP="009811F3">
      <w:pPr>
        <w:jc w:val="both"/>
        <w:rPr>
          <w:rFonts w:ascii="Times New Roman" w:hAnsi="Times New Roman" w:cs="Times New Roman"/>
        </w:rPr>
      </w:pPr>
      <w:r w:rsidRPr="009811F3">
        <w:rPr>
          <w:rFonts w:ascii="Times New Roman" w:hAnsi="Times New Roman" w:cs="Times New Roman"/>
        </w:rPr>
        <w:t>Further details of the statistical analyses are provided here.</w:t>
      </w:r>
    </w:p>
    <w:p w14:paraId="389876C3" w14:textId="77777777" w:rsidR="009811F3" w:rsidRPr="009811F3" w:rsidRDefault="009811F3" w:rsidP="009811F3">
      <w:pPr>
        <w:jc w:val="both"/>
        <w:rPr>
          <w:rFonts w:ascii="Times New Roman" w:hAnsi="Times New Roman" w:cs="Times New Roman"/>
        </w:rPr>
      </w:pPr>
      <w:r w:rsidRPr="009811F3">
        <w:rPr>
          <w:rFonts w:ascii="Times New Roman" w:hAnsi="Times New Roman" w:cs="Times New Roman"/>
          <w:b/>
          <w:bCs/>
        </w:rPr>
        <w:t>Within-participant comparisons of landmark-based confidence.</w:t>
      </w:r>
      <w:r w:rsidRPr="009811F3">
        <w:rPr>
          <w:rFonts w:ascii="Times New Roman" w:hAnsi="Times New Roman" w:cs="Times New Roman"/>
        </w:rPr>
        <w:t> For within-participant comparisons of landmark-based confidence across routine, emergency, and obese-patient scenarios, the Friedman test was used as the omnibus test. When the Friedman test was significant, post hoc pairwise comparisons were performed using Wilcoxon signed-rank tests with Bonferroni correction. For these post hoc comparisons, a two-sided P value of less than 0.017 was considered statistically significant.</w:t>
      </w:r>
    </w:p>
    <w:p w14:paraId="4C10DDDF" w14:textId="77777777" w:rsidR="009811F3" w:rsidRPr="009811F3" w:rsidRDefault="009811F3" w:rsidP="009811F3">
      <w:pPr>
        <w:jc w:val="both"/>
        <w:rPr>
          <w:rFonts w:ascii="Times New Roman" w:hAnsi="Times New Roman" w:cs="Times New Roman"/>
        </w:rPr>
      </w:pPr>
      <w:r w:rsidRPr="009811F3">
        <w:rPr>
          <w:rFonts w:ascii="Times New Roman" w:hAnsi="Times New Roman" w:cs="Times New Roman"/>
          <w:b/>
          <w:bCs/>
        </w:rPr>
        <w:t>Internal consistency and correlation analyses.</w:t>
      </w:r>
      <w:r w:rsidRPr="009811F3">
        <w:rPr>
          <w:rFonts w:ascii="Times New Roman" w:hAnsi="Times New Roman" w:cs="Times New Roman"/>
        </w:rPr>
        <w:t> The internal consistency of the landmark-based confidence scales for internal jugular vein (IJV) and radial artery (RA) cannulation was evaluated using Cronbach’s alpha. Because confidence in ultrasound-guided IJV and RA cannulation was assessed using 2 single-item measures, the association between these items was examined using Spearman rank correlation.</w:t>
      </w:r>
    </w:p>
    <w:p w14:paraId="3E1C9558" w14:textId="77777777" w:rsidR="009811F3" w:rsidRPr="009811F3" w:rsidRDefault="009811F3" w:rsidP="009811F3">
      <w:pPr>
        <w:jc w:val="both"/>
        <w:rPr>
          <w:rFonts w:ascii="Times New Roman" w:hAnsi="Times New Roman" w:cs="Times New Roman"/>
        </w:rPr>
      </w:pPr>
      <w:r w:rsidRPr="009811F3">
        <w:rPr>
          <w:rFonts w:ascii="Times New Roman" w:hAnsi="Times New Roman" w:cs="Times New Roman"/>
          <w:b/>
          <w:bCs/>
        </w:rPr>
        <w:t>Principal component analysis.</w:t>
      </w:r>
      <w:r w:rsidRPr="009811F3">
        <w:rPr>
          <w:rFonts w:ascii="Times New Roman" w:hAnsi="Times New Roman" w:cs="Times New Roman"/>
        </w:rPr>
        <w:t> To further explore the latent structure of the confidence items, principal component analysis with Promax rotation was performed. Sampling adequacy was assessed using the Kaiser-Meyer-Olkin measure and Bartlett’s test of sphericity. Component retention was based on eigenvalues greater than 1 together with visual inspection of the scree plot. Factor loadings greater than 0.40 were considered meaningful for interpretation.</w:t>
      </w:r>
    </w:p>
    <w:p w14:paraId="699A28EF" w14:textId="77777777" w:rsidR="009811F3" w:rsidRPr="009811F3" w:rsidRDefault="009811F3" w:rsidP="009811F3">
      <w:pPr>
        <w:jc w:val="both"/>
        <w:rPr>
          <w:rFonts w:ascii="Times New Roman" w:hAnsi="Times New Roman" w:cs="Times New Roman"/>
        </w:rPr>
      </w:pPr>
      <w:r w:rsidRPr="009811F3">
        <w:rPr>
          <w:rFonts w:ascii="Times New Roman" w:hAnsi="Times New Roman" w:cs="Times New Roman"/>
          <w:b/>
          <w:bCs/>
        </w:rPr>
        <w:t>Multivariable logistic regression.</w:t>
      </w:r>
      <w:r w:rsidRPr="009811F3">
        <w:rPr>
          <w:rFonts w:ascii="Times New Roman" w:hAnsi="Times New Roman" w:cs="Times New Roman"/>
        </w:rPr>
        <w:t> For multivariable analyses, binary logistic regression models were constructed separately for preference for ultrasound-guided rather than landmark-based cannulation for IJV and RA access. Prespecified covariates included age, sex, possession of a standardized training certificate, and initial learning method. Model calibration was assessed using the Hosmer-</w:t>
      </w:r>
      <w:proofErr w:type="spellStart"/>
      <w:r w:rsidRPr="009811F3">
        <w:rPr>
          <w:rFonts w:ascii="Times New Roman" w:hAnsi="Times New Roman" w:cs="Times New Roman"/>
        </w:rPr>
        <w:t>Lemeshow</w:t>
      </w:r>
      <w:proofErr w:type="spellEnd"/>
      <w:r w:rsidRPr="009811F3">
        <w:rPr>
          <w:rFonts w:ascii="Times New Roman" w:hAnsi="Times New Roman" w:cs="Times New Roman"/>
        </w:rPr>
        <w:t xml:space="preserve"> goodness-of-fit test. Results are presented as adjusted odds ratios with 95% confidence intervals.</w:t>
      </w:r>
    </w:p>
    <w:p w14:paraId="46EE4A70" w14:textId="77777777" w:rsidR="00551CCB" w:rsidRPr="009811F3" w:rsidRDefault="00551CCB">
      <w:pPr>
        <w:rPr>
          <w:rFonts w:ascii="Times New Roman" w:hAnsi="Times New Roman" w:cs="Times New Roman"/>
        </w:rPr>
      </w:pPr>
    </w:p>
    <w:sectPr w:rsidR="00551CCB" w:rsidRPr="00981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F3"/>
    <w:rsid w:val="00211A67"/>
    <w:rsid w:val="00551CCB"/>
    <w:rsid w:val="00671B4C"/>
    <w:rsid w:val="0098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3A17"/>
  <w15:chartTrackingRefBased/>
  <w15:docId w15:val="{426C52D6-3F22-45E4-9284-E381FD75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11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1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1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1F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1F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1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1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1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1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1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1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11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11F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11F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11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11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11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11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1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1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11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11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1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11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1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11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11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1669</Characters>
  <Application>Microsoft Office Word</Application>
  <DocSecurity>0</DocSecurity>
  <Lines>119</Lines>
  <Paragraphs>89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俊杰 秦</dc:creator>
  <cp:keywords/>
  <dc:description/>
  <cp:lastModifiedBy>俊杰 秦</cp:lastModifiedBy>
  <cp:revision>1</cp:revision>
  <dcterms:created xsi:type="dcterms:W3CDTF">2026-03-13T13:14:00Z</dcterms:created>
  <dcterms:modified xsi:type="dcterms:W3CDTF">2026-03-13T13:15:00Z</dcterms:modified>
</cp:coreProperties>
</file>