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tblpY="1"/>
        <w:tblOverlap w:val="never"/>
        <w:tblW w:w="955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01"/>
        <w:gridCol w:w="1417"/>
        <w:gridCol w:w="2268"/>
        <w:gridCol w:w="2127"/>
        <w:gridCol w:w="1842"/>
      </w:tblGrid>
      <w:tr w:rsidR="00D23603" w:rsidTr="00D23603">
        <w:trPr>
          <w:trHeight w:val="330"/>
        </w:trPr>
        <w:tc>
          <w:tcPr>
            <w:tcW w:w="9555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D23603" w:rsidRDefault="00D23603" w:rsidP="009148BC">
            <w:pPr>
              <w:rPr>
                <w:rFonts w:ascii="Times New Roman" w:eastAsia="MS PMincho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Mincho" w:hAnsi="Times New Roman" w:cs="Times New Roman"/>
                <w:color w:val="000000" w:themeColor="text1"/>
                <w:sz w:val="24"/>
                <w:szCs w:val="24"/>
              </w:rPr>
              <w:br w:type="page"/>
            </w:r>
          </w:p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Supplementary table 1. Quantitative TILs and TAMs and cut-off values (n =107)</w:t>
            </w:r>
          </w:p>
        </w:tc>
      </w:tr>
      <w:tr w:rsidR="00D23603" w:rsidTr="00D23603">
        <w:trPr>
          <w:trHeight w:val="330"/>
        </w:trPr>
        <w:tc>
          <w:tcPr>
            <w:tcW w:w="9555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:rsidR="00D23603" w:rsidRDefault="00D23603" w:rsidP="009148BC">
            <w:pPr>
              <w:rPr>
                <w:rFonts w:ascii="Times New Roman" w:eastAsia="MS PMincho" w:hAnsi="Times New Roman" w:cs="Times New Roman"/>
                <w:color w:val="000000" w:themeColor="text1"/>
                <w:kern w:val="2"/>
                <w:sz w:val="24"/>
                <w:szCs w:val="24"/>
              </w:rPr>
            </w:pPr>
          </w:p>
        </w:tc>
      </w:tr>
      <w:tr w:rsidR="00D23603" w:rsidTr="00D23603">
        <w:trPr>
          <w:trHeight w:val="970"/>
        </w:trPr>
        <w:tc>
          <w:tcPr>
            <w:tcW w:w="190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Parameter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Mean (</w:t>
            </w:r>
            <w:r>
              <w:rPr>
                <w:rFonts w:ascii="Times New Roman" w:eastAsia="MS PMincho" w:hAnsi="Times New Roman" w:cs="Times New Roman"/>
                <w:color w:val="000000"/>
                <w:sz w:val="24"/>
                <w:szCs w:val="24"/>
              </w:rPr>
              <w:t>±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SD)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Cut-off value from ROC curve*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 xml:space="preserve">Area under ROC curve </w:t>
            </w:r>
          </w:p>
        </w:tc>
      </w:tr>
      <w:tr w:rsidR="00D23603" w:rsidTr="00D23603">
        <w:trPr>
          <w:trHeight w:val="375"/>
        </w:trPr>
        <w:tc>
          <w:tcPr>
            <w:tcW w:w="19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CD3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+ 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 xml:space="preserve">E-TILs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3.3/HPF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6.4/HPF (± 7.0)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3.0/HPF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0.710</w:t>
            </w:r>
          </w:p>
        </w:tc>
      </w:tr>
      <w:tr w:rsidR="00D23603" w:rsidTr="00D23603">
        <w:trPr>
          <w:trHeight w:val="375"/>
        </w:trPr>
        <w:tc>
          <w:tcPr>
            <w:tcW w:w="1901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CD8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+ 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E-TILs</w:t>
            </w:r>
          </w:p>
        </w:tc>
        <w:tc>
          <w:tcPr>
            <w:tcW w:w="141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2.7/HPF</w:t>
            </w:r>
          </w:p>
        </w:tc>
        <w:tc>
          <w:tcPr>
            <w:tcW w:w="2268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4.7/HPF (± 6.0)</w:t>
            </w:r>
          </w:p>
        </w:tc>
        <w:tc>
          <w:tcPr>
            <w:tcW w:w="212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3.7/HPF</w:t>
            </w:r>
          </w:p>
        </w:tc>
        <w:tc>
          <w:tcPr>
            <w:tcW w:w="1842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0.692</w:t>
            </w:r>
          </w:p>
        </w:tc>
      </w:tr>
      <w:tr w:rsidR="00D23603" w:rsidTr="00D23603">
        <w:trPr>
          <w:trHeight w:val="375"/>
        </w:trPr>
        <w:tc>
          <w:tcPr>
            <w:tcW w:w="1901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CD3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+ 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S-TILs</w:t>
            </w:r>
          </w:p>
        </w:tc>
        <w:tc>
          <w:tcPr>
            <w:tcW w:w="141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71.8/HPF</w:t>
            </w:r>
          </w:p>
        </w:tc>
        <w:tc>
          <w:tcPr>
            <w:tcW w:w="2268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84.7/HPF (± 53.9)</w:t>
            </w:r>
          </w:p>
        </w:tc>
        <w:tc>
          <w:tcPr>
            <w:tcW w:w="212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59.8/HPF</w:t>
            </w:r>
          </w:p>
        </w:tc>
        <w:tc>
          <w:tcPr>
            <w:tcW w:w="1842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0.537</w:t>
            </w:r>
          </w:p>
        </w:tc>
      </w:tr>
      <w:tr w:rsidR="00D23603" w:rsidTr="00D23603">
        <w:trPr>
          <w:trHeight w:val="375"/>
        </w:trPr>
        <w:tc>
          <w:tcPr>
            <w:tcW w:w="1901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CD8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+ 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S-TILs</w:t>
            </w:r>
          </w:p>
        </w:tc>
        <w:tc>
          <w:tcPr>
            <w:tcW w:w="141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34.4/HPF</w:t>
            </w:r>
          </w:p>
        </w:tc>
        <w:tc>
          <w:tcPr>
            <w:tcW w:w="2268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43.8/HPF (± 36.5)</w:t>
            </w:r>
          </w:p>
        </w:tc>
        <w:tc>
          <w:tcPr>
            <w:tcW w:w="212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56.4/HPF</w:t>
            </w:r>
          </w:p>
        </w:tc>
        <w:tc>
          <w:tcPr>
            <w:tcW w:w="1842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0.560</w:t>
            </w:r>
          </w:p>
        </w:tc>
      </w:tr>
      <w:tr w:rsidR="00D23603" w:rsidTr="00D23603">
        <w:trPr>
          <w:trHeight w:val="375"/>
        </w:trPr>
        <w:tc>
          <w:tcPr>
            <w:tcW w:w="1901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CD68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+ 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TAMs</w:t>
            </w:r>
          </w:p>
        </w:tc>
        <w:tc>
          <w:tcPr>
            <w:tcW w:w="141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1.50%</w:t>
            </w:r>
          </w:p>
        </w:tc>
        <w:tc>
          <w:tcPr>
            <w:tcW w:w="2268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2.25% (± 2.24)</w:t>
            </w:r>
          </w:p>
        </w:tc>
        <w:tc>
          <w:tcPr>
            <w:tcW w:w="212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0.78%</w:t>
            </w:r>
          </w:p>
        </w:tc>
        <w:tc>
          <w:tcPr>
            <w:tcW w:w="1842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0.549</w:t>
            </w:r>
          </w:p>
        </w:tc>
      </w:tr>
      <w:tr w:rsidR="00D23603" w:rsidTr="00D23603">
        <w:trPr>
          <w:trHeight w:val="375"/>
        </w:trPr>
        <w:tc>
          <w:tcPr>
            <w:tcW w:w="1901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CD163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+ 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TAMs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3.72%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4.52% (± 3.68)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3.56%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0.529</w:t>
            </w:r>
          </w:p>
        </w:tc>
      </w:tr>
    </w:tbl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kern w:val="2"/>
          <w:sz w:val="24"/>
          <w:szCs w:val="24"/>
          <w:lang w:eastAsia="ja-JP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MS PMincho" w:hAnsi="Times New Roman" w:cs="Times New Roman"/>
          <w:color w:val="000000" w:themeColor="text1"/>
          <w:sz w:val="24"/>
          <w:szCs w:val="24"/>
        </w:rPr>
        <w:t>E-TILs, Epithelial tumor-infiltrating lymphocytes; HPF, High power fields; ROC, receiver operating characteristic; S-TILs, Stromal tumor-infiltrating lymphocytes; TAMs, Tumor associated macrophages</w:t>
      </w:r>
    </w:p>
    <w:p w:rsidR="00D23603" w:rsidRDefault="00D23603" w:rsidP="00D23603">
      <w:pPr>
        <w:rPr>
          <w:rFonts w:eastAsiaTheme="minorEastAsia"/>
          <w:sz w:val="21"/>
        </w:rPr>
      </w:pPr>
    </w:p>
    <w:p w:rsidR="00D23603" w:rsidRDefault="00D23603" w:rsidP="00D23603"/>
    <w:p w:rsidR="00D23603" w:rsidRDefault="00D23603" w:rsidP="00D23603"/>
    <w:p w:rsidR="00D23603" w:rsidRDefault="00D23603" w:rsidP="00D23603"/>
    <w:p w:rsidR="00D23603" w:rsidRDefault="00D23603" w:rsidP="00D23603"/>
    <w:p w:rsidR="00D23603" w:rsidRDefault="00D23603" w:rsidP="00D23603">
      <w:r>
        <w:br w:type="page"/>
      </w:r>
    </w:p>
    <w:tbl>
      <w:tblPr>
        <w:tblpPr w:leftFromText="142" w:rightFromText="142" w:vertAnchor="text" w:tblpY="1"/>
        <w:tblOverlap w:val="never"/>
        <w:tblW w:w="1317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6"/>
        <w:gridCol w:w="1047"/>
        <w:gridCol w:w="438"/>
        <w:gridCol w:w="598"/>
        <w:gridCol w:w="802"/>
        <w:gridCol w:w="204"/>
        <w:gridCol w:w="438"/>
        <w:gridCol w:w="598"/>
        <w:gridCol w:w="802"/>
        <w:gridCol w:w="204"/>
        <w:gridCol w:w="1047"/>
        <w:gridCol w:w="438"/>
        <w:gridCol w:w="598"/>
        <w:gridCol w:w="802"/>
        <w:gridCol w:w="204"/>
        <w:gridCol w:w="438"/>
        <w:gridCol w:w="598"/>
        <w:gridCol w:w="802"/>
      </w:tblGrid>
      <w:tr w:rsidR="00D23603" w:rsidTr="00D23603">
        <w:trPr>
          <w:trHeight w:val="490"/>
        </w:trPr>
        <w:tc>
          <w:tcPr>
            <w:tcW w:w="13174" w:type="dxa"/>
            <w:gridSpan w:val="18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lastRenderedPageBreak/>
              <w:t xml:space="preserve">Supplementary table 2. Correlations of </w:t>
            </w:r>
            <w:proofErr w:type="spellStart"/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semiquantitative</w:t>
            </w:r>
            <w:proofErr w:type="spellEnd"/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 xml:space="preserve"> high/intermediate CD68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 xml:space="preserve"> TAMs and CD163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 xml:space="preserve"> TAMs with </w:t>
            </w:r>
            <w:proofErr w:type="spellStart"/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clinicopathological</w:t>
            </w:r>
            <w:proofErr w:type="spellEnd"/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 xml:space="preserve"> parameters in stage IB and stage IIIC/IVB </w:t>
            </w:r>
            <w:proofErr w:type="spellStart"/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endometrioid</w:t>
            </w:r>
            <w:proofErr w:type="spellEnd"/>
            <w: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</w:rPr>
              <w:t>-type endometrial carcinoma</w:t>
            </w:r>
          </w:p>
        </w:tc>
      </w:tr>
      <w:tr w:rsidR="00D23603" w:rsidTr="00D23603">
        <w:trPr>
          <w:trHeight w:val="490"/>
        </w:trPr>
        <w:tc>
          <w:tcPr>
            <w:tcW w:w="0" w:type="auto"/>
            <w:gridSpan w:val="18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58" w:type="dxa"/>
            <w:gridSpan w:val="17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Number of patients (%)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Parameter</w:t>
            </w:r>
          </w:p>
        </w:tc>
        <w:tc>
          <w:tcPr>
            <w:tcW w:w="4927" w:type="dxa"/>
            <w:gridSpan w:val="8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Stage IB (n = 60)</w:t>
            </w:r>
          </w:p>
        </w:tc>
        <w:tc>
          <w:tcPr>
            <w:tcW w:w="204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927" w:type="dxa"/>
            <w:gridSpan w:val="8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Stage IIIC/IVB (n = 47)</w:t>
            </w:r>
          </w:p>
        </w:tc>
      </w:tr>
      <w:tr w:rsidR="00D23603" w:rsidTr="00D23603">
        <w:trPr>
          <w:trHeight w:val="315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047" w:type="dxa"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88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High/Intermediate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88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High/Intermediate</w:t>
            </w:r>
          </w:p>
        </w:tc>
      </w:tr>
      <w:tr w:rsidR="00D23603" w:rsidTr="00D23603">
        <w:trPr>
          <w:trHeight w:val="375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CD68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CD163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CD68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CD163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≤ 50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(33)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(33)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1.00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(63)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0.089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(50)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0.24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&gt; 50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(46)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(26)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(28)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Stage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IIIC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wordWrap w:val="0"/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(30)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0.70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(32)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ind w:firstLineChars="50" w:firstLine="120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IVB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wordWrap w:val="0"/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(40)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Histological grade</w:t>
            </w: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G1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(32)</w:t>
            </w:r>
            <w:r>
              <w:rPr>
                <w:rFonts w:ascii="Times New Roman" w:eastAsia="MS PGothic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0.18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(43)</w:t>
            </w:r>
            <w:r>
              <w:rPr>
                <w:rFonts w:ascii="Times New Roman" w:eastAsia="MS PGothic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0.92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(25)</w:t>
            </w:r>
            <w:r>
              <w:rPr>
                <w:rFonts w:ascii="Times New Roman" w:eastAsia="MS PGothic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0.77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(17)</w:t>
            </w:r>
            <w:r>
              <w:rPr>
                <w:rFonts w:ascii="Times New Roman" w:eastAsia="MS PGothic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0.14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G2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(18)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(45)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G3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(32)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(26)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Lymphatic invasion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Positive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(30)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1.00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(48)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0.60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(32)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1.00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(32)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1.00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Negative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(41)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lastRenderedPageBreak/>
              <w:t>Vascular invasion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Positive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(42)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0.22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(58)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0.26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(24)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0.34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(28)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0.75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Negative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(24)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(41)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Lymph node metastasis</w:t>
            </w: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Positive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(31)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0.64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(33)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Negative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(40) </w:t>
            </w: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(20)</w:t>
            </w: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MMR protein 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Deficient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(39)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0.36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(61)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0.16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(33)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1.00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(28)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0.75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Proficient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(26)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(38)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(31)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(34)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30"/>
        </w:trPr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Total 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</w:tr>
    </w:tbl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kern w:val="2"/>
          <w:sz w:val="24"/>
          <w:szCs w:val="24"/>
          <w:lang w:eastAsia="ja-JP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MS PMincho" w:hAnsi="Times New Roman" w:cs="Times New Roman"/>
          <w:color w:val="000000" w:themeColor="text1"/>
          <w:sz w:val="24"/>
          <w:szCs w:val="24"/>
        </w:rPr>
        <w:t>MMR, Mismatch repair; TAMs, Tumor associated macrophages</w:t>
      </w: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eastAsiaTheme="minorEastAsia"/>
          <w:color w:val="000000" w:themeColor="text1"/>
          <w:sz w:val="21"/>
        </w:rPr>
      </w:pPr>
    </w:p>
    <w:p w:rsidR="00D23603" w:rsidRDefault="00D23603" w:rsidP="00D23603">
      <w:pPr>
        <w:spacing w:line="480" w:lineRule="auto"/>
        <w:rPr>
          <w:color w:val="000000" w:themeColor="text1"/>
        </w:rPr>
      </w:pPr>
    </w:p>
    <w:tbl>
      <w:tblPr>
        <w:tblpPr w:leftFromText="142" w:rightFromText="142" w:vertAnchor="text" w:tblpY="1"/>
        <w:tblOverlap w:val="never"/>
        <w:tblW w:w="1317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6"/>
        <w:gridCol w:w="1047"/>
        <w:gridCol w:w="438"/>
        <w:gridCol w:w="598"/>
        <w:gridCol w:w="802"/>
        <w:gridCol w:w="204"/>
        <w:gridCol w:w="438"/>
        <w:gridCol w:w="598"/>
        <w:gridCol w:w="802"/>
        <w:gridCol w:w="204"/>
        <w:gridCol w:w="1047"/>
        <w:gridCol w:w="438"/>
        <w:gridCol w:w="718"/>
        <w:gridCol w:w="802"/>
        <w:gridCol w:w="204"/>
        <w:gridCol w:w="438"/>
        <w:gridCol w:w="598"/>
        <w:gridCol w:w="802"/>
      </w:tblGrid>
      <w:tr w:rsidR="00D23603" w:rsidTr="00D23603">
        <w:trPr>
          <w:trHeight w:val="490"/>
        </w:trPr>
        <w:tc>
          <w:tcPr>
            <w:tcW w:w="13174" w:type="dxa"/>
            <w:gridSpan w:val="18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Supplementary table 3. Correlations of quantitative high CD68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TAMs and CD163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TAMs with </w:t>
            </w:r>
            <w:proofErr w:type="spellStart"/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clinicopathological</w:t>
            </w:r>
            <w:proofErr w:type="spellEnd"/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parameters in stage IB and stage IIIC/IVB </w:t>
            </w:r>
            <w:proofErr w:type="spellStart"/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endometrioid</w:t>
            </w:r>
            <w:proofErr w:type="spellEnd"/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-type endometrial carcinoma</w:t>
            </w:r>
          </w:p>
        </w:tc>
      </w:tr>
      <w:tr w:rsidR="00D23603" w:rsidTr="00D23603">
        <w:trPr>
          <w:trHeight w:val="490"/>
        </w:trPr>
        <w:tc>
          <w:tcPr>
            <w:tcW w:w="0" w:type="auto"/>
            <w:gridSpan w:val="18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058" w:type="dxa"/>
            <w:gridSpan w:val="17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Number of patients (%)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Parameter</w:t>
            </w:r>
          </w:p>
        </w:tc>
        <w:tc>
          <w:tcPr>
            <w:tcW w:w="4927" w:type="dxa"/>
            <w:gridSpan w:val="8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Stage IB (n = 60)</w:t>
            </w:r>
          </w:p>
        </w:tc>
        <w:tc>
          <w:tcPr>
            <w:tcW w:w="204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927" w:type="dxa"/>
            <w:gridSpan w:val="8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Stage IIIC/IVB (n = 47)</w:t>
            </w:r>
          </w:p>
        </w:tc>
      </w:tr>
      <w:tr w:rsidR="00D23603" w:rsidTr="00D23603">
        <w:trPr>
          <w:trHeight w:val="315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047" w:type="dxa"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88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High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88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High</w:t>
            </w:r>
          </w:p>
        </w:tc>
      </w:tr>
      <w:tr w:rsidR="00D23603" w:rsidTr="00D23603">
        <w:trPr>
          <w:trHeight w:val="375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CD68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CD163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CD68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CD163</w:t>
            </w: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i/>
                <w:iCs/>
                <w:color w:val="000000" w:themeColor="text1"/>
                <w:sz w:val="24"/>
                <w:szCs w:val="24"/>
              </w:rPr>
              <w:t>P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≤ 50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(67)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(33)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1.00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(75)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0.60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(86)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1.00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&gt; 50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(47)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(85)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Stage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IIIC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wordWrap w:val="0"/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(84)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1.00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(65)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ind w:firstLineChars="50" w:firstLine="120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0.28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IVB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wordWrap w:val="0"/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8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(80)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ind w:firstLineChars="50" w:firstLine="120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(40)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lastRenderedPageBreak/>
              <w:t>Histological grade</w:t>
            </w: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G1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(50)</w:t>
            </w:r>
            <w:r>
              <w:rPr>
                <w:rFonts w:ascii="Times New Roman" w:eastAsia="MS PGothic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0.058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(32)</w:t>
            </w:r>
            <w:r>
              <w:rPr>
                <w:rFonts w:ascii="Times New Roman" w:eastAsia="MS PGothic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0.073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(83)</w:t>
            </w:r>
            <w:r>
              <w:rPr>
                <w:rFonts w:ascii="Times New Roman" w:eastAsia="MS PGothic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0.52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(33)</w:t>
            </w:r>
            <w:r>
              <w:rPr>
                <w:rFonts w:ascii="Times New Roman" w:eastAsia="MS PGothic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 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0.076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G2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(75)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(75)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G3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(90)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(70)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(89)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Lymphatic invasion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Positive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(58)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0.79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(55)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0.20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(83)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1.00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(63)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0.20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Negative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(37)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(83)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Vascular invasion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Positive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(63)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0.78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(63)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0.10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(72)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0.051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(64)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0.56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Negative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(39)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(95)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Lymph node metastasis</w:t>
            </w: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Positive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(81)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0.57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(60)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dashed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Negative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5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(100)</w:t>
            </w: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3</w:t>
            </w:r>
          </w:p>
        </w:tc>
        <w:tc>
          <w:tcPr>
            <w:tcW w:w="598" w:type="dxa"/>
            <w:tcBorders>
              <w:top w:val="nil"/>
              <w:left w:val="nil"/>
              <w:bottom w:val="dashed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(60)</w:t>
            </w: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ashed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MMR protein 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  <w:tc>
          <w:tcPr>
            <w:tcW w:w="802" w:type="dxa"/>
            <w:noWrap/>
            <w:vAlign w:val="center"/>
            <w:hideMark/>
          </w:tcPr>
          <w:p w:rsidR="00D23603" w:rsidRDefault="00D23603" w:rsidP="009148BC">
            <w:pPr>
              <w:rPr>
                <w:sz w:val="20"/>
                <w:szCs w:val="20"/>
              </w:rPr>
            </w:pPr>
          </w:p>
        </w:tc>
      </w:tr>
      <w:tr w:rsidR="00D23603" w:rsidTr="00D23603">
        <w:trPr>
          <w:trHeight w:val="315"/>
        </w:trPr>
        <w:tc>
          <w:tcPr>
            <w:tcW w:w="3116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Deficient</w:t>
            </w: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(61)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1.00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(56)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0.40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(78)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0.69</w:t>
            </w:r>
          </w:p>
        </w:tc>
        <w:tc>
          <w:tcPr>
            <w:tcW w:w="204" w:type="dxa"/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98" w:type="dxa"/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(56)</w:t>
            </w:r>
          </w:p>
        </w:tc>
        <w:tc>
          <w:tcPr>
            <w:tcW w:w="8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0.76</w:t>
            </w:r>
          </w:p>
        </w:tc>
      </w:tr>
      <w:tr w:rsidR="00D23603" w:rsidTr="00D23603">
        <w:trPr>
          <w:trHeight w:val="315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 Proficient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(43)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(86)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(62)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  <w:lang w:eastAsia="ja-JP"/>
              </w:rPr>
            </w:pPr>
          </w:p>
        </w:tc>
      </w:tr>
      <w:tr w:rsidR="00D23603" w:rsidTr="00D23603">
        <w:trPr>
          <w:trHeight w:val="330"/>
        </w:trPr>
        <w:tc>
          <w:tcPr>
            <w:tcW w:w="3116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 xml:space="preserve">Total 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center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43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jc w:val="right"/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D23603" w:rsidRDefault="00D23603" w:rsidP="009148BC">
            <w:pPr>
              <w:rPr>
                <w:rFonts w:ascii="Times New Roman" w:eastAsia="MS PGothic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S PGothic" w:hAnsi="Times New Roman" w:cs="Times New Roman" w:hint="eastAsia"/>
                <w:color w:val="000000" w:themeColor="text1"/>
                <w:sz w:val="24"/>
                <w:szCs w:val="24"/>
              </w:rPr>
              <w:t xml:space="preserve">　</w:t>
            </w:r>
          </w:p>
        </w:tc>
      </w:tr>
    </w:tbl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kern w:val="2"/>
          <w:sz w:val="24"/>
          <w:szCs w:val="24"/>
          <w:lang w:eastAsia="ja-JP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</w:p>
    <w:p w:rsidR="00D23603" w:rsidRDefault="00D23603" w:rsidP="00D23603">
      <w:pPr>
        <w:spacing w:line="480" w:lineRule="auto"/>
        <w:rPr>
          <w:rFonts w:ascii="Times New Roman" w:eastAsia="MS PMincho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MS PMincho" w:hAnsi="Times New Roman" w:cs="Times New Roman"/>
          <w:color w:val="000000" w:themeColor="text1"/>
          <w:sz w:val="24"/>
          <w:szCs w:val="24"/>
        </w:rPr>
        <w:t>MMR, Mismatch repair; TAMs, Tumor associated macrophages</w:t>
      </w:r>
    </w:p>
    <w:p w:rsidR="00D23603" w:rsidRDefault="00D23603" w:rsidP="00D23603">
      <w:pPr>
        <w:spacing w:line="480" w:lineRule="auto"/>
        <w:rPr>
          <w:rFonts w:eastAsiaTheme="minorEastAsia"/>
          <w:color w:val="000000" w:themeColor="text1"/>
          <w:sz w:val="21"/>
        </w:rPr>
      </w:pPr>
    </w:p>
    <w:p w:rsidR="00D23603" w:rsidRDefault="00D23603" w:rsidP="00D23603">
      <w:pPr>
        <w:spacing w:line="480" w:lineRule="auto"/>
        <w:rPr>
          <w:color w:val="000000" w:themeColor="text1"/>
        </w:rPr>
      </w:pPr>
    </w:p>
    <w:p w:rsidR="00D23603" w:rsidRDefault="00D23603" w:rsidP="00D23603">
      <w:pPr>
        <w:spacing w:line="480" w:lineRule="auto"/>
        <w:rPr>
          <w:color w:val="000000" w:themeColor="text1"/>
        </w:rPr>
      </w:pPr>
    </w:p>
    <w:p w:rsidR="00D23603" w:rsidRDefault="00D23603" w:rsidP="00D23603">
      <w:pPr>
        <w:spacing w:line="480" w:lineRule="auto"/>
        <w:rPr>
          <w:color w:val="000000" w:themeColor="text1"/>
        </w:rPr>
      </w:pPr>
    </w:p>
    <w:p w:rsidR="00D23603" w:rsidRDefault="00D23603" w:rsidP="00D23603">
      <w:pPr>
        <w:spacing w:line="480" w:lineRule="auto"/>
        <w:rPr>
          <w:color w:val="000000" w:themeColor="text1"/>
        </w:rPr>
      </w:pPr>
    </w:p>
    <w:p w:rsidR="00D23603" w:rsidRDefault="00D23603" w:rsidP="00D23603">
      <w:pPr>
        <w:spacing w:line="480" w:lineRule="auto"/>
        <w:rPr>
          <w:color w:val="000000" w:themeColor="text1"/>
        </w:rPr>
      </w:pPr>
    </w:p>
    <w:p w:rsidR="00D23603" w:rsidRDefault="00D23603" w:rsidP="00D23603"/>
    <w:p w:rsidR="00AD1398" w:rsidRDefault="00AD1398">
      <w:bookmarkStart w:id="0" w:name="_GoBack"/>
      <w:bookmarkEnd w:id="0"/>
    </w:p>
    <w:sectPr w:rsidR="00AD1398" w:rsidSect="00D2360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PMincho">
    <w:altName w:val="MS Gothic"/>
    <w:charset w:val="80"/>
    <w:family w:val="roman"/>
    <w:pitch w:val="variable"/>
    <w:sig w:usb0="00000000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603"/>
    <w:rsid w:val="00AD1398"/>
    <w:rsid w:val="00D23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5775AA-4384-4FDB-9BAA-162B736A2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236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3603"/>
    <w:rPr>
      <w:rFonts w:ascii="Times New Roman" w:eastAsia="Times New Roman" w:hAnsi="Times New Roman" w:cs="Times New Roman"/>
      <w:b/>
      <w:bCs/>
      <w:kern w:val="36"/>
      <w:sz w:val="48"/>
      <w:szCs w:val="48"/>
      <w:lang w:eastAsia="ja-JP"/>
    </w:rPr>
  </w:style>
  <w:style w:type="character" w:styleId="Hyperlink">
    <w:name w:val="Hyperlink"/>
    <w:basedOn w:val="DefaultParagraphFont"/>
    <w:uiPriority w:val="99"/>
    <w:semiHidden/>
    <w:unhideWhenUsed/>
    <w:rsid w:val="00D2360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23603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D23603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D23603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23603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3603"/>
    <w:rPr>
      <w:rFonts w:eastAsiaTheme="minorEastAsia"/>
      <w:sz w:val="20"/>
      <w:szCs w:val="20"/>
      <w:lang w:eastAsia="ja-JP"/>
    </w:rPr>
  </w:style>
  <w:style w:type="paragraph" w:styleId="Header">
    <w:name w:val="header"/>
    <w:basedOn w:val="Normal"/>
    <w:link w:val="HeaderChar"/>
    <w:uiPriority w:val="99"/>
    <w:semiHidden/>
    <w:unhideWhenUsed/>
    <w:rsid w:val="00D23603"/>
    <w:pPr>
      <w:widowControl w:val="0"/>
      <w:tabs>
        <w:tab w:val="center" w:pos="4252"/>
        <w:tab w:val="right" w:pos="8504"/>
      </w:tabs>
      <w:snapToGrid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23603"/>
    <w:rPr>
      <w:rFonts w:eastAsiaTheme="minorEastAsia"/>
      <w:kern w:val="2"/>
      <w:sz w:val="21"/>
      <w:lang w:eastAsia="ja-JP"/>
    </w:rPr>
  </w:style>
  <w:style w:type="paragraph" w:styleId="Footer">
    <w:name w:val="footer"/>
    <w:basedOn w:val="Normal"/>
    <w:link w:val="FooterChar"/>
    <w:uiPriority w:val="99"/>
    <w:semiHidden/>
    <w:unhideWhenUsed/>
    <w:rsid w:val="00D23603"/>
    <w:pPr>
      <w:widowControl w:val="0"/>
      <w:tabs>
        <w:tab w:val="center" w:pos="4252"/>
        <w:tab w:val="right" w:pos="8504"/>
      </w:tabs>
      <w:snapToGrid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D23603"/>
    <w:rPr>
      <w:rFonts w:eastAsiaTheme="minorEastAsia"/>
      <w:kern w:val="2"/>
      <w:sz w:val="21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3603"/>
    <w:pPr>
      <w:widowControl w:val="0"/>
      <w:spacing w:after="0" w:line="240" w:lineRule="auto"/>
      <w:jc w:val="both"/>
    </w:pPr>
    <w:rPr>
      <w:rFonts w:asciiTheme="majorHAnsi" w:eastAsiaTheme="majorEastAsia" w:hAnsiTheme="majorHAnsi" w:cstheme="majorBidi"/>
      <w:kern w:val="2"/>
      <w:sz w:val="18"/>
      <w:szCs w:val="18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3603"/>
    <w:rPr>
      <w:rFonts w:asciiTheme="majorHAnsi" w:eastAsiaTheme="majorEastAsia" w:hAnsiTheme="majorHAnsi" w:cstheme="majorBidi"/>
      <w:kern w:val="2"/>
      <w:sz w:val="18"/>
      <w:szCs w:val="18"/>
      <w:lang w:eastAsia="ja-JP"/>
    </w:rPr>
  </w:style>
  <w:style w:type="paragraph" w:styleId="NoSpacing">
    <w:name w:val="No Spacing"/>
    <w:uiPriority w:val="1"/>
    <w:qFormat/>
    <w:rsid w:val="00D2360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paragraph" w:styleId="ListParagraph">
    <w:name w:val="List Paragraph"/>
    <w:basedOn w:val="Normal"/>
    <w:uiPriority w:val="34"/>
    <w:qFormat/>
    <w:rsid w:val="00D23603"/>
    <w:pPr>
      <w:widowControl w:val="0"/>
      <w:spacing w:after="0" w:line="240" w:lineRule="auto"/>
      <w:ind w:leftChars="400" w:left="840"/>
      <w:jc w:val="both"/>
    </w:pPr>
    <w:rPr>
      <w:rFonts w:eastAsiaTheme="minorEastAsia"/>
      <w:kern w:val="2"/>
      <w:sz w:val="21"/>
      <w:lang w:eastAsia="ja-JP"/>
    </w:rPr>
  </w:style>
  <w:style w:type="paragraph" w:customStyle="1" w:styleId="DecimalAligned">
    <w:name w:val="Decimal Aligned"/>
    <w:basedOn w:val="Normal"/>
    <w:uiPriority w:val="40"/>
    <w:semiHidden/>
    <w:qFormat/>
    <w:rsid w:val="00D23603"/>
    <w:pPr>
      <w:tabs>
        <w:tab w:val="decimal" w:pos="360"/>
      </w:tabs>
      <w:spacing w:after="200" w:line="276" w:lineRule="auto"/>
    </w:pPr>
    <w:rPr>
      <w:lang w:eastAsia="ja-JP"/>
    </w:rPr>
  </w:style>
  <w:style w:type="character" w:customStyle="1" w:styleId="EndNoteBibliographyTitle">
    <w:name w:val="EndNote Bibliography Title (文字)"/>
    <w:basedOn w:val="DefaultParagraphFont"/>
    <w:link w:val="EndNoteBibliographyTitle0"/>
    <w:semiHidden/>
    <w:locked/>
    <w:rsid w:val="00D23603"/>
    <w:rPr>
      <w:rFonts w:ascii="Century" w:hAnsi="Century"/>
      <w:noProof/>
      <w:sz w:val="20"/>
    </w:rPr>
  </w:style>
  <w:style w:type="paragraph" w:customStyle="1" w:styleId="EndNoteBibliographyTitle0">
    <w:name w:val="EndNote Bibliography Title"/>
    <w:basedOn w:val="Normal"/>
    <w:link w:val="EndNoteBibliographyTitle"/>
    <w:semiHidden/>
    <w:rsid w:val="00D23603"/>
    <w:pPr>
      <w:widowControl w:val="0"/>
      <w:spacing w:after="0" w:line="240" w:lineRule="auto"/>
      <w:jc w:val="center"/>
    </w:pPr>
    <w:rPr>
      <w:rFonts w:ascii="Century" w:hAnsi="Century"/>
      <w:noProof/>
      <w:sz w:val="20"/>
    </w:rPr>
  </w:style>
  <w:style w:type="character" w:customStyle="1" w:styleId="EndNoteBibliography">
    <w:name w:val="EndNote Bibliography (文字)"/>
    <w:basedOn w:val="DefaultParagraphFont"/>
    <w:link w:val="EndNoteBibliography0"/>
    <w:semiHidden/>
    <w:locked/>
    <w:rsid w:val="00D23603"/>
    <w:rPr>
      <w:rFonts w:ascii="Century" w:hAnsi="Century"/>
      <w:noProof/>
      <w:sz w:val="20"/>
    </w:rPr>
  </w:style>
  <w:style w:type="paragraph" w:customStyle="1" w:styleId="EndNoteBibliography0">
    <w:name w:val="EndNote Bibliography"/>
    <w:basedOn w:val="Normal"/>
    <w:link w:val="EndNoteBibliography"/>
    <w:semiHidden/>
    <w:rsid w:val="00D23603"/>
    <w:pPr>
      <w:widowControl w:val="0"/>
      <w:spacing w:after="0" w:line="240" w:lineRule="auto"/>
      <w:jc w:val="both"/>
    </w:pPr>
    <w:rPr>
      <w:rFonts w:ascii="Century" w:hAnsi="Century"/>
      <w:noProof/>
      <w:sz w:val="20"/>
    </w:rPr>
  </w:style>
  <w:style w:type="character" w:styleId="SubtleEmphasis">
    <w:name w:val="Subtle Emphasis"/>
    <w:basedOn w:val="DefaultParagraphFont"/>
    <w:uiPriority w:val="19"/>
    <w:qFormat/>
    <w:rsid w:val="00D23603"/>
    <w:rPr>
      <w:i/>
      <w:iCs/>
      <w:color w:val="7F7F7F" w:themeColor="text1" w:themeTint="80"/>
    </w:rPr>
  </w:style>
  <w:style w:type="character" w:customStyle="1" w:styleId="cit">
    <w:name w:val="cit"/>
    <w:basedOn w:val="DefaultParagraphFont"/>
    <w:rsid w:val="00D23603"/>
  </w:style>
  <w:style w:type="character" w:customStyle="1" w:styleId="fm-vol-iss-date">
    <w:name w:val="fm-vol-iss-date"/>
    <w:basedOn w:val="DefaultParagraphFont"/>
    <w:rsid w:val="00D23603"/>
  </w:style>
  <w:style w:type="character" w:customStyle="1" w:styleId="doi">
    <w:name w:val="doi"/>
    <w:basedOn w:val="DefaultParagraphFont"/>
    <w:rsid w:val="00D23603"/>
  </w:style>
  <w:style w:type="character" w:customStyle="1" w:styleId="fm-citation-ids-label">
    <w:name w:val="fm-citation-ids-label"/>
    <w:basedOn w:val="DefaultParagraphFont"/>
    <w:rsid w:val="00D23603"/>
  </w:style>
  <w:style w:type="table" w:styleId="TableGrid">
    <w:name w:val="Table Grid"/>
    <w:basedOn w:val="TableNormal"/>
    <w:uiPriority w:val="59"/>
    <w:rsid w:val="00D23603"/>
    <w:pPr>
      <w:spacing w:after="0" w:line="240" w:lineRule="auto"/>
    </w:pPr>
    <w:rPr>
      <w:rFonts w:eastAsiaTheme="minorEastAsia"/>
      <w:kern w:val="2"/>
      <w:sz w:val="21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3">
    <w:name w:val="Light List Accent 3"/>
    <w:basedOn w:val="TableNormal"/>
    <w:uiPriority w:val="61"/>
    <w:semiHidden/>
    <w:unhideWhenUsed/>
    <w:rsid w:val="00D23603"/>
    <w:pPr>
      <w:spacing w:after="0" w:line="240" w:lineRule="auto"/>
    </w:pPr>
    <w:rPr>
      <w:rFonts w:eastAsiaTheme="minorEastAsia"/>
      <w:kern w:val="2"/>
      <w:lang w:eastAsia="ja-JP"/>
    </w:rPr>
    <w:tblPr>
      <w:tblStyleRowBandSize w:val="1"/>
      <w:tblStyleColBandSize w:val="1"/>
      <w:tblInd w:w="0" w:type="nil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23603"/>
    <w:pPr>
      <w:spacing w:after="0" w:line="240" w:lineRule="auto"/>
    </w:pPr>
    <w:rPr>
      <w:rFonts w:eastAsiaTheme="minorEastAsia"/>
      <w:kern w:val="2"/>
      <w:lang w:eastAsia="ja-JP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Shading-Accent11">
    <w:name w:val="Light Shading - Accent 11"/>
    <w:basedOn w:val="TableNormal"/>
    <w:uiPriority w:val="60"/>
    <w:rsid w:val="00D23603"/>
    <w:pPr>
      <w:spacing w:after="0" w:line="240" w:lineRule="auto"/>
    </w:pPr>
    <w:rPr>
      <w:rFonts w:eastAsiaTheme="minorEastAsia"/>
      <w:color w:val="2E74B5" w:themeColor="accent1" w:themeShade="BF"/>
      <w:kern w:val="2"/>
      <w:lang w:eastAsia="ja-JP"/>
    </w:rPr>
    <w:tblPr>
      <w:tblStyleRowBandSize w:val="1"/>
      <w:tblStyleColBandSize w:val="1"/>
      <w:tblInd w:w="0" w:type="nil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2E74B5" w:themeColor="accent1" w:themeShade="BF"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  <w:color w:val="2E74B5" w:themeColor="accent1" w:themeShade="BF"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2E74B5" w:themeColor="accent1" w:themeShade="BF"/>
      </w:rPr>
    </w:tblStylePr>
    <w:tblStylePr w:type="lastCol">
      <w:rPr>
        <w:b/>
        <w:bCs/>
        <w:color w:val="2E74B5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LightList1">
    <w:name w:val="Light List1"/>
    <w:basedOn w:val="TableNormal"/>
    <w:uiPriority w:val="61"/>
    <w:rsid w:val="00D23603"/>
    <w:pPr>
      <w:spacing w:after="0" w:line="240" w:lineRule="auto"/>
    </w:pPr>
    <w:rPr>
      <w:rFonts w:eastAsiaTheme="minorEastAsia"/>
      <w:kern w:val="2"/>
      <w:lang w:eastAsia="ja-JP"/>
    </w:rPr>
    <w:tblPr>
      <w:tblStyleRowBandSize w:val="1"/>
      <w:tblStyleColBandSize w:val="1"/>
      <w:tblInd w:w="0" w:type="nil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1">
    <w:name w:val="カレンダー 1"/>
    <w:basedOn w:val="TableNormal"/>
    <w:uiPriority w:val="99"/>
    <w:qFormat/>
    <w:rsid w:val="00D23603"/>
    <w:pPr>
      <w:spacing w:after="0" w:line="240" w:lineRule="auto"/>
    </w:pPr>
    <w:rPr>
      <w:rFonts w:eastAsiaTheme="minorEastAsia"/>
      <w:kern w:val="2"/>
      <w:lang w:eastAsia="ja-JP"/>
    </w:rPr>
    <w:tblPr>
      <w:tblStyleRowBandSize w:val="1"/>
      <w:tblStyleColBandSize w:val="1"/>
      <w:tblInd w:w="0" w:type="nil"/>
    </w:tblPr>
    <w:tblStylePr w:type="firstRow">
      <w:pPr>
        <w:wordWrap/>
        <w:spacing w:beforeLines="0" w:before="100" w:beforeAutospacing="1" w:afterLines="0" w:after="100" w:afterAutospacing="1" w:line="240" w:lineRule="auto"/>
      </w:pPr>
      <w:rPr>
        <w:rFonts w:asciiTheme="minorHAnsi" w:eastAsiaTheme="minorEastAsia" w:hAnsiTheme="minorHAnsi" w:hint="default"/>
        <w:b/>
        <w:i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60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574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2021-10-07T08:02:00Z</dcterms:created>
  <dcterms:modified xsi:type="dcterms:W3CDTF">2021-10-07T08:03:00Z</dcterms:modified>
</cp:coreProperties>
</file>