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DB84B" w14:textId="77777777" w:rsidR="007C73C9" w:rsidRDefault="007C73C9" w:rsidP="007C73C9">
      <w:pPr>
        <w:spacing w:line="240" w:lineRule="auto"/>
        <w:rPr>
          <w:rFonts w:asciiTheme="majorHAnsi" w:eastAsia="Calibri" w:hAnsiTheme="majorHAnsi" w:cstheme="majorHAnsi"/>
          <w:color w:val="000000"/>
          <w:kern w:val="2"/>
          <w:lang w:val="en-US"/>
          <w14:ligatures w14:val="standardContextual"/>
        </w:rPr>
      </w:pPr>
      <w:r>
        <w:rPr>
          <w:rFonts w:asciiTheme="majorHAnsi" w:eastAsia="Calibri" w:hAnsiTheme="majorHAnsi" w:cstheme="majorHAnsi"/>
          <w:color w:val="000000"/>
          <w:kern w:val="2"/>
          <w:lang w:val="en-US"/>
          <w14:ligatures w14:val="standardContextual"/>
        </w:rPr>
        <w:t>Table 1: Clinical characteristics of COPD patients, asthma patients, smoking, and non-smoking control groups.</w:t>
      </w:r>
    </w:p>
    <w:tbl>
      <w:tblPr>
        <w:tblStyle w:val="SombreamentoClaro"/>
        <w:tblW w:w="8836" w:type="dxa"/>
        <w:jc w:val="center"/>
        <w:tblLook w:val="0420" w:firstRow="1" w:lastRow="0" w:firstColumn="0" w:lastColumn="0" w:noHBand="0" w:noVBand="1"/>
      </w:tblPr>
      <w:tblGrid>
        <w:gridCol w:w="1884"/>
        <w:gridCol w:w="1554"/>
        <w:gridCol w:w="1495"/>
        <w:gridCol w:w="1495"/>
        <w:gridCol w:w="1495"/>
        <w:gridCol w:w="913"/>
      </w:tblGrid>
      <w:tr w:rsidR="007C73C9" w:rsidRPr="00F22954" w14:paraId="7DDCD5B0" w14:textId="77777777" w:rsidTr="005D60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  <w:jc w:val="center"/>
        </w:trPr>
        <w:tc>
          <w:tcPr>
            <w:tcW w:w="1884" w:type="dxa"/>
          </w:tcPr>
          <w:p w14:paraId="1823F5C2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3697C528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Non-smoking</w:t>
            </w:r>
          </w:p>
          <w:p w14:paraId="7773536A" w14:textId="77777777" w:rsidR="007C73C9" w:rsidRPr="00F22954" w:rsidRDefault="007C73C9" w:rsidP="005D6075">
            <w:pPr>
              <w:tabs>
                <w:tab w:val="left" w:pos="1180"/>
              </w:tabs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i/>
                <w:iCs/>
                <w:sz w:val="20"/>
                <w:szCs w:val="20"/>
                <w:lang w:val="en-US"/>
              </w:rPr>
              <w:t>n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=10</w:t>
            </w:r>
          </w:p>
        </w:tc>
        <w:tc>
          <w:tcPr>
            <w:tcW w:w="1495" w:type="dxa"/>
          </w:tcPr>
          <w:p w14:paraId="1E53F91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Asthma</w:t>
            </w:r>
          </w:p>
          <w:p w14:paraId="1687399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i/>
                <w:iCs/>
                <w:sz w:val="20"/>
                <w:szCs w:val="20"/>
                <w:lang w:val="en-US"/>
              </w:rPr>
              <w:t>n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=10</w:t>
            </w:r>
          </w:p>
        </w:tc>
        <w:tc>
          <w:tcPr>
            <w:tcW w:w="1495" w:type="dxa"/>
          </w:tcPr>
          <w:p w14:paraId="5CB896EA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COPD</w:t>
            </w:r>
          </w:p>
          <w:p w14:paraId="30827908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i/>
                <w:iCs/>
                <w:sz w:val="20"/>
                <w:szCs w:val="20"/>
                <w:lang w:val="en-US"/>
              </w:rPr>
              <w:t>n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=10</w:t>
            </w:r>
          </w:p>
        </w:tc>
        <w:tc>
          <w:tcPr>
            <w:tcW w:w="1495" w:type="dxa"/>
          </w:tcPr>
          <w:p w14:paraId="186A029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Smoking</w:t>
            </w:r>
          </w:p>
          <w:p w14:paraId="35F16CA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n=10</w:t>
            </w:r>
          </w:p>
        </w:tc>
        <w:tc>
          <w:tcPr>
            <w:tcW w:w="913" w:type="dxa"/>
          </w:tcPr>
          <w:p w14:paraId="09E17BA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i/>
                <w:sz w:val="20"/>
                <w:szCs w:val="20"/>
                <w:lang w:val="en-US"/>
              </w:rPr>
              <w:t xml:space="preserve">p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value</w:t>
            </w:r>
          </w:p>
          <w:p w14:paraId="2A50EE90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C73C9" w:rsidRPr="00F22954" w14:paraId="5B8BD25B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1BFEB6CD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Female sex N, (%)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15B7A5AD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5 (50)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15B9119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5 (50)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0DA4F3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5 (50)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21DB060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5 (50)</w:t>
            </w:r>
          </w:p>
        </w:tc>
        <w:tc>
          <w:tcPr>
            <w:tcW w:w="913" w:type="dxa"/>
            <w:tcBorders>
              <w:top w:val="nil"/>
              <w:bottom w:val="nil"/>
            </w:tcBorders>
            <w:vAlign w:val="center"/>
          </w:tcPr>
          <w:p w14:paraId="4803F99D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C73C9" w:rsidRPr="00F22954" w14:paraId="256A88D1" w14:textId="77777777" w:rsidTr="005D6075">
        <w:trPr>
          <w:trHeight w:val="266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1E11C121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Age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 xml:space="preserve">*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(years)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2A2AE130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49.1 (10.9)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A0DABE1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47.2  (13.7)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987AE7C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65.2 (8.1)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53D730F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54.3 (12.9)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a, b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1173E02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0.006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7C73C9" w:rsidRPr="00F22954" w14:paraId="7F5C8F40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030F7533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BMI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 (kg/m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2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030FCCA5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26.7 (1.9)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02A8261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23.3 (3.3)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a, b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9D882B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21.6 (3.5)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21AD97A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25.1 (3.7)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a, b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B15D36C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0.009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7C73C9" w:rsidRPr="00F22954" w14:paraId="0E8E9FB9" w14:textId="77777777" w:rsidTr="005D6075">
        <w:trPr>
          <w:trHeight w:val="314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1CF09339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Never smokers (N)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544CA6AE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10/10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BA34B29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10/10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287379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0/10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86C719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0/10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734DE67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7C73C9" w:rsidRPr="00F22954" w14:paraId="6906FB85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10923CE0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Former smokers (N)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5536077C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0/10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4C9FD09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0/10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3FD05B5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7/10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CD0B68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1/10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DF69D8D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7C73C9" w:rsidRPr="00F22954" w14:paraId="3B0FDB60" w14:textId="77777777" w:rsidTr="005D6075">
        <w:trPr>
          <w:trHeight w:val="286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4BEBFA3A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Active smokers (N)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6EB65E7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FB118CB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81127B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3/10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52CAC8F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9/10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DE4BC1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7C73C9" w:rsidRPr="00F22954" w14:paraId="112505DF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6A5FCDBC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Smoking history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 xml:space="preserve">*** </w:t>
            </w:r>
          </w:p>
          <w:p w14:paraId="786499A8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(years)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4667C59B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614A3A7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0D6F710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40,0</w:t>
            </w:r>
          </w:p>
          <w:p w14:paraId="41D0FFE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(35.2- 44.2)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9F5E14A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32.0</w:t>
            </w:r>
          </w:p>
          <w:p w14:paraId="38D09958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(24.5 – 48.0)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3597870E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0.425</w:t>
            </w:r>
          </w:p>
        </w:tc>
      </w:tr>
      <w:tr w:rsidR="007C73C9" w:rsidRPr="00F22954" w14:paraId="6CD242B1" w14:textId="77777777" w:rsidTr="005D6075">
        <w:trPr>
          <w:trHeight w:val="412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545EF10F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Smoking history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 xml:space="preserve">*** </w:t>
            </w:r>
          </w:p>
          <w:p w14:paraId="5952BD5D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(Pack-year)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56378EB9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C6B254D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N/A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582C980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40.0</w:t>
            </w:r>
          </w:p>
          <w:p w14:paraId="2578F4C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(38.2 – 67.0)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C52BEB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39.0</w:t>
            </w:r>
          </w:p>
          <w:p w14:paraId="7D6A950B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(24.5 – 69.0)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7CE4B3CA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0.622</w:t>
            </w:r>
          </w:p>
        </w:tc>
      </w:tr>
      <w:tr w:rsidR="007C73C9" w:rsidRPr="00F22954" w14:paraId="0D3898ED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5955794F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CRP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**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 (mg/l)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F1BB307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3.0 (3.0 – 4.0)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4AFD987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3.0 (3.0 – 3.0)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938DC8C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3.5(3.0 –10.0)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571ABCB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3.0(3.0 – 7.5)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54D868C8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0.075</w:t>
            </w:r>
          </w:p>
        </w:tc>
      </w:tr>
      <w:tr w:rsidR="007C73C9" w:rsidRPr="00F22954" w14:paraId="765CBA27" w14:textId="77777777" w:rsidTr="005D6075">
        <w:trPr>
          <w:trHeight w:val="380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4F4F6E86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Alfa1 antitrypsin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**</w:t>
            </w:r>
          </w:p>
          <w:p w14:paraId="354FEDE3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(mg/dl)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5665E3D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121.5</w:t>
            </w:r>
          </w:p>
          <w:p w14:paraId="1DE1DEA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(104.5-132.2)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D26C38A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114.5</w:t>
            </w:r>
          </w:p>
          <w:p w14:paraId="53288B67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(103.7-127.2)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578DB70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146.5</w:t>
            </w:r>
          </w:p>
          <w:p w14:paraId="18873C8B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(129.5 -168.2)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72A66B5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133.0</w:t>
            </w:r>
          </w:p>
          <w:p w14:paraId="50B2E8CC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(112.5-148.5)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7A99B90A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0.053</w:t>
            </w:r>
          </w:p>
        </w:tc>
      </w:tr>
      <w:tr w:rsidR="007C73C9" w:rsidRPr="00F22954" w14:paraId="74B703E4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5E5E5E3B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Homocysteine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**</w:t>
            </w:r>
          </w:p>
          <w:p w14:paraId="6551E535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(mmol/l)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11D3120D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9.4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a, b</w:t>
            </w:r>
          </w:p>
          <w:p w14:paraId="6968307F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(8.6 – 10.9)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D1965AE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8.2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325EB37B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(7.4 – 9.7)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6184568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11.4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  <w:p w14:paraId="1C2B8AD0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(9.7 – 14.5)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D7913EB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11.4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a, b</w:t>
            </w:r>
          </w:p>
          <w:p w14:paraId="38FE0DB7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(6.4 – 20.2)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0560FC2D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0.047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C73C9" w:rsidRPr="00F22954" w14:paraId="1793C306" w14:textId="77777777" w:rsidTr="005D6075">
        <w:trPr>
          <w:trHeight w:val="430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2C1D2EDA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Blood eosinophil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**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 (cells/mm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3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769B1FC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127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381E490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(104 – 175)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CE3FBBC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299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  <w:p w14:paraId="513D60F8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(187 – 324)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ABDE5BB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173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a,b</w:t>
            </w:r>
          </w:p>
          <w:p w14:paraId="22231665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(116 – 255)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71EE3E7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189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  <w:p w14:paraId="3719EC2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(139 – 262)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7884BEAC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0.016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C73C9" w:rsidRPr="00F22954" w14:paraId="28482388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1AAD7E4C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F22954">
              <w:rPr>
                <w:rFonts w:asciiTheme="majorHAnsi" w:eastAsia="Yu Mincho" w:hAnsiTheme="majorHAnsi" w:cstheme="majorHAnsi"/>
                <w:sz w:val="20"/>
                <w:szCs w:val="20"/>
              </w:rPr>
              <w:t>Serum</w:t>
            </w:r>
            <w:proofErr w:type="spellEnd"/>
            <w:r w:rsidRPr="00F22954">
              <w:rPr>
                <w:rFonts w:asciiTheme="majorHAnsi" w:eastAsia="Yu Mincho" w:hAnsiTheme="majorHAnsi" w:cstheme="majorHAnsi"/>
                <w:sz w:val="20"/>
                <w:szCs w:val="20"/>
              </w:rPr>
              <w:t xml:space="preserve"> total IgE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</w:rPr>
              <w:t>**</w:t>
            </w:r>
          </w:p>
          <w:p w14:paraId="0CD2D72B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</w:rPr>
              <w:t>(KU/l)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0F9550E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29.0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6E4CB3C8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(10.7 – 59.0)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F99FD0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119.5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  <w:p w14:paraId="218C319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(67.8 – 357.0)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A5704A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44.8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a, c</w:t>
            </w:r>
          </w:p>
          <w:p w14:paraId="17599D1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(20.2 – 101.7)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3EC0D7C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84.5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b, c</w:t>
            </w:r>
          </w:p>
          <w:p w14:paraId="71CE4C99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(47.2 –206.5)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125D81C5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0.002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C73C9" w:rsidRPr="00F22954" w14:paraId="7AA4C383" w14:textId="77777777" w:rsidTr="005D6075">
        <w:trPr>
          <w:trHeight w:val="430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7287DE63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FEV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/FVC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616B6ED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85.0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7187A66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(81.7 – 87.2)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C0708F7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75.5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  <w:p w14:paraId="34EFE63D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(54.2 – 82.0)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2608B6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45.0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c</w:t>
            </w:r>
          </w:p>
          <w:p w14:paraId="7CD0AEB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(37.0 – 57.0)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CCB29BF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78.5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  <w:p w14:paraId="490D760D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(75.7 – 83.2)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476BFB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0.000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C73C9" w:rsidRPr="00F22954" w14:paraId="0A8C7535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1DED6D1B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FEV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/FVC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**</w:t>
            </w:r>
          </w:p>
          <w:p w14:paraId="387F69AB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(% Predicted)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0B059C31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103.0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7145B9D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(101.5 – 108.2)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AF6AC1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88.5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  <w:p w14:paraId="0433EEE8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(69.0 – 96.2)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760EEE1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57.5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c</w:t>
            </w:r>
          </w:p>
          <w:p w14:paraId="3CB91B3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(46.2 – 72.0)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455A88E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99.5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d</w:t>
            </w:r>
          </w:p>
          <w:p w14:paraId="0530236F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(93.7 – 102.0)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2CC169E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0.000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C73C9" w:rsidRPr="00F22954" w14:paraId="7C8C5245" w14:textId="77777777" w:rsidTr="005D6075">
        <w:trPr>
          <w:trHeight w:val="353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49792282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FEV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/CVL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472DAE2B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84.0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3E7F726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(80.0 – 89.0)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A549789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77.0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  <w:p w14:paraId="5A462C7F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(56.5 – 80.0)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125FA2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43.0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c</w:t>
            </w:r>
          </w:p>
          <w:p w14:paraId="38FA60DE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(33.7 – 53.0)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862EF0D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77.0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a, b</w:t>
            </w:r>
          </w:p>
          <w:p w14:paraId="0679ADBA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(74.7 – 84.2)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050A708C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0.000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C73C9" w:rsidRPr="00F22954" w14:paraId="671AF6BF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2E3D0FBD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FEV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bscript"/>
                <w:lang w:val="en-US"/>
              </w:rPr>
              <w:t>1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 xml:space="preserve">*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(L)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7791841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3.20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(0.66)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484B28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2.18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(0.94)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1C0E465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1.31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 xml:space="preserve"> c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 (0.66)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006AEE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2.92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 xml:space="preserve">a, b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(0.48)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0B701D2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0.000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7C73C9" w:rsidRPr="00F22954" w14:paraId="4F10CEDC" w14:textId="77777777" w:rsidTr="005D6075">
        <w:trPr>
          <w:trHeight w:val="367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1078E338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FEV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</w:t>
            </w:r>
          </w:p>
          <w:p w14:paraId="08B1890E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(% Predicted)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1DE389EC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102.1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(15.1)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D2EE02D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69.4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(24.1)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A5AF617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48.9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(15.0)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E9F9EBC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93.7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(15.2)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6C99459F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 xml:space="preserve">0.000 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7C73C9" w:rsidRPr="00F22954" w14:paraId="376DD814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52DCAF8D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FEV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/FVC </w:t>
            </w:r>
          </w:p>
          <w:p w14:paraId="7747A80F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Post BD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</w:t>
            </w:r>
          </w:p>
          <w:p w14:paraId="1307409D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18466F9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88.0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6133182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(85.0 – 91.2)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03210B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78.5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  <w:p w14:paraId="1BB73A8F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(59.5 – 84.5)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F4E34C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50.0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c</w:t>
            </w:r>
          </w:p>
          <w:p w14:paraId="564B7A5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(37.7 – 59.7)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8A0BFA9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82.5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  <w:p w14:paraId="39E5736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(76.2 – 86.0)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3288714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0.000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7C73C9" w:rsidRPr="00F22954" w14:paraId="5E43681E" w14:textId="77777777" w:rsidTr="005D6075">
        <w:trPr>
          <w:trHeight w:val="567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0C074EB6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FEV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/FVC</w:t>
            </w:r>
          </w:p>
          <w:p w14:paraId="0F634E9F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Post BD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**</w:t>
            </w:r>
          </w:p>
          <w:p w14:paraId="6FCBED92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(% Predicted)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7D65E2A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109.0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48B476EF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(105.0 – 111.5)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E438212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95.5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  <w:p w14:paraId="0EE1BED0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(75.7 – 101.7)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561F5FA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63.5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c</w:t>
            </w:r>
          </w:p>
          <w:p w14:paraId="1A26251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(48.5 – 75.0)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4693F0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102.0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d</w:t>
            </w:r>
          </w:p>
          <w:p w14:paraId="14A352A0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(98.0 – 106.0)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58A57341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0.000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C73C9" w:rsidRPr="00F22954" w14:paraId="6D3E979C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5AFE2921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FEV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Post BD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**</w:t>
            </w:r>
          </w:p>
          <w:p w14:paraId="637CB5D8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(L)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42591E0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3.38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6FE19E00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(2.52 – 3.97)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D774D5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2.84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a, b</w:t>
            </w:r>
          </w:p>
          <w:p w14:paraId="24DE559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(1.59 – 3.08)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085BBE0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1.28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  <w:p w14:paraId="25854131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(1.10 – 1.48)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422ACDA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2.89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414DE11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(2.56 – 3.55)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63C08F19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0.002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7C73C9" w:rsidRPr="00F22954" w14:paraId="02D16114" w14:textId="77777777" w:rsidTr="005D6075">
        <w:trPr>
          <w:trHeight w:val="337"/>
          <w:jc w:val="center"/>
        </w:trPr>
        <w:tc>
          <w:tcPr>
            <w:tcW w:w="1884" w:type="dxa"/>
            <w:tcBorders>
              <w:top w:val="nil"/>
              <w:bottom w:val="nil"/>
            </w:tcBorders>
          </w:tcPr>
          <w:p w14:paraId="154B1A3C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FEV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bscript"/>
                <w:lang w:val="en-US"/>
              </w:rPr>
              <w:t>1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 Post BD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>*</w:t>
            </w:r>
          </w:p>
          <w:p w14:paraId="7D3A2C1C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(% Predicted)</w:t>
            </w:r>
          </w:p>
        </w:tc>
        <w:tc>
          <w:tcPr>
            <w:tcW w:w="1554" w:type="dxa"/>
            <w:tcBorders>
              <w:top w:val="nil"/>
              <w:bottom w:val="nil"/>
            </w:tcBorders>
          </w:tcPr>
          <w:p w14:paraId="3BBB36D7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104.2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(15.9)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833BBF0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78.3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b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 (23.8)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3BD93E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54.7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c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(13.5)</w:t>
            </w:r>
          </w:p>
          <w:p w14:paraId="6ADF8A63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CCCDBC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96.8 </w:t>
            </w:r>
            <w:r w:rsidRPr="00F22954">
              <w:rPr>
                <w:rFonts w:asciiTheme="majorHAnsi" w:eastAsia="Yu Mincho" w:hAnsiTheme="majorHAnsi" w:cstheme="majorHAnsi"/>
                <w:b/>
                <w:sz w:val="20"/>
                <w:szCs w:val="20"/>
                <w:vertAlign w:val="superscript"/>
                <w:lang w:val="en-US"/>
              </w:rPr>
              <w:t>a, b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(16.9)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7A17EC4E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b/>
                <w:i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lang w:val="en-US"/>
              </w:rPr>
              <w:t>0.000</w:t>
            </w:r>
            <w:r w:rsidRPr="00F22954">
              <w:rPr>
                <w:rFonts w:asciiTheme="majorHAnsi" w:eastAsia="Yu Mincho" w:hAnsiTheme="majorHAnsi" w:cstheme="majorHAnsi"/>
                <w:b/>
                <w:i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7C73C9" w:rsidRPr="00F22954" w14:paraId="02099BD9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tcW w:w="1884" w:type="dxa"/>
            <w:tcBorders>
              <w:top w:val="nil"/>
            </w:tcBorders>
          </w:tcPr>
          <w:p w14:paraId="3585EF98" w14:textId="77777777" w:rsidR="007C73C9" w:rsidRPr="00F22954" w:rsidRDefault="007C73C9" w:rsidP="005D6075">
            <w:pPr>
              <w:spacing w:line="240" w:lineRule="auto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F22954">
              <w:rPr>
                <w:rFonts w:asciiTheme="majorHAnsi" w:eastAsia="Symbol" w:hAnsiTheme="majorHAnsi" w:cs="Symbol"/>
                <w:sz w:val="20"/>
                <w:szCs w:val="20"/>
                <w:lang w:val="en-US"/>
              </w:rPr>
              <w:t>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 FEV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 xml:space="preserve">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vertAlign w:val="superscript"/>
                <w:lang w:val="en-US"/>
              </w:rPr>
              <w:t xml:space="preserve">** </w:t>
            </w: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(ml)</w:t>
            </w:r>
          </w:p>
        </w:tc>
        <w:tc>
          <w:tcPr>
            <w:tcW w:w="1554" w:type="dxa"/>
            <w:tcBorders>
              <w:top w:val="nil"/>
            </w:tcBorders>
          </w:tcPr>
          <w:p w14:paraId="6E455DF4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57.5</w:t>
            </w:r>
          </w:p>
          <w:p w14:paraId="76325246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(-12.5-200.0)</w:t>
            </w:r>
          </w:p>
        </w:tc>
        <w:tc>
          <w:tcPr>
            <w:tcW w:w="1495" w:type="dxa"/>
            <w:tcBorders>
              <w:top w:val="nil"/>
            </w:tcBorders>
          </w:tcPr>
          <w:p w14:paraId="038B3235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250.0</w:t>
            </w:r>
          </w:p>
          <w:p w14:paraId="0E11C897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(67.5- 467.5)</w:t>
            </w:r>
          </w:p>
        </w:tc>
        <w:tc>
          <w:tcPr>
            <w:tcW w:w="1495" w:type="dxa"/>
            <w:tcBorders>
              <w:top w:val="nil"/>
            </w:tcBorders>
          </w:tcPr>
          <w:p w14:paraId="5B48F835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150.0</w:t>
            </w:r>
          </w:p>
          <w:p w14:paraId="196701AB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(97.5 – 172.5)</w:t>
            </w:r>
          </w:p>
        </w:tc>
        <w:tc>
          <w:tcPr>
            <w:tcW w:w="1495" w:type="dxa"/>
            <w:tcBorders>
              <w:top w:val="nil"/>
            </w:tcBorders>
          </w:tcPr>
          <w:p w14:paraId="1FB7ACA1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105.0</w:t>
            </w:r>
          </w:p>
          <w:p w14:paraId="6466561B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(20.0 – 162.5)</w:t>
            </w:r>
          </w:p>
        </w:tc>
        <w:tc>
          <w:tcPr>
            <w:tcW w:w="913" w:type="dxa"/>
            <w:tcBorders>
              <w:top w:val="nil"/>
            </w:tcBorders>
          </w:tcPr>
          <w:p w14:paraId="45023DCC" w14:textId="77777777" w:rsidR="007C73C9" w:rsidRPr="00F22954" w:rsidRDefault="007C73C9" w:rsidP="005D6075">
            <w:pPr>
              <w:spacing w:line="240" w:lineRule="auto"/>
              <w:jc w:val="center"/>
              <w:rPr>
                <w:rFonts w:asciiTheme="majorHAnsi" w:eastAsia="Yu Mincho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F22954">
              <w:rPr>
                <w:rFonts w:asciiTheme="majorHAnsi" w:eastAsia="Yu Mincho" w:hAnsiTheme="majorHAnsi" w:cstheme="majorHAnsi"/>
                <w:sz w:val="20"/>
                <w:szCs w:val="20"/>
                <w:lang w:val="en-US"/>
              </w:rPr>
              <w:t>0.177</w:t>
            </w:r>
          </w:p>
        </w:tc>
      </w:tr>
    </w:tbl>
    <w:p w14:paraId="45AC740D" w14:textId="77777777" w:rsidR="007C73C9" w:rsidRPr="00EB5B28" w:rsidRDefault="007C73C9" w:rsidP="007C73C9">
      <w:pPr>
        <w:spacing w:line="240" w:lineRule="auto"/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</w:pP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  <w:t>Data were shown as mean (SD), median (interquartile range-IQR), or number (</w:t>
      </w:r>
      <w:r w:rsidRPr="00EB5B28">
        <w:rPr>
          <w:rFonts w:asciiTheme="majorHAnsi" w:eastAsia="Calibri" w:hAnsiTheme="majorHAnsi" w:cstheme="majorHAnsi"/>
          <w:i/>
          <w:kern w:val="2"/>
          <w:sz w:val="22"/>
          <w:szCs w:val="22"/>
          <w:lang w:val="en-US"/>
          <w14:ligatures w14:val="standardContextual"/>
        </w:rPr>
        <w:t>p</w:t>
      </w: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  <w:t>-value &lt;0.05).</w:t>
      </w:r>
    </w:p>
    <w:p w14:paraId="03ECF49D" w14:textId="77777777" w:rsidR="007C73C9" w:rsidRPr="00EB5B28" w:rsidRDefault="007C73C9" w:rsidP="007C73C9">
      <w:pPr>
        <w:spacing w:line="240" w:lineRule="auto"/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</w:pP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  <w:t xml:space="preserve">(*) ANOVA and Tukey test; (**) Kruskal Wallis test and Mann Whitney U test; (***) Mann-Whitney U test.  BMI- Body mass index; CRP – C Reactive Protein; IgE- serum </w:t>
      </w: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"/>
          <w14:ligatures w14:val="standardContextual"/>
        </w:rPr>
        <w:t>immunoglobulin</w:t>
      </w: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  <w:t xml:space="preserve"> E; FVC- Forced Vital Capacity; FEV</w:t>
      </w:r>
      <w:r w:rsidRPr="00EB5B28">
        <w:rPr>
          <w:rFonts w:asciiTheme="majorHAnsi" w:eastAsia="Calibri" w:hAnsiTheme="majorHAnsi" w:cstheme="majorHAnsi"/>
          <w:kern w:val="2"/>
          <w:sz w:val="22"/>
          <w:szCs w:val="22"/>
          <w:vertAlign w:val="subscript"/>
          <w:lang w:val="en-US"/>
          <w14:ligatures w14:val="standardContextual"/>
        </w:rPr>
        <w:t xml:space="preserve">1 </w:t>
      </w: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  <w:t xml:space="preserve">– Forced Expiratory Volume in first second; </w:t>
      </w:r>
      <w:r w:rsidRPr="00EB5B28">
        <w:rPr>
          <w:rFonts w:asciiTheme="majorHAnsi" w:eastAsia="Symbol" w:hAnsiTheme="majorHAnsi" w:cs="Symbol"/>
          <w:kern w:val="2"/>
          <w:sz w:val="22"/>
          <w:szCs w:val="22"/>
          <w:lang w:val="en-US"/>
          <w14:ligatures w14:val="standardContextual"/>
        </w:rPr>
        <w:t></w:t>
      </w: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  <w:t xml:space="preserve"> FEV</w:t>
      </w:r>
      <w:r w:rsidRPr="00EB5B28">
        <w:rPr>
          <w:rFonts w:asciiTheme="majorHAnsi" w:eastAsia="Calibri" w:hAnsiTheme="majorHAnsi" w:cstheme="majorHAnsi"/>
          <w:kern w:val="2"/>
          <w:sz w:val="22"/>
          <w:szCs w:val="22"/>
          <w:vertAlign w:val="subscript"/>
          <w:lang w:val="en-US"/>
          <w14:ligatures w14:val="standardContextual"/>
        </w:rPr>
        <w:t>1</w:t>
      </w: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  <w:t>- variation in FE</w:t>
      </w:r>
      <w:r w:rsidRPr="00EB5B28">
        <w:rPr>
          <w:rFonts w:asciiTheme="majorHAnsi" w:eastAsia="Calibri" w:hAnsiTheme="majorHAnsi" w:cstheme="majorHAnsi"/>
          <w:color w:val="000000"/>
          <w:kern w:val="2"/>
          <w:sz w:val="22"/>
          <w:szCs w:val="22"/>
          <w:lang w:val="en-US"/>
          <w14:ligatures w14:val="standardContextual"/>
        </w:rPr>
        <w:t>V</w:t>
      </w:r>
      <w:r w:rsidRPr="00EB5B28">
        <w:rPr>
          <w:rFonts w:asciiTheme="majorHAnsi" w:eastAsia="Calibri" w:hAnsiTheme="majorHAnsi" w:cstheme="majorHAnsi"/>
          <w:color w:val="000000"/>
          <w:kern w:val="2"/>
          <w:sz w:val="22"/>
          <w:szCs w:val="22"/>
          <w:vertAlign w:val="subscript"/>
          <w:lang w:val="en-US"/>
          <w14:ligatures w14:val="standardContextual"/>
        </w:rPr>
        <w:t>1</w:t>
      </w: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  <w:t xml:space="preserve"> before and after 400 µcg salbutamol; BD – bronchodilator.</w:t>
      </w:r>
    </w:p>
    <w:p w14:paraId="3470E601" w14:textId="77777777" w:rsidR="007C73C9" w:rsidRPr="00BE2565" w:rsidRDefault="007C73C9" w:rsidP="007C73C9">
      <w:pPr>
        <w:spacing w:line="240" w:lineRule="auto"/>
        <w:rPr>
          <w:lang w:val="en-US"/>
        </w:rPr>
      </w:pPr>
    </w:p>
    <w:p w14:paraId="6A348C54" w14:textId="77777777" w:rsidR="007C73C9" w:rsidRPr="00F356A9" w:rsidRDefault="007C73C9" w:rsidP="007C73C9">
      <w:pPr>
        <w:rPr>
          <w:lang w:val="en-US"/>
        </w:rPr>
      </w:pPr>
    </w:p>
    <w:p w14:paraId="4969DA7C" w14:textId="77777777" w:rsidR="007C73C9" w:rsidRDefault="007C73C9" w:rsidP="007C73C9">
      <w:pPr>
        <w:rPr>
          <w:rFonts w:asciiTheme="majorHAnsi" w:hAnsiTheme="majorHAnsi"/>
          <w:sz w:val="22"/>
          <w:szCs w:val="22"/>
        </w:rPr>
      </w:pPr>
    </w:p>
    <w:sectPr w:rsidR="007C73C9" w:rsidSect="007C73C9">
      <w:footerReference w:type="even" r:id="rId4"/>
      <w:footerReference w:type="default" r:id="rId5"/>
      <w:pgSz w:w="11906" w:h="16838"/>
      <w:pgMar w:top="1417" w:right="1701" w:bottom="1417" w:left="1701" w:header="0" w:footer="0" w:gutter="0"/>
      <w:lnNumType w:countBy="1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2006977125"/>
      <w:docPartObj>
        <w:docPartGallery w:val="Page Numbers (Bottom of Page)"/>
        <w:docPartUnique/>
      </w:docPartObj>
    </w:sdtPr>
    <w:sdtContent>
      <w:p w14:paraId="610CD9EE" w14:textId="77777777" w:rsidR="007C73C9" w:rsidRDefault="007C73C9" w:rsidP="00C218E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4511660A" w14:textId="77777777" w:rsidR="007C73C9" w:rsidRDefault="007C73C9" w:rsidP="0083461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35075208"/>
      <w:docPartObj>
        <w:docPartGallery w:val="Page Numbers (Bottom of Page)"/>
        <w:docPartUnique/>
      </w:docPartObj>
    </w:sdtPr>
    <w:sdtContent>
      <w:p w14:paraId="3B96D4BF" w14:textId="77777777" w:rsidR="007C73C9" w:rsidRDefault="007C73C9" w:rsidP="00C218E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246C6494" w14:textId="77777777" w:rsidR="007C73C9" w:rsidRDefault="007C73C9" w:rsidP="00834613">
    <w:pPr>
      <w:pStyle w:val="Rodap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C9"/>
    <w:rsid w:val="00141493"/>
    <w:rsid w:val="003864E1"/>
    <w:rsid w:val="003E62F6"/>
    <w:rsid w:val="003F0E43"/>
    <w:rsid w:val="00415D95"/>
    <w:rsid w:val="00503852"/>
    <w:rsid w:val="005717A5"/>
    <w:rsid w:val="007C73C9"/>
    <w:rsid w:val="00A13D02"/>
    <w:rsid w:val="00C86EB5"/>
    <w:rsid w:val="00CA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4C7608"/>
  <w15:chartTrackingRefBased/>
  <w15:docId w15:val="{C59DEFFB-14BF-4245-8826-E4366E8C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3C9"/>
    <w:pPr>
      <w:spacing w:line="360" w:lineRule="auto"/>
      <w:jc w:val="both"/>
    </w:pPr>
    <w:rPr>
      <w:rFonts w:ascii="Times New Roman" w:eastAsiaTheme="minorEastAsia" w:hAnsi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73C9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73C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73C9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73C9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73C9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73C9"/>
    <w:pPr>
      <w:keepNext/>
      <w:keepLines/>
      <w:spacing w:before="4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73C9"/>
    <w:pPr>
      <w:keepNext/>
      <w:keepLines/>
      <w:spacing w:before="4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73C9"/>
    <w:pPr>
      <w:keepNext/>
      <w:keepLines/>
      <w:spacing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73C9"/>
    <w:pPr>
      <w:keepNext/>
      <w:keepLines/>
      <w:spacing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7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7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7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73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73C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73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73C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73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73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73C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C7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73C9"/>
    <w:pPr>
      <w:numPr>
        <w:ilvl w:val="1"/>
      </w:numPr>
      <w:spacing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C7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73C9"/>
    <w:pPr>
      <w:spacing w:before="160" w:after="160" w:line="240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C73C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73C9"/>
    <w:pPr>
      <w:spacing w:line="240" w:lineRule="auto"/>
      <w:ind w:left="720"/>
      <w:contextualSpacing/>
      <w:jc w:val="left"/>
    </w:pPr>
    <w:rPr>
      <w:rFonts w:asciiTheme="minorHAnsi" w:eastAsiaTheme="minorHAnsi" w:hAnsiTheme="minorHAns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C73C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7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73C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73C9"/>
    <w:rPr>
      <w:b/>
      <w:bCs/>
      <w:smallCaps/>
      <w:color w:val="0F4761" w:themeColor="accent1" w:themeShade="BF"/>
      <w:spacing w:val="5"/>
    </w:rPr>
  </w:style>
  <w:style w:type="character" w:styleId="Nmerodepgina">
    <w:name w:val="page number"/>
    <w:basedOn w:val="Fontepargpadro"/>
    <w:uiPriority w:val="99"/>
    <w:semiHidden/>
    <w:unhideWhenUsed/>
    <w:qFormat/>
    <w:rsid w:val="007C73C9"/>
  </w:style>
  <w:style w:type="character" w:customStyle="1" w:styleId="RodapChar">
    <w:name w:val="Rodapé Char"/>
    <w:basedOn w:val="Fontepargpadro"/>
    <w:link w:val="Rodap"/>
    <w:uiPriority w:val="99"/>
    <w:qFormat/>
    <w:rsid w:val="007C73C9"/>
    <w:rPr>
      <w:rFonts w:ascii="Times New Roman" w:eastAsiaTheme="minorEastAsia" w:hAnsi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C73C9"/>
    <w:pPr>
      <w:tabs>
        <w:tab w:val="center" w:pos="4320"/>
        <w:tab w:val="right" w:pos="8640"/>
      </w:tabs>
    </w:pPr>
  </w:style>
  <w:style w:type="character" w:customStyle="1" w:styleId="RodapChar1">
    <w:name w:val="Rodapé Char1"/>
    <w:basedOn w:val="Fontepargpadro"/>
    <w:uiPriority w:val="99"/>
    <w:semiHidden/>
    <w:rsid w:val="007C73C9"/>
    <w:rPr>
      <w:rFonts w:ascii="Times New Roman" w:eastAsiaTheme="minorEastAsia" w:hAnsi="Times New Roman"/>
      <w:kern w:val="0"/>
      <w14:ligatures w14:val="none"/>
    </w:rPr>
  </w:style>
  <w:style w:type="table" w:styleId="SombreamentoClaro">
    <w:name w:val="Light Shading"/>
    <w:basedOn w:val="Tabelanormal"/>
    <w:uiPriority w:val="60"/>
    <w:rsid w:val="007C73C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deGrade2">
    <w:name w:val="Grid Table 2"/>
    <w:basedOn w:val="Tabelanormal"/>
    <w:uiPriority w:val="47"/>
    <w:rsid w:val="007C73C9"/>
    <w:rPr>
      <w:sz w:val="20"/>
      <w:szCs w:val="22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merodelinha">
    <w:name w:val="line number"/>
    <w:basedOn w:val="Fontepargpadro"/>
    <w:uiPriority w:val="99"/>
    <w:semiHidden/>
    <w:unhideWhenUsed/>
    <w:rsid w:val="007C7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2286</Characters>
  <Application>Microsoft Office Word</Application>
  <DocSecurity>0</DocSecurity>
  <Lines>152</Lines>
  <Paragraphs>129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Bastos</dc:creator>
  <cp:keywords/>
  <dc:description/>
  <cp:lastModifiedBy>Tatiane Bastos</cp:lastModifiedBy>
  <cp:revision>2</cp:revision>
  <dcterms:created xsi:type="dcterms:W3CDTF">2026-04-13T14:15:00Z</dcterms:created>
  <dcterms:modified xsi:type="dcterms:W3CDTF">2026-04-13T14:15:00Z</dcterms:modified>
</cp:coreProperties>
</file>