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998CB" w14:textId="77777777" w:rsidR="0039334C" w:rsidRPr="009E3AB6" w:rsidRDefault="0039334C" w:rsidP="0039334C">
      <w:pPr>
        <w:spacing w:line="276" w:lineRule="auto"/>
        <w:rPr>
          <w:rFonts w:ascii="Palatino Linotype" w:hAnsi="Palatino Linotype"/>
          <w:b/>
          <w:bCs/>
          <w:sz w:val="28"/>
          <w:szCs w:val="28"/>
        </w:rPr>
      </w:pPr>
      <w:r w:rsidRPr="009E3AB6">
        <w:rPr>
          <w:rFonts w:ascii="Palatino Linotype" w:hAnsi="Palatino Linotype"/>
          <w:b/>
          <w:bCs/>
          <w:sz w:val="28"/>
          <w:szCs w:val="28"/>
        </w:rPr>
        <w:t xml:space="preserve">Directional Proton Conductance in Bacteriorhodopsin </w:t>
      </w:r>
      <w:r>
        <w:rPr>
          <w:rFonts w:ascii="Palatino Linotype" w:hAnsi="Palatino Linotype"/>
          <w:b/>
          <w:bCs/>
          <w:sz w:val="28"/>
          <w:szCs w:val="28"/>
        </w:rPr>
        <w:t>I</w:t>
      </w:r>
      <w:r w:rsidRPr="009E3AB6">
        <w:rPr>
          <w:rFonts w:ascii="Palatino Linotype" w:hAnsi="Palatino Linotype"/>
          <w:b/>
          <w:bCs/>
          <w:sz w:val="28"/>
          <w:szCs w:val="28"/>
        </w:rPr>
        <w:t xml:space="preserve">s Driven by Concentration Gradient, </w:t>
      </w:r>
      <w:r>
        <w:rPr>
          <w:rFonts w:ascii="Palatino Linotype" w:hAnsi="Palatino Linotype"/>
          <w:b/>
          <w:bCs/>
          <w:sz w:val="28"/>
          <w:szCs w:val="28"/>
        </w:rPr>
        <w:t>N</w:t>
      </w:r>
      <w:r w:rsidRPr="009E3AB6">
        <w:rPr>
          <w:rFonts w:ascii="Palatino Linotype" w:hAnsi="Palatino Linotype"/>
          <w:b/>
          <w:bCs/>
          <w:sz w:val="28"/>
          <w:szCs w:val="28"/>
        </w:rPr>
        <w:t>ot Affinity Gradient</w:t>
      </w:r>
    </w:p>
    <w:p w14:paraId="01878921" w14:textId="77777777" w:rsidR="0039334C" w:rsidRPr="00534670" w:rsidRDefault="0039334C" w:rsidP="0039334C">
      <w:pPr>
        <w:spacing w:line="276" w:lineRule="auto"/>
        <w:rPr>
          <w:rFonts w:ascii="Palatino Linotype" w:hAnsi="Palatino Linotype"/>
        </w:rPr>
      </w:pPr>
    </w:p>
    <w:p w14:paraId="47A4613F" w14:textId="77777777" w:rsidR="0039334C" w:rsidRPr="00534670" w:rsidRDefault="0039334C" w:rsidP="0039334C">
      <w:pPr>
        <w:spacing w:line="276" w:lineRule="auto"/>
        <w:rPr>
          <w:rFonts w:ascii="Palatino Linotype" w:hAnsi="Palatino Linotype"/>
        </w:rPr>
      </w:pPr>
      <w:r w:rsidRPr="00534670">
        <w:rPr>
          <w:rFonts w:ascii="Palatino Linotype" w:hAnsi="Palatino Linotype"/>
        </w:rPr>
        <w:t>Zhong Ren</w:t>
      </w:r>
    </w:p>
    <w:p w14:paraId="083398D0" w14:textId="77777777" w:rsidR="0039334C" w:rsidRPr="00534670" w:rsidRDefault="0039334C" w:rsidP="0039334C">
      <w:pPr>
        <w:spacing w:line="276" w:lineRule="auto"/>
        <w:rPr>
          <w:rFonts w:ascii="Palatino Linotype" w:hAnsi="Palatino Linotype"/>
        </w:rPr>
      </w:pPr>
    </w:p>
    <w:p w14:paraId="3E7A2A38" w14:textId="77777777" w:rsidR="0039334C" w:rsidRPr="00534670" w:rsidRDefault="0039334C" w:rsidP="0039334C">
      <w:pPr>
        <w:spacing w:line="276" w:lineRule="auto"/>
        <w:rPr>
          <w:rFonts w:ascii="Palatino Linotype" w:hAnsi="Palatino Linotype" w:cs="TimesNewRomanPSMT"/>
        </w:rPr>
      </w:pPr>
      <w:r w:rsidRPr="00534670">
        <w:rPr>
          <w:rFonts w:ascii="Palatino Linotype" w:hAnsi="Palatino Linotype" w:cs="TimesNewRomanPSMT"/>
        </w:rPr>
        <w:t>Department of Chemistry</w:t>
      </w:r>
      <w:r w:rsidRPr="00534670">
        <w:rPr>
          <w:rFonts w:ascii="Palatino Linotype" w:hAnsi="Palatino Linotype"/>
        </w:rPr>
        <w:t xml:space="preserve">, </w:t>
      </w:r>
      <w:r w:rsidRPr="00534670">
        <w:rPr>
          <w:rFonts w:ascii="Palatino Linotype" w:hAnsi="Palatino Linotype" w:cs="TimesNewRomanPSMT"/>
        </w:rPr>
        <w:t>University of Illinois at Chicago, Chicago, IL 60607, USA</w:t>
      </w:r>
    </w:p>
    <w:p w14:paraId="6FB28B32" w14:textId="77777777" w:rsidR="0039334C" w:rsidRPr="00572606" w:rsidRDefault="0039334C" w:rsidP="0039334C">
      <w:pPr>
        <w:spacing w:line="276" w:lineRule="auto"/>
        <w:rPr>
          <w:rFonts w:ascii="Palatino Linotype" w:hAnsi="Palatino Linotype"/>
        </w:rPr>
      </w:pPr>
      <w:r w:rsidRPr="00572606">
        <w:rPr>
          <w:rFonts w:ascii="Palatino Linotype" w:hAnsi="Palatino Linotype"/>
        </w:rPr>
        <w:t>Renz Research, Inc., Westmont, IL 60559, USA</w:t>
      </w:r>
    </w:p>
    <w:p w14:paraId="2F92E9BD" w14:textId="77777777" w:rsidR="0039334C" w:rsidRPr="00572606" w:rsidRDefault="0039334C" w:rsidP="0039334C">
      <w:pPr>
        <w:spacing w:line="276" w:lineRule="auto"/>
        <w:rPr>
          <w:rFonts w:ascii="Palatino Linotype" w:hAnsi="Palatino Linotype" w:cs="TimesNewRomanPSMT"/>
        </w:rPr>
      </w:pPr>
    </w:p>
    <w:p w14:paraId="321DB2C8" w14:textId="77777777" w:rsidR="0039334C" w:rsidRDefault="0039334C" w:rsidP="0039334C">
      <w:pPr>
        <w:spacing w:line="276" w:lineRule="auto"/>
        <w:rPr>
          <w:rFonts w:ascii="Palatino Linotype" w:hAnsi="Palatino Linotype"/>
        </w:rPr>
      </w:pPr>
      <w:r w:rsidRPr="00405FD3">
        <w:rPr>
          <w:rFonts w:ascii="Palatino Linotype" w:hAnsi="Palatino Linotype"/>
        </w:rPr>
        <w:t>zren@uic.edu</w:t>
      </w:r>
    </w:p>
    <w:p w14:paraId="38606232" w14:textId="77777777" w:rsidR="0039334C" w:rsidRPr="00405FD3" w:rsidRDefault="0039334C" w:rsidP="0039334C">
      <w:pPr>
        <w:spacing w:line="276" w:lineRule="auto"/>
        <w:rPr>
          <w:rFonts w:ascii="Palatino Linotype" w:hAnsi="Palatino Linotype"/>
        </w:rPr>
      </w:pPr>
      <w:r w:rsidRPr="00405FD3">
        <w:rPr>
          <w:rFonts w:ascii="Palatino Linotype" w:hAnsi="Palatino Linotype"/>
        </w:rPr>
        <w:t>ORCID 0000-0001-7098-3127</w:t>
      </w:r>
    </w:p>
    <w:p w14:paraId="64A3F333" w14:textId="77777777" w:rsidR="0039334C" w:rsidRDefault="0039334C" w:rsidP="0039334C">
      <w:pPr>
        <w:spacing w:line="276" w:lineRule="auto"/>
        <w:rPr>
          <w:rFonts w:ascii="Palatino Linotype" w:hAnsi="Palatino Linotype"/>
        </w:rPr>
      </w:pPr>
    </w:p>
    <w:p w14:paraId="00B5DFF8" w14:textId="77777777" w:rsidR="0039334C" w:rsidRDefault="0039334C" w:rsidP="0039334C">
      <w:pPr>
        <w:keepNext/>
        <w:spacing w:line="276" w:lineRule="auto"/>
        <w:rPr>
          <w:rFonts w:ascii="Palatino Linotype" w:hAnsi="Palatino Linotype"/>
        </w:rPr>
      </w:pPr>
      <w:r w:rsidRPr="00D83F6A">
        <w:rPr>
          <w:rFonts w:ascii="Palatino Linotype" w:hAnsi="Palatino Linotype"/>
          <w:b/>
          <w:bCs/>
        </w:rPr>
        <w:t>Supplementary</w:t>
      </w:r>
      <w:r>
        <w:rPr>
          <w:rFonts w:ascii="Palatino Linotype" w:hAnsi="Palatino Linotype"/>
          <w:b/>
          <w:bCs/>
        </w:rPr>
        <w:t xml:space="preserve"> Information</w:t>
      </w:r>
    </w:p>
    <w:p w14:paraId="5C5DEAE8" w14:textId="77777777" w:rsidR="0039334C" w:rsidRPr="001343C3" w:rsidRDefault="0039334C" w:rsidP="0039334C">
      <w:pPr>
        <w:keepNext/>
        <w:spacing w:line="276" w:lineRule="auto"/>
        <w:rPr>
          <w:rFonts w:ascii="Palatino Linotype" w:hAnsi="Palatino Linotype"/>
          <w:i/>
          <w:iCs/>
        </w:rPr>
      </w:pPr>
      <w:r w:rsidRPr="001343C3">
        <w:rPr>
          <w:rFonts w:ascii="Palatino Linotype" w:hAnsi="Palatino Linotype"/>
          <w:i/>
          <w:iCs/>
        </w:rPr>
        <w:t>Intermediate</w:t>
      </w:r>
      <w:r>
        <w:rPr>
          <w:rFonts w:ascii="Palatino Linotype" w:hAnsi="Palatino Linotype"/>
          <w:i/>
          <w:iCs/>
        </w:rPr>
        <w:t>s K and</w:t>
      </w:r>
      <w:r w:rsidRPr="001343C3">
        <w:rPr>
          <w:rFonts w:ascii="Palatino Linotype" w:hAnsi="Palatino Linotype"/>
          <w:i/>
          <w:iCs/>
        </w:rPr>
        <w:t xml:space="preserve"> L</w:t>
      </w:r>
    </w:p>
    <w:p w14:paraId="1A09C0DE" w14:textId="77777777" w:rsidR="0039334C" w:rsidRDefault="0039334C" w:rsidP="0039334C">
      <w:pPr>
        <w:spacing w:line="276" w:lineRule="auto"/>
        <w:rPr>
          <w:rFonts w:ascii="Palatino Linotype" w:hAnsi="Palatino Linotype"/>
        </w:rPr>
      </w:pPr>
      <w:r>
        <w:rPr>
          <w:rFonts w:ascii="Palatino Linotype" w:hAnsi="Palatino Linotype"/>
        </w:rPr>
        <w:t xml:space="preserve">Emerged from J around 10 </w:t>
      </w:r>
      <w:proofErr w:type="spellStart"/>
      <w:r>
        <w:rPr>
          <w:rFonts w:ascii="Palatino Linotype" w:hAnsi="Palatino Linotype"/>
        </w:rPr>
        <w:t>ps</w:t>
      </w:r>
      <w:proofErr w:type="spellEnd"/>
      <w:r>
        <w:rPr>
          <w:rFonts w:ascii="Palatino Linotype" w:hAnsi="Palatino Linotype"/>
        </w:rPr>
        <w:t xml:space="preserve">, K lasts more than five decades into </w:t>
      </w:r>
      <w:r>
        <w:rPr>
          <w:rFonts w:ascii="Palatino Linotype" w:hAnsi="Palatino Linotype"/>
        </w:rPr>
        <w:sym w:font="Symbol" w:char="F06D"/>
      </w:r>
      <w:r>
        <w:rPr>
          <w:rFonts w:ascii="Palatino Linotype" w:hAnsi="Palatino Linotype"/>
        </w:rPr>
        <w:t xml:space="preserve">s, which suggests that it is a struggle to achieve the next state L over a significant energy barrier.  The creased retinal ever since I’ at the very first time point </w:t>
      </w:r>
      <w:r>
        <w:rPr>
          <w:rFonts w:ascii="Palatino Linotype" w:hAnsi="Palatino Linotype"/>
        </w:rPr>
        <w:fldChar w:fldCharType="begin"/>
      </w:r>
      <w:r>
        <w:rPr>
          <w:rFonts w:ascii="Palatino Linotype" w:hAnsi="Palatino Linotype"/>
        </w:rPr>
        <w:instrText xml:space="preserve"> ADDIN ZOTERO_ITEM CSL_CITATION {"citationID":"CgcXrJrT","properties":{"formattedCitation":"(Ren, 2021)","plainCitation":"(Ren, 2021)","noteIndex":0},"citationItems":[{"id":6759,"uris":["http://zotero.org/users/local/Med5doT8/items/KIC7BABI"],"uri":["http://zotero.org/users/local/Med5doT8/items/KIC7BABI"],"itemData":{"id":6759,"type":"article-journal","abstract":"Photoisomerization of retinoids inside a confined protein pocket represents a critical chemical event in many important biological processes from animal vision, non-visual light effects, to bacterial light sensing and harvesting.  Light driven proton pumping in bacteriorhodopsin entails exquisite electronic and conformational reconfigurations during its photocycle.  However, it has been a major challenge to delineate transient molecular events preceding and following the photoisomerization of the retinal from noisy electron density maps when varying populations of intermediates coexist and evolve as a function of time.  Here I report several distinct early photoproducts deconvoluted from the recently observed mixtures in time-resolved serial crystallography.  This deconvolution substantially improves the quality of the electron density maps hence demonstrates that the all-trans retinal undergoes extensive isomerization sampling before it proceeds to the productive 13-cis configuration.  Upon light absorption, the chromophore attempts to perform trans-to-cis isomerization at every double bond coupled with the stalled anti-to-syn rotations at multiple single bonds along its polyene chain.  Such isomerization sampling pushes all seven transmembrane helices to bend outward, resulting in a transient expansion of the retinal binding pocket, and later, a contraction due to recoiling.  These ultrafast responses observed at the atomic resolution support that the productive photoreaction in bacteriorhodopsin is initiated by light-induced charge separation in the prosthetic chromophore yet governed by stereoselectivity of its protein pocket.  The method of a numerical resolution of concurrent events from mixed observations is also generally applicable.","container-title":"bioRxiv","DOI":"10.1101/2021.09.16.460656","language":"en","note":"DOI: 10.1101/2021.09.16.460656","page":"doi:10.1101/2021.09.16.460656","source":"DOI.org (Crossref)","title":"Photoinduced isomerization sampling of retinal in bacteriorhodopsin","author":[{"family":"Ren","given":"Zhong"}],"issued":{"date-parts":[["2021",9,16]]}}}],"schema":"https://github.com/citation-style-language/schema/raw/master/csl-citation.json"} </w:instrText>
      </w:r>
      <w:r>
        <w:rPr>
          <w:rFonts w:ascii="Palatino Linotype" w:hAnsi="Palatino Linotype"/>
        </w:rPr>
        <w:fldChar w:fldCharType="separate"/>
      </w:r>
      <w:r>
        <w:rPr>
          <w:rFonts w:ascii="Palatino Linotype" w:hAnsi="Palatino Linotype"/>
          <w:noProof/>
        </w:rPr>
        <w:t>(Ren, 2021)</w:t>
      </w:r>
      <w:r>
        <w:rPr>
          <w:rFonts w:ascii="Palatino Linotype" w:hAnsi="Palatino Linotype"/>
        </w:rPr>
        <w:fldChar w:fldCharType="end"/>
      </w:r>
      <w:r>
        <w:rPr>
          <w:rFonts w:ascii="Palatino Linotype" w:hAnsi="Palatino Linotype"/>
        </w:rPr>
        <w:t xml:space="preserve"> is relaxing in K (blue; Figs. 3ef and S8).  This slow and difficult relaxation could be driven in part by the energy stored in the creased 13-</w:t>
      </w:r>
      <w:r w:rsidRPr="00F7431B">
        <w:rPr>
          <w:rFonts w:ascii="Palatino Linotype" w:hAnsi="Palatino Linotype"/>
          <w:i/>
          <w:iCs/>
        </w:rPr>
        <w:t>cis</w:t>
      </w:r>
      <w:r>
        <w:rPr>
          <w:rFonts w:ascii="Palatino Linotype" w:hAnsi="Palatino Linotype"/>
        </w:rPr>
        <w:t xml:space="preserve"> retinal and leads to global changes over the entire molecule.  First, C</w:t>
      </w:r>
      <w:r w:rsidRPr="006D7360">
        <w:rPr>
          <w:rFonts w:ascii="Palatino Linotype" w:hAnsi="Palatino Linotype"/>
          <w:vertAlign w:val="subscript"/>
        </w:rPr>
        <w:t>20</w:t>
      </w:r>
      <w:r>
        <w:rPr>
          <w:rFonts w:ascii="Palatino Linotype" w:hAnsi="Palatino Linotype"/>
        </w:rPr>
        <w:t xml:space="preserve"> methyl group is tilting less at 20</w:t>
      </w:r>
      <w:r>
        <w:rPr>
          <w:rFonts w:ascii="Palatino Linotype" w:hAnsi="Palatino Linotype"/>
        </w:rPr>
        <w:sym w:font="Symbol" w:char="F0B0"/>
      </w:r>
      <w:r>
        <w:rPr>
          <w:rFonts w:ascii="Palatino Linotype" w:hAnsi="Palatino Linotype"/>
        </w:rPr>
        <w:t xml:space="preserve"> from its resting orientation (Fig. 2b bottom panel).  Although protruded toward the CP direction due to the 13-</w:t>
      </w:r>
      <w:r w:rsidRPr="003165F6">
        <w:rPr>
          <w:rFonts w:ascii="Palatino Linotype" w:hAnsi="Palatino Linotype"/>
          <w:i/>
          <w:iCs/>
        </w:rPr>
        <w:t>cis</w:t>
      </w:r>
      <w:r>
        <w:rPr>
          <w:rFonts w:ascii="Palatino Linotype" w:hAnsi="Palatino Linotype"/>
        </w:rPr>
        <w:t xml:space="preserve"> configuration, the tilted C</w:t>
      </w:r>
      <w:r w:rsidRPr="006D7360">
        <w:rPr>
          <w:rFonts w:ascii="Palatino Linotype" w:hAnsi="Palatino Linotype"/>
          <w:vertAlign w:val="subscript"/>
        </w:rPr>
        <w:t>20</w:t>
      </w:r>
      <w:r>
        <w:rPr>
          <w:rFonts w:ascii="Palatino Linotype" w:hAnsi="Palatino Linotype"/>
        </w:rPr>
        <w:t xml:space="preserve"> in J is not pointing to Trp182 directly (Fig. 3ef).  Therefore, Trp182 is little affected in J.  As C</w:t>
      </w:r>
      <w:r w:rsidRPr="006D7360">
        <w:rPr>
          <w:rFonts w:ascii="Palatino Linotype" w:hAnsi="Palatino Linotype"/>
          <w:vertAlign w:val="subscript"/>
        </w:rPr>
        <w:t>20</w:t>
      </w:r>
      <w:r>
        <w:rPr>
          <w:rFonts w:ascii="Palatino Linotype" w:hAnsi="Palatino Linotype"/>
        </w:rPr>
        <w:t xml:space="preserve"> swings back in K, it starts to push Trp182 toward the CP and causes displacements in the main chain (Fig. 3cdef).  The positive density that indicates the position of C</w:t>
      </w:r>
      <w:r w:rsidRPr="006D7360">
        <w:rPr>
          <w:rFonts w:ascii="Palatino Linotype" w:hAnsi="Palatino Linotype"/>
          <w:vertAlign w:val="subscript"/>
        </w:rPr>
        <w:t>20</w:t>
      </w:r>
      <w:r>
        <w:rPr>
          <w:rFonts w:ascii="Palatino Linotype" w:hAnsi="Palatino Linotype"/>
        </w:rPr>
        <w:t xml:space="preserve"> in the reconstituted difference map K – </w:t>
      </w:r>
      <w:proofErr w:type="spellStart"/>
      <w:r>
        <w:rPr>
          <w:rFonts w:ascii="Palatino Linotype" w:hAnsi="Palatino Linotype"/>
        </w:rPr>
        <w:t>bR</w:t>
      </w:r>
      <w:proofErr w:type="spellEnd"/>
      <w:r>
        <w:rPr>
          <w:rFonts w:ascii="Palatino Linotype" w:hAnsi="Palatino Linotype"/>
        </w:rPr>
        <w:t xml:space="preserve"> forms an arc shape centered on the polyene chain (Fig. 3c).  This observation strongly suggests that K is a process, rather than a discrete state, with C</w:t>
      </w:r>
      <w:r w:rsidRPr="006D7360">
        <w:rPr>
          <w:rFonts w:ascii="Palatino Linotype" w:hAnsi="Palatino Linotype"/>
          <w:vertAlign w:val="subscript"/>
        </w:rPr>
        <w:t>20</w:t>
      </w:r>
      <w:r>
        <w:rPr>
          <w:rFonts w:ascii="Palatino Linotype" w:hAnsi="Palatino Linotype"/>
        </w:rPr>
        <w:t xml:space="preserve"> distributed along the arc leading toward the next state L, in which the methyl group is fully erected (Fig. 3ef).  Second, the entire chromophore in K, except the most distal segment beyond C</w:t>
      </w:r>
      <w:r w:rsidRPr="000A0783">
        <w:rPr>
          <w:rFonts w:ascii="Palatino Linotype" w:hAnsi="Palatino Linotype"/>
          <w:vertAlign w:val="subscript"/>
        </w:rPr>
        <w:t>8</w:t>
      </w:r>
      <w:r>
        <w:rPr>
          <w:rFonts w:ascii="Palatino Linotype" w:hAnsi="Palatino Linotype"/>
        </w:rPr>
        <w:t>, is in a flat conformation with the double bond C</w:t>
      </w:r>
      <w:r w:rsidRPr="00C13B84">
        <w:rPr>
          <w:rFonts w:ascii="Palatino Linotype" w:hAnsi="Palatino Linotype"/>
          <w:vertAlign w:val="subscript"/>
        </w:rPr>
        <w:t>13</w:t>
      </w:r>
      <w:r>
        <w:rPr>
          <w:rFonts w:ascii="Palatino Linotype" w:hAnsi="Palatino Linotype"/>
        </w:rPr>
        <w:t>=C</w:t>
      </w:r>
      <w:r w:rsidRPr="00C13B84">
        <w:rPr>
          <w:rFonts w:ascii="Palatino Linotype" w:hAnsi="Palatino Linotype"/>
          <w:vertAlign w:val="subscript"/>
        </w:rPr>
        <w:t>14</w:t>
      </w:r>
      <w:r>
        <w:rPr>
          <w:rFonts w:ascii="Palatino Linotype" w:hAnsi="Palatino Linotype"/>
        </w:rPr>
        <w:t xml:space="preserve"> in </w:t>
      </w:r>
      <w:r w:rsidRPr="00C13B84">
        <w:rPr>
          <w:rFonts w:ascii="Palatino Linotype" w:hAnsi="Palatino Linotype"/>
          <w:i/>
          <w:iCs/>
        </w:rPr>
        <w:t>cis</w:t>
      </w:r>
      <w:r>
        <w:rPr>
          <w:rFonts w:ascii="Palatino Linotype" w:hAnsi="Palatino Linotype"/>
        </w:rPr>
        <w:t xml:space="preserve"> and the single bond C</w:t>
      </w:r>
      <w:r w:rsidRPr="00C13B84">
        <w:rPr>
          <w:rFonts w:ascii="Palatino Linotype" w:hAnsi="Palatino Linotype"/>
          <w:vertAlign w:val="subscript"/>
        </w:rPr>
        <w:sym w:font="Symbol" w:char="F065"/>
      </w:r>
      <w:r>
        <w:rPr>
          <w:rFonts w:ascii="Palatino Linotype" w:hAnsi="Palatino Linotype"/>
        </w:rPr>
        <w:t>–C</w:t>
      </w:r>
      <w:r w:rsidRPr="00C13B84">
        <w:rPr>
          <w:rFonts w:ascii="Palatino Linotype" w:hAnsi="Palatino Linotype"/>
          <w:vertAlign w:val="subscript"/>
        </w:rPr>
        <w:sym w:font="Symbol" w:char="F064"/>
      </w:r>
      <w:r>
        <w:rPr>
          <w:rFonts w:ascii="Palatino Linotype" w:hAnsi="Palatino Linotype"/>
        </w:rPr>
        <w:t xml:space="preserve"> in </w:t>
      </w:r>
      <w:r w:rsidRPr="001D1FBE">
        <w:rPr>
          <w:rFonts w:ascii="Palatino Linotype" w:hAnsi="Palatino Linotype"/>
          <w:i/>
          <w:iCs/>
        </w:rPr>
        <w:t>syn</w:t>
      </w:r>
      <w:r>
        <w:rPr>
          <w:rFonts w:ascii="Palatino Linotype" w:hAnsi="Palatino Linotype"/>
        </w:rPr>
        <w:t>.  12 consecutive torsion angles from C</w:t>
      </w:r>
      <w:r w:rsidRPr="000A0783">
        <w:rPr>
          <w:rFonts w:ascii="Palatino Linotype" w:hAnsi="Palatino Linotype"/>
          <w:vertAlign w:val="subscript"/>
        </w:rPr>
        <w:t>8</w:t>
      </w:r>
      <w:r>
        <w:rPr>
          <w:rFonts w:ascii="Palatino Linotype" w:hAnsi="Palatino Linotype"/>
        </w:rPr>
        <w:t xml:space="preserve"> to C</w:t>
      </w:r>
      <w:r w:rsidRPr="00C13B84">
        <w:rPr>
          <w:rFonts w:ascii="Palatino Linotype" w:hAnsi="Palatino Linotype"/>
          <w:vertAlign w:val="subscript"/>
        </w:rPr>
        <w:sym w:font="Symbol" w:char="F061"/>
      </w:r>
      <w:r>
        <w:rPr>
          <w:rFonts w:ascii="Palatino Linotype" w:hAnsi="Palatino Linotype"/>
        </w:rPr>
        <w:t xml:space="preserve"> deviate no more than 20</w:t>
      </w:r>
      <w:r>
        <w:rPr>
          <w:rFonts w:ascii="Palatino Linotype" w:hAnsi="Palatino Linotype"/>
        </w:rPr>
        <w:sym w:font="Symbol" w:char="F0B0"/>
      </w:r>
      <w:r w:rsidRPr="001D1FBE">
        <w:rPr>
          <w:rFonts w:ascii="Palatino Linotype" w:hAnsi="Palatino Linotype"/>
        </w:rPr>
        <w:t xml:space="preserve"> </w:t>
      </w:r>
      <w:r>
        <w:rPr>
          <w:rFonts w:ascii="Palatino Linotype" w:hAnsi="Palatino Linotype"/>
        </w:rPr>
        <w:t xml:space="preserve">from </w:t>
      </w:r>
      <w:r w:rsidRPr="000A0783">
        <w:rPr>
          <w:rFonts w:ascii="Palatino Linotype" w:hAnsi="Palatino Linotype"/>
          <w:i/>
          <w:iCs/>
        </w:rPr>
        <w:t>trans</w:t>
      </w:r>
      <w:r>
        <w:rPr>
          <w:rFonts w:ascii="Palatino Linotype" w:hAnsi="Palatino Linotype"/>
        </w:rPr>
        <w:t>/</w:t>
      </w:r>
      <w:r w:rsidRPr="000A0783">
        <w:rPr>
          <w:rFonts w:ascii="Palatino Linotype" w:hAnsi="Palatino Linotype"/>
          <w:i/>
          <w:iCs/>
        </w:rPr>
        <w:t>cis</w:t>
      </w:r>
      <w:r>
        <w:rPr>
          <w:rFonts w:ascii="Palatino Linotype" w:hAnsi="Palatino Linotype"/>
        </w:rPr>
        <w:t xml:space="preserve"> or </w:t>
      </w:r>
      <w:r w:rsidRPr="000A0783">
        <w:rPr>
          <w:rFonts w:ascii="Palatino Linotype" w:hAnsi="Palatino Linotype"/>
          <w:i/>
          <w:iCs/>
        </w:rPr>
        <w:t>anti</w:t>
      </w:r>
      <w:r>
        <w:rPr>
          <w:rFonts w:ascii="Palatino Linotype" w:hAnsi="Palatino Linotype"/>
        </w:rPr>
        <w:t>/</w:t>
      </w:r>
      <w:r w:rsidRPr="000A0783">
        <w:rPr>
          <w:rFonts w:ascii="Palatino Linotype" w:hAnsi="Palatino Linotype"/>
          <w:i/>
          <w:iCs/>
        </w:rPr>
        <w:t>syn</w:t>
      </w:r>
      <w:r>
        <w:rPr>
          <w:rFonts w:ascii="Palatino Linotype" w:hAnsi="Palatino Linotype"/>
        </w:rPr>
        <w:t>.  The root-mean-squared deviation (</w:t>
      </w:r>
      <w:proofErr w:type="spellStart"/>
      <w:r>
        <w:rPr>
          <w:rFonts w:ascii="Palatino Linotype" w:hAnsi="Palatino Linotype"/>
        </w:rPr>
        <w:t>rmsd</w:t>
      </w:r>
      <w:proofErr w:type="spellEnd"/>
      <w:r>
        <w:rPr>
          <w:rFonts w:ascii="Palatino Linotype" w:hAnsi="Palatino Linotype"/>
        </w:rPr>
        <w:t>) is 8.6</w:t>
      </w:r>
      <w:r>
        <w:rPr>
          <w:rFonts w:ascii="Palatino Linotype" w:hAnsi="Palatino Linotype"/>
        </w:rPr>
        <w:sym w:font="Symbol" w:char="F0B0"/>
      </w:r>
      <w:r>
        <w:rPr>
          <w:rFonts w:ascii="Palatino Linotype" w:hAnsi="Palatino Linotype"/>
        </w:rPr>
        <w:t xml:space="preserve"> (Fig. 2b 4</w:t>
      </w:r>
      <w:r w:rsidRPr="000124E4">
        <w:rPr>
          <w:rFonts w:ascii="Palatino Linotype" w:hAnsi="Palatino Linotype"/>
          <w:vertAlign w:val="superscript"/>
        </w:rPr>
        <w:t>th</w:t>
      </w:r>
      <w:r>
        <w:rPr>
          <w:rFonts w:ascii="Palatino Linotype" w:hAnsi="Palatino Linotype"/>
        </w:rPr>
        <w:t xml:space="preserve"> panel).  To achieve such energetically favorable conformation in the chromophore, the retinal anchor Lys216 is driven toward the EC direction, which causes a significant shift of the main chain in the vicinity.  Third, again due to the 13-</w:t>
      </w:r>
      <w:r w:rsidRPr="00BA184A">
        <w:rPr>
          <w:rFonts w:ascii="Palatino Linotype" w:hAnsi="Palatino Linotype"/>
          <w:i/>
          <w:iCs/>
        </w:rPr>
        <w:t>cis</w:t>
      </w:r>
      <w:r>
        <w:rPr>
          <w:rFonts w:ascii="Palatino Linotype" w:hAnsi="Palatino Linotype"/>
        </w:rPr>
        <w:t xml:space="preserve"> configuration, Trp86 on the EC side </w:t>
      </w:r>
      <w:r>
        <w:rPr>
          <w:rFonts w:ascii="Palatino Linotype" w:hAnsi="Palatino Linotype"/>
        </w:rPr>
        <w:lastRenderedPageBreak/>
        <w:t>moves with the proximal segment of the retinal toward the CP direction, which also causes movement in the main chain.  All three developments above are the progresses in a long and hard work toward the goal to establish the state L with global consequences.</w:t>
      </w:r>
    </w:p>
    <w:p w14:paraId="0338C9E3" w14:textId="77777777" w:rsidR="0039334C" w:rsidRDefault="0039334C" w:rsidP="0039334C">
      <w:pPr>
        <w:spacing w:line="276" w:lineRule="auto"/>
        <w:ind w:firstLine="360"/>
        <w:rPr>
          <w:rFonts w:ascii="Palatino Linotype" w:hAnsi="Palatino Linotype"/>
        </w:rPr>
      </w:pPr>
    </w:p>
    <w:p w14:paraId="34A5B6A6"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After five decades of time since tens of </w:t>
      </w:r>
      <w:proofErr w:type="spellStart"/>
      <w:r>
        <w:rPr>
          <w:rFonts w:ascii="Palatino Linotype" w:hAnsi="Palatino Linotype"/>
        </w:rPr>
        <w:t>ps</w:t>
      </w:r>
      <w:proofErr w:type="spellEnd"/>
      <w:r>
        <w:rPr>
          <w:rFonts w:ascii="Palatino Linotype" w:hAnsi="Palatino Linotype"/>
        </w:rPr>
        <w:t xml:space="preserve">, the large energy barrier is finally overcome around several </w:t>
      </w:r>
      <w:r>
        <w:rPr>
          <w:rFonts w:ascii="Palatino Linotype" w:hAnsi="Palatino Linotype"/>
        </w:rPr>
        <w:sym w:font="Symbol" w:char="F06D"/>
      </w:r>
      <w:r>
        <w:rPr>
          <w:rFonts w:ascii="Palatino Linotype" w:hAnsi="Palatino Linotype"/>
        </w:rPr>
        <w:t xml:space="preserve">s as described by the component map </w:t>
      </w:r>
      <w:r w:rsidRPr="00E5026F">
        <w:rPr>
          <w:rFonts w:ascii="Palatino Linotype" w:hAnsi="Palatino Linotype"/>
          <w:b/>
          <w:bCs/>
          <w:i/>
          <w:iCs/>
        </w:rPr>
        <w:t>U</w:t>
      </w:r>
      <w:r w:rsidRPr="00E5026F">
        <w:rPr>
          <w:rFonts w:ascii="Palatino Linotype" w:hAnsi="Palatino Linotype"/>
          <w:vertAlign w:val="subscript"/>
        </w:rPr>
        <w:t>3</w:t>
      </w:r>
      <w:r>
        <w:rPr>
          <w:rFonts w:ascii="Palatino Linotype" w:hAnsi="Palatino Linotype"/>
        </w:rPr>
        <w:t xml:space="preserve"> (Fig. S5c) in the global transition of K </w:t>
      </w:r>
      <w:r w:rsidRPr="00E5026F">
        <w:rPr>
          <w:rFonts w:ascii="Palatino Linotype" w:hAnsi="Palatino Linotype"/>
        </w:rPr>
        <w:sym w:font="Wingdings" w:char="F0E0"/>
      </w:r>
      <w:r>
        <w:rPr>
          <w:rFonts w:ascii="Palatino Linotype" w:hAnsi="Palatino Linotype"/>
        </w:rPr>
        <w:t xml:space="preserve"> L.  This transition is modeled here at a time constant of 2 </w:t>
      </w:r>
      <w:r>
        <w:rPr>
          <w:rFonts w:ascii="Palatino Linotype" w:hAnsi="Palatino Linotype"/>
        </w:rPr>
        <w:sym w:font="Symbol" w:char="F06D"/>
      </w:r>
      <w:r>
        <w:rPr>
          <w:rFonts w:ascii="Palatino Linotype" w:hAnsi="Palatino Linotype"/>
        </w:rPr>
        <w:t xml:space="preserve">s (Fig. S7).  The potential energy in the creased retinal established within tens of fs after photon absorption is spent to trigger this transition, at least in part.  Other sources of potential energy, such as that stored in the bent helix C (Fig. S10a), could also drive the global transition.  Strong signals in the reconstituted difference map L – </w:t>
      </w:r>
      <w:proofErr w:type="spellStart"/>
      <w:r>
        <w:rPr>
          <w:rFonts w:ascii="Palatino Linotype" w:hAnsi="Palatino Linotype"/>
        </w:rPr>
        <w:t>bR</w:t>
      </w:r>
      <w:proofErr w:type="spellEnd"/>
      <w:r>
        <w:rPr>
          <w:rFonts w:ascii="Palatino Linotype" w:hAnsi="Palatino Linotype"/>
        </w:rPr>
        <w:t xml:space="preserve"> (Fig. 3d) support the refined structure of L (pink; Fig. S9).  The refined structure of L shows that the 13-</w:t>
      </w:r>
      <w:r w:rsidRPr="001B6AC3">
        <w:rPr>
          <w:rFonts w:ascii="Palatino Linotype" w:hAnsi="Palatino Linotype"/>
          <w:i/>
          <w:iCs/>
        </w:rPr>
        <w:t>cis</w:t>
      </w:r>
      <w:r>
        <w:rPr>
          <w:rFonts w:ascii="Palatino Linotype" w:hAnsi="Palatino Linotype"/>
        </w:rPr>
        <w:t xml:space="preserve"> retinal is finally flattened as its potential energy is consumed.  12 consecutive torsion angles from C</w:t>
      </w:r>
      <w:r w:rsidRPr="00CA6893">
        <w:rPr>
          <w:rFonts w:ascii="Palatino Linotype" w:hAnsi="Palatino Linotype"/>
          <w:vertAlign w:val="subscript"/>
        </w:rPr>
        <w:t>5</w:t>
      </w:r>
      <w:r>
        <w:rPr>
          <w:rFonts w:ascii="Palatino Linotype" w:hAnsi="Palatino Linotype"/>
        </w:rPr>
        <w:t xml:space="preserve"> to C</w:t>
      </w:r>
      <w:r w:rsidRPr="00CA6893">
        <w:rPr>
          <w:rFonts w:ascii="Palatino Linotype" w:hAnsi="Palatino Linotype"/>
          <w:vertAlign w:val="subscript"/>
        </w:rPr>
        <w:sym w:font="Symbol" w:char="F064"/>
      </w:r>
      <w:r>
        <w:rPr>
          <w:rFonts w:ascii="Palatino Linotype" w:hAnsi="Palatino Linotype"/>
        </w:rPr>
        <w:t xml:space="preserve">, including the SB, deviate from </w:t>
      </w:r>
      <w:r w:rsidRPr="00CA6893">
        <w:rPr>
          <w:rFonts w:ascii="Palatino Linotype" w:hAnsi="Palatino Linotype"/>
          <w:i/>
          <w:iCs/>
        </w:rPr>
        <w:t>trans</w:t>
      </w:r>
      <w:r>
        <w:rPr>
          <w:rFonts w:ascii="Palatino Linotype" w:hAnsi="Palatino Linotype"/>
        </w:rPr>
        <w:t>/</w:t>
      </w:r>
      <w:r w:rsidRPr="00CA6893">
        <w:rPr>
          <w:rFonts w:ascii="Palatino Linotype" w:hAnsi="Palatino Linotype"/>
          <w:i/>
          <w:iCs/>
        </w:rPr>
        <w:t>cis</w:t>
      </w:r>
      <w:r>
        <w:rPr>
          <w:rFonts w:ascii="Palatino Linotype" w:hAnsi="Palatino Linotype"/>
        </w:rPr>
        <w:t xml:space="preserve"> or </w:t>
      </w:r>
      <w:r w:rsidRPr="00CA6893">
        <w:rPr>
          <w:rFonts w:ascii="Palatino Linotype" w:hAnsi="Palatino Linotype"/>
          <w:i/>
          <w:iCs/>
        </w:rPr>
        <w:t>syn</w:t>
      </w:r>
      <w:r>
        <w:rPr>
          <w:rFonts w:ascii="Palatino Linotype" w:hAnsi="Palatino Linotype"/>
        </w:rPr>
        <w:t>/</w:t>
      </w:r>
      <w:r w:rsidRPr="00CA6893">
        <w:rPr>
          <w:rFonts w:ascii="Palatino Linotype" w:hAnsi="Palatino Linotype"/>
          <w:i/>
          <w:iCs/>
        </w:rPr>
        <w:t>anti</w:t>
      </w:r>
      <w:r>
        <w:rPr>
          <w:rFonts w:ascii="Palatino Linotype" w:hAnsi="Palatino Linotype"/>
        </w:rPr>
        <w:t xml:space="preserve"> no more than 23</w:t>
      </w:r>
      <w:r>
        <w:rPr>
          <w:rFonts w:ascii="Palatino Linotype" w:hAnsi="Palatino Linotype"/>
        </w:rPr>
        <w:sym w:font="Symbol" w:char="F0B0"/>
      </w:r>
      <w:r>
        <w:rPr>
          <w:rFonts w:ascii="Palatino Linotype" w:hAnsi="Palatino Linotype"/>
        </w:rPr>
        <w:t xml:space="preserve"> with </w:t>
      </w:r>
      <w:proofErr w:type="gramStart"/>
      <w:r>
        <w:rPr>
          <w:rFonts w:ascii="Palatino Linotype" w:hAnsi="Palatino Linotype"/>
        </w:rPr>
        <w:t>an</w:t>
      </w:r>
      <w:proofErr w:type="gramEnd"/>
      <w:r>
        <w:rPr>
          <w:rFonts w:ascii="Palatino Linotype" w:hAnsi="Palatino Linotype"/>
        </w:rPr>
        <w:t xml:space="preserve"> </w:t>
      </w:r>
      <w:proofErr w:type="spellStart"/>
      <w:r>
        <w:rPr>
          <w:rFonts w:ascii="Palatino Linotype" w:hAnsi="Palatino Linotype"/>
        </w:rPr>
        <w:t>rmsd</w:t>
      </w:r>
      <w:proofErr w:type="spellEnd"/>
      <w:r>
        <w:rPr>
          <w:rFonts w:ascii="Palatino Linotype" w:hAnsi="Palatino Linotype"/>
        </w:rPr>
        <w:t xml:space="preserve"> of 10</w:t>
      </w:r>
      <w:r>
        <w:rPr>
          <w:rFonts w:ascii="Palatino Linotype" w:hAnsi="Palatino Linotype"/>
        </w:rPr>
        <w:sym w:font="Symbol" w:char="F0B0"/>
      </w:r>
      <w:r>
        <w:rPr>
          <w:rFonts w:ascii="Palatino Linotype" w:hAnsi="Palatino Linotype"/>
        </w:rPr>
        <w:t xml:space="preserve"> (Fig. 2b 4</w:t>
      </w:r>
      <w:r w:rsidRPr="001B6AC3">
        <w:rPr>
          <w:rFonts w:ascii="Palatino Linotype" w:hAnsi="Palatino Linotype"/>
          <w:vertAlign w:val="superscript"/>
        </w:rPr>
        <w:t>th</w:t>
      </w:r>
      <w:r>
        <w:rPr>
          <w:rFonts w:ascii="Palatino Linotype" w:hAnsi="Palatino Linotype"/>
        </w:rPr>
        <w:t xml:space="preserve"> panel).  As a small cost, a couple of single bonds of Lys216 </w:t>
      </w:r>
      <w:proofErr w:type="gramStart"/>
      <w:r>
        <w:rPr>
          <w:rFonts w:ascii="Palatino Linotype" w:hAnsi="Palatino Linotype"/>
        </w:rPr>
        <w:t>have to</w:t>
      </w:r>
      <w:proofErr w:type="gramEnd"/>
      <w:r>
        <w:rPr>
          <w:rFonts w:ascii="Palatino Linotype" w:hAnsi="Palatino Linotype"/>
        </w:rPr>
        <w:t xml:space="preserve"> deviate from the perfect </w:t>
      </w:r>
      <w:r w:rsidRPr="00CA6893">
        <w:rPr>
          <w:rFonts w:ascii="Palatino Linotype" w:hAnsi="Palatino Linotype"/>
          <w:i/>
          <w:iCs/>
        </w:rPr>
        <w:t>syn</w:t>
      </w:r>
      <w:r>
        <w:rPr>
          <w:rFonts w:ascii="Palatino Linotype" w:hAnsi="Palatino Linotype"/>
        </w:rPr>
        <w:t xml:space="preserve"> or </w:t>
      </w:r>
      <w:r w:rsidRPr="00CA6893">
        <w:rPr>
          <w:rFonts w:ascii="Palatino Linotype" w:hAnsi="Palatino Linotype"/>
          <w:i/>
          <w:iCs/>
        </w:rPr>
        <w:t>anti</w:t>
      </w:r>
      <w:r>
        <w:rPr>
          <w:rFonts w:ascii="Palatino Linotype" w:hAnsi="Palatino Linotype"/>
        </w:rPr>
        <w:t xml:space="preserve"> conformation like those in the flat all-</w:t>
      </w:r>
      <w:r w:rsidRPr="00280659">
        <w:rPr>
          <w:rFonts w:ascii="Palatino Linotype" w:hAnsi="Palatino Linotype"/>
          <w:i/>
          <w:iCs/>
        </w:rPr>
        <w:t>trans</w:t>
      </w:r>
      <w:r>
        <w:rPr>
          <w:rFonts w:ascii="Palatino Linotype" w:hAnsi="Palatino Linotype"/>
        </w:rPr>
        <w:t xml:space="preserve"> retinal in the resting state.  The plane of the flattened 13-</w:t>
      </w:r>
      <w:r w:rsidRPr="006D539A">
        <w:rPr>
          <w:rFonts w:ascii="Palatino Linotype" w:hAnsi="Palatino Linotype"/>
          <w:i/>
          <w:iCs/>
        </w:rPr>
        <w:t>cis</w:t>
      </w:r>
      <w:r>
        <w:rPr>
          <w:rFonts w:ascii="Palatino Linotype" w:hAnsi="Palatino Linotype"/>
        </w:rPr>
        <w:t xml:space="preserve"> retinal has largely returned to the original plane of the all-</w:t>
      </w:r>
      <w:r w:rsidRPr="006D539A">
        <w:rPr>
          <w:rFonts w:ascii="Palatino Linotype" w:hAnsi="Palatino Linotype"/>
          <w:i/>
          <w:iCs/>
        </w:rPr>
        <w:t>trans</w:t>
      </w:r>
      <w:r>
        <w:rPr>
          <w:rFonts w:ascii="Palatino Linotype" w:hAnsi="Palatino Linotype"/>
        </w:rPr>
        <w:t xml:space="preserve"> retinal (Fig. 2b 2</w:t>
      </w:r>
      <w:r w:rsidRPr="001B6AC3">
        <w:rPr>
          <w:rFonts w:ascii="Palatino Linotype" w:hAnsi="Palatino Linotype"/>
          <w:vertAlign w:val="superscript"/>
        </w:rPr>
        <w:t>nd</w:t>
      </w:r>
      <w:r>
        <w:rPr>
          <w:rFonts w:ascii="Palatino Linotype" w:hAnsi="Palatino Linotype"/>
        </w:rPr>
        <w:t xml:space="preserve"> panel).  C</w:t>
      </w:r>
      <w:r w:rsidRPr="006D539A">
        <w:rPr>
          <w:rFonts w:ascii="Palatino Linotype" w:hAnsi="Palatino Linotype"/>
          <w:vertAlign w:val="subscript"/>
        </w:rPr>
        <w:t>20</w:t>
      </w:r>
      <w:r>
        <w:rPr>
          <w:rFonts w:ascii="Palatino Linotype" w:hAnsi="Palatino Linotype"/>
        </w:rPr>
        <w:t xml:space="preserve"> methyl group is pointing directly to Trp182, which causes helix F to displace (Figs. 3d and S10b).  Leu93 in helix C is also affected by the protruding C</w:t>
      </w:r>
      <w:r w:rsidRPr="006D539A">
        <w:rPr>
          <w:rFonts w:ascii="Palatino Linotype" w:hAnsi="Palatino Linotype"/>
          <w:vertAlign w:val="subscript"/>
        </w:rPr>
        <w:t>20</w:t>
      </w:r>
      <w:r>
        <w:rPr>
          <w:rFonts w:ascii="Palatino Linotype" w:hAnsi="Palatino Linotype"/>
        </w:rPr>
        <w:t xml:space="preserve"> methyl group back into the original retinal plane.  On the other hand, the fully erected C</w:t>
      </w:r>
      <w:r w:rsidRPr="006D539A">
        <w:rPr>
          <w:rFonts w:ascii="Palatino Linotype" w:hAnsi="Palatino Linotype"/>
          <w:vertAlign w:val="subscript"/>
        </w:rPr>
        <w:t>20</w:t>
      </w:r>
      <w:r>
        <w:rPr>
          <w:rFonts w:ascii="Palatino Linotype" w:hAnsi="Palatino Linotype"/>
        </w:rPr>
        <w:t xml:space="preserve"> displaces the anchor helix G with equally strong signals (Figs. 3d and S10c).</w:t>
      </w:r>
    </w:p>
    <w:p w14:paraId="545CC616" w14:textId="77777777" w:rsidR="0039334C" w:rsidRDefault="0039334C" w:rsidP="0039334C">
      <w:pPr>
        <w:spacing w:line="276" w:lineRule="auto"/>
        <w:rPr>
          <w:rFonts w:ascii="Palatino Linotype" w:hAnsi="Palatino Linotype"/>
        </w:rPr>
      </w:pPr>
    </w:p>
    <w:p w14:paraId="06282B4A" w14:textId="77777777" w:rsidR="0039334C" w:rsidRPr="001524DB" w:rsidRDefault="0039334C" w:rsidP="0039334C">
      <w:pPr>
        <w:keepNext/>
        <w:spacing w:line="276" w:lineRule="auto"/>
        <w:rPr>
          <w:rFonts w:ascii="Palatino Linotype" w:hAnsi="Palatino Linotype"/>
          <w:i/>
          <w:iCs/>
        </w:rPr>
      </w:pPr>
      <w:r w:rsidRPr="001524DB">
        <w:rPr>
          <w:rFonts w:ascii="Palatino Linotype" w:hAnsi="Palatino Linotype"/>
          <w:i/>
          <w:iCs/>
        </w:rPr>
        <w:t>Intermediates M</w:t>
      </w:r>
      <w:r w:rsidRPr="001524DB">
        <w:rPr>
          <w:rFonts w:ascii="Palatino Linotype" w:hAnsi="Palatino Linotype"/>
          <w:i/>
          <w:iCs/>
          <w:vertAlign w:val="subscript"/>
        </w:rPr>
        <w:t>1</w:t>
      </w:r>
      <w:r w:rsidRPr="001524DB">
        <w:rPr>
          <w:rFonts w:ascii="Palatino Linotype" w:hAnsi="Palatino Linotype"/>
          <w:i/>
          <w:iCs/>
        </w:rPr>
        <w:t xml:space="preserve"> and M</w:t>
      </w:r>
      <w:r w:rsidRPr="001524DB">
        <w:rPr>
          <w:rFonts w:ascii="Palatino Linotype" w:hAnsi="Palatino Linotype"/>
          <w:i/>
          <w:iCs/>
          <w:vertAlign w:val="subscript"/>
        </w:rPr>
        <w:t>2</w:t>
      </w:r>
    </w:p>
    <w:p w14:paraId="4E115B92" w14:textId="77777777" w:rsidR="0039334C" w:rsidRDefault="0039334C" w:rsidP="0039334C">
      <w:pPr>
        <w:spacing w:line="276" w:lineRule="auto"/>
        <w:rPr>
          <w:rFonts w:ascii="Palatino Linotype" w:hAnsi="Palatino Linotype"/>
        </w:rPr>
      </w:pPr>
      <w:r>
        <w:rPr>
          <w:rFonts w:ascii="Palatino Linotype" w:hAnsi="Palatino Linotype"/>
        </w:rPr>
        <w:t xml:space="preserve">An increase of the component map </w:t>
      </w:r>
      <w:r w:rsidRPr="00F77821">
        <w:rPr>
          <w:rFonts w:ascii="Palatino Linotype" w:hAnsi="Palatino Linotype"/>
          <w:b/>
          <w:bCs/>
          <w:i/>
          <w:iCs/>
        </w:rPr>
        <w:t>U</w:t>
      </w:r>
      <w:r w:rsidRPr="00F77821">
        <w:rPr>
          <w:rFonts w:ascii="Palatino Linotype" w:hAnsi="Palatino Linotype"/>
          <w:vertAlign w:val="subscript"/>
        </w:rPr>
        <w:t>1</w:t>
      </w:r>
      <w:r>
        <w:rPr>
          <w:rFonts w:ascii="Palatino Linotype" w:hAnsi="Palatino Linotype"/>
        </w:rPr>
        <w:t xml:space="preserve"> separating the long delays &gt; 10 </w:t>
      </w:r>
      <w:r>
        <w:rPr>
          <w:rFonts w:ascii="Palatino Linotype" w:hAnsi="Palatino Linotype"/>
        </w:rPr>
        <w:sym w:font="Symbol" w:char="F06D"/>
      </w:r>
      <w:r>
        <w:rPr>
          <w:rFonts w:ascii="Palatino Linotype" w:hAnsi="Palatino Linotype"/>
        </w:rPr>
        <w:t xml:space="preserve">s from the earlier ones is modeled as the L </w:t>
      </w:r>
      <w:r w:rsidRPr="00F77821">
        <w:rPr>
          <w:rFonts w:ascii="Palatino Linotype" w:hAnsi="Palatino Linotype"/>
        </w:rPr>
        <w:sym w:font="Wingdings" w:char="F0E0"/>
      </w:r>
      <w:r>
        <w:rPr>
          <w:rFonts w:ascii="Palatino Linotype" w:hAnsi="Palatino Linotype"/>
        </w:rPr>
        <w:t xml:space="preserve"> M transition at a time constant of 27 </w:t>
      </w:r>
      <w:r>
        <w:rPr>
          <w:rFonts w:ascii="Palatino Linotype" w:hAnsi="Palatino Linotype"/>
        </w:rPr>
        <w:sym w:font="Symbol" w:char="F06D"/>
      </w:r>
      <w:r>
        <w:rPr>
          <w:rFonts w:ascii="Palatino Linotype" w:hAnsi="Palatino Linotype"/>
        </w:rPr>
        <w:t xml:space="preserve">s.  The M state could be split into two by an increase of the component map </w:t>
      </w:r>
      <w:r w:rsidRPr="00F77821">
        <w:rPr>
          <w:rFonts w:ascii="Palatino Linotype" w:hAnsi="Palatino Linotype"/>
          <w:b/>
          <w:bCs/>
          <w:i/>
          <w:iCs/>
        </w:rPr>
        <w:t>U</w:t>
      </w:r>
      <w:r w:rsidRPr="00F77821">
        <w:rPr>
          <w:rFonts w:ascii="Palatino Linotype" w:hAnsi="Palatino Linotype"/>
          <w:vertAlign w:val="subscript"/>
        </w:rPr>
        <w:t>6</w:t>
      </w:r>
      <w:r>
        <w:rPr>
          <w:rFonts w:ascii="Palatino Linotype" w:hAnsi="Palatino Linotype"/>
        </w:rPr>
        <w:t xml:space="preserve"> at a time constant of 290 </w:t>
      </w:r>
      <w:r>
        <w:rPr>
          <w:rFonts w:ascii="Palatino Linotype" w:hAnsi="Palatino Linotype"/>
        </w:rPr>
        <w:sym w:font="Symbol" w:char="F06D"/>
      </w:r>
      <w:r>
        <w:rPr>
          <w:rFonts w:ascii="Palatino Linotype" w:hAnsi="Palatino Linotype"/>
        </w:rPr>
        <w:t xml:space="preserve">s (Fig. S7).  Signals in both </w:t>
      </w:r>
      <w:r w:rsidRPr="00F77821">
        <w:rPr>
          <w:rFonts w:ascii="Palatino Linotype" w:hAnsi="Palatino Linotype"/>
          <w:b/>
          <w:bCs/>
          <w:i/>
          <w:iCs/>
        </w:rPr>
        <w:t>U</w:t>
      </w:r>
      <w:r w:rsidRPr="00F77821">
        <w:rPr>
          <w:rFonts w:ascii="Palatino Linotype" w:hAnsi="Palatino Linotype"/>
          <w:vertAlign w:val="subscript"/>
        </w:rPr>
        <w:t>1</w:t>
      </w:r>
      <w:r>
        <w:rPr>
          <w:rFonts w:ascii="Palatino Linotype" w:hAnsi="Palatino Linotype"/>
        </w:rPr>
        <w:t xml:space="preserve"> and </w:t>
      </w:r>
      <w:r w:rsidRPr="00F77821">
        <w:rPr>
          <w:rFonts w:ascii="Palatino Linotype" w:hAnsi="Palatino Linotype"/>
          <w:b/>
          <w:bCs/>
          <w:i/>
          <w:iCs/>
        </w:rPr>
        <w:t>U</w:t>
      </w:r>
      <w:r w:rsidRPr="00F77821">
        <w:rPr>
          <w:rFonts w:ascii="Palatino Linotype" w:hAnsi="Palatino Linotype"/>
          <w:vertAlign w:val="subscript"/>
        </w:rPr>
        <w:t>6</w:t>
      </w:r>
      <w:r>
        <w:rPr>
          <w:rFonts w:ascii="Palatino Linotype" w:hAnsi="Palatino Linotype"/>
        </w:rPr>
        <w:t xml:space="preserve"> are distributed over the EC half of the molecule instead of globally (Fig. S5ad).  Two similar structures M</w:t>
      </w:r>
      <w:r w:rsidRPr="00D62037">
        <w:rPr>
          <w:rFonts w:ascii="Palatino Linotype" w:hAnsi="Palatino Linotype"/>
          <w:vertAlign w:val="subscript"/>
        </w:rPr>
        <w:t>1</w:t>
      </w:r>
      <w:r>
        <w:rPr>
          <w:rFonts w:ascii="Palatino Linotype" w:hAnsi="Palatino Linotype"/>
        </w:rPr>
        <w:t xml:space="preserve"> and M</w:t>
      </w:r>
      <w:r w:rsidRPr="00D62037">
        <w:rPr>
          <w:rFonts w:ascii="Palatino Linotype" w:hAnsi="Palatino Linotype"/>
          <w:vertAlign w:val="subscript"/>
        </w:rPr>
        <w:t>2</w:t>
      </w:r>
      <w:r>
        <w:rPr>
          <w:rFonts w:ascii="Palatino Linotype" w:hAnsi="Palatino Linotype"/>
        </w:rPr>
        <w:t xml:space="preserve"> (yellow and orange) are refined according to the reconstituted difference maps M</w:t>
      </w:r>
      <w:r w:rsidRPr="00D62037">
        <w:rPr>
          <w:rFonts w:ascii="Palatino Linotype" w:hAnsi="Palatino Linotype"/>
          <w:vertAlign w:val="subscript"/>
        </w:rPr>
        <w:t>1</w:t>
      </w:r>
      <w:r>
        <w:rPr>
          <w:rFonts w:ascii="Palatino Linotype" w:hAnsi="Palatino Linotype"/>
        </w:rPr>
        <w:t xml:space="preserve"> – </w:t>
      </w:r>
      <w:proofErr w:type="spellStart"/>
      <w:r>
        <w:rPr>
          <w:rFonts w:ascii="Palatino Linotype" w:hAnsi="Palatino Linotype"/>
        </w:rPr>
        <w:t>bR</w:t>
      </w:r>
      <w:proofErr w:type="spellEnd"/>
      <w:r>
        <w:rPr>
          <w:rFonts w:ascii="Palatino Linotype" w:hAnsi="Palatino Linotype"/>
        </w:rPr>
        <w:t xml:space="preserve"> and M</w:t>
      </w:r>
      <w:r w:rsidRPr="00D62037">
        <w:rPr>
          <w:rFonts w:ascii="Palatino Linotype" w:hAnsi="Palatino Linotype"/>
          <w:vertAlign w:val="subscript"/>
        </w:rPr>
        <w:t>2</w:t>
      </w:r>
      <w:r>
        <w:rPr>
          <w:rFonts w:ascii="Palatino Linotype" w:hAnsi="Palatino Linotype"/>
        </w:rPr>
        <w:t xml:space="preserve"> – </w:t>
      </w:r>
      <w:proofErr w:type="spellStart"/>
      <w:r>
        <w:rPr>
          <w:rFonts w:ascii="Palatino Linotype" w:hAnsi="Palatino Linotype"/>
        </w:rPr>
        <w:t>bR</w:t>
      </w:r>
      <w:proofErr w:type="spellEnd"/>
      <w:r>
        <w:rPr>
          <w:rFonts w:ascii="Palatino Linotype" w:hAnsi="Palatino Linotype"/>
        </w:rPr>
        <w:t xml:space="preserve"> (Figs. S12 and S13).  Since the L state, the SB is moving inboard mainly by twisting the torsion angle around N</w:t>
      </w:r>
      <w:r w:rsidRPr="00670E09">
        <w:rPr>
          <w:rFonts w:ascii="Palatino Linotype" w:hAnsi="Palatino Linotype"/>
          <w:vertAlign w:val="subscript"/>
        </w:rPr>
        <w:sym w:font="Symbol" w:char="F07A"/>
      </w:r>
      <w:r>
        <w:rPr>
          <w:rFonts w:ascii="Palatino Linotype" w:hAnsi="Palatino Linotype"/>
        </w:rPr>
        <w:t>-C</w:t>
      </w:r>
      <w:r w:rsidRPr="00670E09">
        <w:rPr>
          <w:rFonts w:ascii="Palatino Linotype" w:hAnsi="Palatino Linotype"/>
          <w:vertAlign w:val="subscript"/>
        </w:rPr>
        <w:sym w:font="Symbol" w:char="F065"/>
      </w:r>
      <w:r>
        <w:rPr>
          <w:rFonts w:ascii="Palatino Linotype" w:hAnsi="Palatino Linotype"/>
        </w:rPr>
        <w:t xml:space="preserve"> (Fig. 2b 4</w:t>
      </w:r>
      <w:r w:rsidRPr="00272EB9">
        <w:rPr>
          <w:rFonts w:ascii="Palatino Linotype" w:hAnsi="Palatino Linotype"/>
          <w:vertAlign w:val="superscript"/>
        </w:rPr>
        <w:t>th</w:t>
      </w:r>
      <w:r>
        <w:rPr>
          <w:rFonts w:ascii="Palatino Linotype" w:hAnsi="Palatino Linotype"/>
        </w:rPr>
        <w:t xml:space="preserve"> panel).  C</w:t>
      </w:r>
      <w:r w:rsidRPr="00670E09">
        <w:rPr>
          <w:rFonts w:ascii="Palatino Linotype" w:hAnsi="Palatino Linotype"/>
          <w:vertAlign w:val="subscript"/>
        </w:rPr>
        <w:sym w:font="Symbol" w:char="F065"/>
      </w:r>
      <w:r>
        <w:rPr>
          <w:rFonts w:ascii="Palatino Linotype" w:hAnsi="Palatino Linotype"/>
        </w:rPr>
        <w:t xml:space="preserve"> in M</w:t>
      </w:r>
      <w:r w:rsidRPr="00670E09">
        <w:rPr>
          <w:rFonts w:ascii="Palatino Linotype" w:hAnsi="Palatino Linotype"/>
          <w:vertAlign w:val="subscript"/>
        </w:rPr>
        <w:t>1</w:t>
      </w:r>
      <w:r>
        <w:rPr>
          <w:rFonts w:ascii="Palatino Linotype" w:hAnsi="Palatino Linotype"/>
        </w:rPr>
        <w:t xml:space="preserve"> and M</w:t>
      </w:r>
      <w:r w:rsidRPr="00670E09">
        <w:rPr>
          <w:rFonts w:ascii="Palatino Linotype" w:hAnsi="Palatino Linotype"/>
          <w:vertAlign w:val="subscript"/>
        </w:rPr>
        <w:t>2</w:t>
      </w:r>
      <w:r>
        <w:rPr>
          <w:rFonts w:ascii="Palatino Linotype" w:hAnsi="Palatino Linotype"/>
        </w:rPr>
        <w:t xml:space="preserve"> has moved 0.6 and 0.8 Å, respectively, from its position in L.  It seems that the conformation is approaching a </w:t>
      </w:r>
      <w:r>
        <w:rPr>
          <w:rFonts w:ascii="Palatino Linotype" w:hAnsi="Palatino Linotype"/>
        </w:rPr>
        <w:lastRenderedPageBreak/>
        <w:t>point poised to isomerize back to all-</w:t>
      </w:r>
      <w:r w:rsidRPr="00670E09">
        <w:rPr>
          <w:rFonts w:ascii="Palatino Linotype" w:hAnsi="Palatino Linotype"/>
          <w:i/>
          <w:iCs/>
        </w:rPr>
        <w:t>trans</w:t>
      </w:r>
      <w:r>
        <w:rPr>
          <w:rFonts w:ascii="Palatino Linotype" w:hAnsi="Palatino Linotype"/>
        </w:rPr>
        <w:t xml:space="preserve">.  In the meanwhile, Thr89 and helix C are being pushed back toward inboard, which restores the kink of helix C in the resting state (Fig. 4abc).  The new development in the retinal displaces helix G further toward the EC direction as previously observed </w:t>
      </w:r>
      <w:r>
        <w:rPr>
          <w:rFonts w:ascii="Palatino Linotype" w:hAnsi="Palatino Linotype"/>
        </w:rPr>
        <w:fldChar w:fldCharType="begin"/>
      </w:r>
      <w:r>
        <w:rPr>
          <w:rFonts w:ascii="Palatino Linotype" w:hAnsi="Palatino Linotype"/>
        </w:rPr>
        <w:instrText xml:space="preserve"> ADDIN ZOTERO_ITEM CSL_CITATION {"citationID":"RrGD4Eds","properties":{"formattedCitation":"(Takeda et al., 2004)","plainCitation":"(Takeda et al., 2004)","noteIndex":0},"citationItems":[{"id":1702,"uris":["http://zotero.org/users/local/Med5doT8/items/JK6KC4JD"],"uri":["http://zotero.org/users/local/Med5doT8/items/JK6KC4JD"],"itemData":{"id":1702,"type":"article-journal","abstract":"Structural changes in the proton pumping cycle of wild-type bacteriorhodopsin were investigated by using a 3D crystal (space group P622) prepared by the membrane fusion method. Protein–protein contacts in the crystal elongate the lifetime of the M intermediate by a factor of </w:instrText>
      </w:r>
      <w:r>
        <w:rPr>
          <w:rFonts w:ascii="Cambria Math" w:hAnsi="Cambria Math" w:cs="Cambria Math"/>
        </w:rPr>
        <w:instrText>∼</w:instrText>
      </w:r>
      <w:r>
        <w:rPr>
          <w:rFonts w:ascii="Palatino Linotype" w:hAnsi="Palatino Linotype"/>
        </w:rPr>
        <w:instrText>100, allowing high levels of the M intermediate to accumulate under continuous illumination. When the M intermediate generated at room temperature was exposed to a low flux of X-rays (</w:instrText>
      </w:r>
      <w:r>
        <w:rPr>
          <w:rFonts w:ascii="Cambria Math" w:hAnsi="Cambria Math" w:cs="Cambria Math"/>
        </w:rPr>
        <w:instrText>∼</w:instrText>
      </w:r>
      <w:r>
        <w:rPr>
          <w:rFonts w:ascii="Palatino Linotype" w:hAnsi="Palatino Linotype"/>
        </w:rPr>
        <w:instrText xml:space="preserve">1014 photons/mm2), this yellow intermediate was converted into a blue species having an absorption maximum at 650 nm. This color change is suggested to accompany a configuration change in the retinal-Lys216 chain. The true conformational change associated with formation of the M intermediate was analyzed by taking the X-radiation-induced structural change into account. Our result indicates that, upon formation of the M intermediate, helix G moves towards the extra-cellular side by, on average, 0.5 Å. This movement is coupled with several reactions occurring at distal sites in the protein: (1) re-orientation of the side-chain of Leu93 contacting the C13 methyl group of retinal, which is accompanied by detachment of a water molecule from the Schiff base; (2) a significant distortion in the F–G loop, triggering destruction of a hydrogen bonding interaction between a pair of glutamate groups (Glu194 and Glu204); (3) formation of a salt bridge between the carboxylate group of Glu204 and the guanidinium ion of Arg82, which is accompanied by a large distortion in the extra-cellular half of helix C; (4) noticeable movements of the AB loop and the cytoplasmic end of helix B. But, no appreciable change is induced in the peptide backbone of helices A, D, E and F. These structural changes are discussed from the viewpoint of translocation of water molecules.","container-title":"Journal of Molecular Biology","DOI":"10.1016/j.jmb.2004.06.080","ISSN":"0022-2836","issue":"4","journalAbbreviation":"Journal of Molecular Biology","page":"1023-1037","source":"ScienceDirect","title":"Crystal structure of the M intermediate of bacteriorhodopsin: Allosteric structural changes mediated by sliding movement of a transmembrane helix","title-short":"Crystal Structure of the M Intermediate of Bacteriorhodopsin","volume":"341","author":[{"family":"Takeda","given":"Kazuki"},{"family":"Matsui","given":"Yasuhiro"},{"family":"Kamiya","given":"Nobuo"},{"family":"Adachi","given":"Shin-ichi"},{"family":"Okumura","given":"Hideo"},{"family":"Kouyama","given":"Tsutomu"}],"issued":{"date-parts":[["2004",8,20]]}}}],"schema":"https://github.com/citation-style-language/schema/raw/master/csl-citation.json"} </w:instrText>
      </w:r>
      <w:r>
        <w:rPr>
          <w:rFonts w:ascii="Palatino Linotype" w:hAnsi="Palatino Linotype"/>
        </w:rPr>
        <w:fldChar w:fldCharType="separate"/>
      </w:r>
      <w:r>
        <w:rPr>
          <w:rFonts w:ascii="Palatino Linotype" w:hAnsi="Palatino Linotype"/>
          <w:noProof/>
        </w:rPr>
        <w:t>(Takeda et al., 2004)</w:t>
      </w:r>
      <w:r>
        <w:rPr>
          <w:rFonts w:ascii="Palatino Linotype" w:hAnsi="Palatino Linotype"/>
        </w:rPr>
        <w:fldChar w:fldCharType="end"/>
      </w:r>
      <w:r>
        <w:rPr>
          <w:rFonts w:ascii="Palatino Linotype" w:hAnsi="Palatino Linotype"/>
        </w:rPr>
        <w:t xml:space="preserve">.  On the other hand, the stretched helix F in L springs back in M and becomes shorter than that in the resting state.  The EC segment of helix F turns around to move outboard since L (Fig. 4d).  However, the EC segments of helices C and G squeeze even tighter, while Arg82 swings out of the way as observed previously </w:t>
      </w:r>
      <w:r>
        <w:rPr>
          <w:rFonts w:ascii="Palatino Linotype" w:hAnsi="Palatino Linotype"/>
        </w:rPr>
        <w:fldChar w:fldCharType="begin"/>
      </w:r>
      <w:r>
        <w:rPr>
          <w:rFonts w:ascii="Palatino Linotype" w:hAnsi="Palatino Linotype"/>
        </w:rPr>
        <w:instrText xml:space="preserve"> ADDIN ZOTERO_ITEM CSL_CITATION {"citationID":"9ZTtVhNx","properties":{"formattedCitation":"(Luecke et al., 2000; Sass et al., 2000)","plainCitation":"(Luecke et al., 2000; Sass et al., 2000)","noteIndex":0},"citationItems":[{"id":1708,"uris":["http://zotero.org/users/local/Med5doT8/items/PD5QUEV9"],"uri":["http://zotero.org/users/local/Med5doT8/items/PD5QUEV9"],"itemData":{"id":1708,"type":"article-journal","abstract":"In order to understand how isomerization of the retinal drives unidirectional transmembrane ion transport in bacteriorhodopsin, we determined the atomic structures of the BR state and M photointermediate of the E204Q mutant, to 1.7 and 1.8 Å resolution, respectively. Comparison of this M, in which proton release to the extracellular surface is blocked, with the previously determined M in the D96N mutant indicates that the changes in the extracellular region are initiated by changes in the electrostatic interactions of the retinal Schiff base with Asp85 and Asp212, but those on the cytoplasmic side originate from steric conflict of the 13-methyl retinal group with Trp182 and distortion of the π-bulge of helix G. The structural changes suggest that protonation of Asp85 initiates a cascade of atomic displacements in the extracellular region that cause release of a proton to the surface. The progressive relaxation of the strained 13-cis retinal chain with deprotonated Schiff base, in turn, initiates atomic displacements in the cytoplasmic region that cause the intercalation of a hydrogen-bonded water molecule between Thr46 and Asp96. This accounts for the lowering of the pKa of Asp96, which then reprotonates the Schiff base via a newly formed chain of water molecules that is extending toward the Schiff base.","container-title":"Journal of Molecular Biology","DOI":"10.1006/jmbi.2000.3884","ISSN":"0022-2836","issue":"5","journalAbbreviation":"Journal of Molecular Biology","page":"1237-1255","source":"ScienceDirect","title":"Coupling photoisomerization of retinal to directional transport in bacteriorhodopsin","volume":"300","author":[{"family":"Luecke","given":"Hartmut"},{"family":"Schobert","given":"Brigitte"},{"family":"Cartailler","given":"Jean-Philippe"},{"family":"Richter","given":"Hans-Thomas"},{"family":"Rosengarth","given":"Anja"},{"family":"Needleman","given":"Richard"},{"family":"Lanyi","given":"Janos K."}],"issued":{"date-parts":[["2000",7,28]]}}},{"id":1422,"uris":["http://zotero.org/users/local/Med5doT8/items/BWT9CVRC"],"uri":["http://zotero.org/users/local/Med5doT8/items/BWT9CVRC"],"itemData":{"id":1422,"type":"article-journal","abstract":"The transport of protons across membranes is an important process in cellular bioenergetics. The light-driven proton pump bacteriorhodopsin is the best-characterized protein providing this function. Photon energy is absorbed by the chromophore retinal, covalently bound to Lys 216 via a protonated Schiff base. The light-induced all-trans to 13-cis isomerization of the retinal results in deprotonation of the Schiff base followed by alterations in protonatable groups within bacteriorhodopsin. The changed force field induces changes, even in the tertiary structure, which are necessary for proton pumping. The recent report of a high-resolution X-ray crystal structure for the late M intermediate of a mutant bacteriorhopsin (with Asp 96Asn) displays the structure of a proton pathway highly disturbed by the mutation. To observe an unperturbed proton pathway, we determined the structure of the late M intermediate of wild-type bacteriorhodopsin (2.25 Å resolution). The cytoplasmic side of our M2 structure shows a water net that allows proton transfer from the proton donor group Asp 96 towards the Schiff base. An enlarged cavity system above Asp 96 is observed, which facilitates the de- and reprotonation of this group by fluctuating water molecules in the last part of the cycle.","container-title":"Nature","DOI":"10.1038/35020607","ISSN":"0028-0836","issue":"6796","page":"649-653","source":"www.nature.com.proxy.uchicago.edu","title":"Structural alterations for proton translocation in the M state of wild-type bacteriorhodopsin","volume":"406","author":[{"family":"Sass","given":"Hans Jürgen"},{"family":"Büldt","given":"Georg"},{"family":"Gessenich","given":"Ralf"},{"family":"Hehn","given":"Dominic"},{"family":"Neff","given":"Dirk"},{"family":"Schlesinger","given":"Ramona"},{"family":"Berendzen","given":"Joel"},{"family":"Ormos","given":"Pal"}],"issued":{"date-parts":[["2000",8,10]]}}}],"schema":"https://github.com/citation-style-language/schema/raw/master/csl-citation.json"} </w:instrText>
      </w:r>
      <w:r>
        <w:rPr>
          <w:rFonts w:ascii="Palatino Linotype" w:hAnsi="Palatino Linotype"/>
        </w:rPr>
        <w:fldChar w:fldCharType="separate"/>
      </w:r>
      <w:r>
        <w:rPr>
          <w:rFonts w:ascii="Palatino Linotype" w:hAnsi="Palatino Linotype"/>
          <w:noProof/>
        </w:rPr>
        <w:t>(Luecke et al., 2000; Sass et al., 2000)</w:t>
      </w:r>
      <w:r>
        <w:rPr>
          <w:rFonts w:ascii="Palatino Linotype" w:hAnsi="Palatino Linotype"/>
        </w:rPr>
        <w:fldChar w:fldCharType="end"/>
      </w:r>
      <w:r>
        <w:rPr>
          <w:rFonts w:ascii="Palatino Linotype" w:hAnsi="Palatino Linotype"/>
        </w:rPr>
        <w:t>.</w:t>
      </w:r>
    </w:p>
    <w:p w14:paraId="0AF2D7E5" w14:textId="77777777" w:rsidR="0039334C" w:rsidRDefault="0039334C" w:rsidP="0039334C">
      <w:pPr>
        <w:spacing w:line="276" w:lineRule="auto"/>
        <w:rPr>
          <w:rFonts w:ascii="Palatino Linotype" w:hAnsi="Palatino Linotype"/>
        </w:rPr>
      </w:pPr>
    </w:p>
    <w:p w14:paraId="2151163A" w14:textId="77777777" w:rsidR="0039334C" w:rsidRPr="001B06E8" w:rsidRDefault="0039334C" w:rsidP="0039334C">
      <w:pPr>
        <w:keepNext/>
        <w:spacing w:line="276" w:lineRule="auto"/>
        <w:rPr>
          <w:rFonts w:ascii="Palatino Linotype" w:hAnsi="Palatino Linotype"/>
          <w:i/>
          <w:iCs/>
        </w:rPr>
      </w:pPr>
      <w:r w:rsidRPr="001B06E8">
        <w:rPr>
          <w:rFonts w:ascii="Palatino Linotype" w:hAnsi="Palatino Linotype"/>
          <w:i/>
          <w:iCs/>
        </w:rPr>
        <w:t>Mutant</w:t>
      </w:r>
      <w:r>
        <w:rPr>
          <w:rFonts w:ascii="Palatino Linotype" w:hAnsi="Palatino Linotype"/>
          <w:i/>
          <w:iCs/>
        </w:rPr>
        <w:t xml:space="preserve"> function</w:t>
      </w:r>
      <w:r w:rsidRPr="001B06E8">
        <w:rPr>
          <w:rFonts w:ascii="Palatino Linotype" w:hAnsi="Palatino Linotype"/>
          <w:i/>
          <w:iCs/>
        </w:rPr>
        <w:t>s</w:t>
      </w:r>
    </w:p>
    <w:p w14:paraId="3ECE8517" w14:textId="77777777" w:rsidR="0039334C" w:rsidRDefault="0039334C" w:rsidP="0039334C">
      <w:pPr>
        <w:spacing w:line="276" w:lineRule="auto"/>
        <w:rPr>
          <w:rFonts w:ascii="Palatino Linotype" w:hAnsi="Palatino Linotype"/>
        </w:rPr>
      </w:pPr>
      <w:r>
        <w:rPr>
          <w:rFonts w:ascii="Palatino Linotype" w:hAnsi="Palatino Linotype"/>
        </w:rPr>
        <w:t xml:space="preserve">Under the mechanism of proton conductance driven by concentration gradient presented here, </w:t>
      </w:r>
      <w:proofErr w:type="gramStart"/>
      <w:r>
        <w:rPr>
          <w:rFonts w:ascii="Palatino Linotype" w:hAnsi="Palatino Linotype"/>
        </w:rPr>
        <w:t>a number of</w:t>
      </w:r>
      <w:proofErr w:type="gramEnd"/>
      <w:r>
        <w:rPr>
          <w:rFonts w:ascii="Palatino Linotype" w:hAnsi="Palatino Linotype"/>
        </w:rPr>
        <w:t xml:space="preserve"> mutant functions are explained.  How mutants behave, in return, further support these hypotheses.  Proton pumping activity is abolished in D85N at neutral pH </w:t>
      </w:r>
      <w:r>
        <w:rPr>
          <w:rFonts w:ascii="Palatino Linotype" w:hAnsi="Palatino Linotype"/>
        </w:rPr>
        <w:fldChar w:fldCharType="begin"/>
      </w:r>
      <w:r>
        <w:rPr>
          <w:rFonts w:ascii="Palatino Linotype" w:hAnsi="Palatino Linotype"/>
        </w:rPr>
        <w:instrText xml:space="preserve"> ADDIN ZOTERO_ITEM CSL_CITATION {"citationID":"TQYwOZQ2","properties":{"formattedCitation":"(Mogi et al., 1988)","plainCitation":"(Mogi et al., 1988)","noteIndex":0},"citationItems":[{"id":5925,"uris":["http://zotero.org/users/local/Med5doT8/items/SYEEHLQY"],"uri":["http://zotero.org/users/local/Med5doT8/items/SYEEHLQY"],"itemData":{"id":5925,"type":"article-journal","container-title":"Proceedings of the National Academy of Sciences","DOI":"10.1073/pnas.85.12.4148","ISSN":"0027-8424, 1091-6490","issue":"12","journalAbbreviation":"Proceedings of the National Academy of Sciences","language":"en","page":"4148-4152","source":"DOI.org (Crossref)","title":"Aspartic acid substitutions affect proton translocation by bacteriorhodopsin.","volume":"85","author":[{"family":"Mogi","given":"T."},{"family":"Stern","given":"L. J."},{"family":"Marti","given":"T."},{"family":"Chao","given":"B. H."},{"family":"Khorana","given":"H. G."}],"issued":{"date-parts":[["1988",6,1]]}}}],"schema":"https://github.com/citation-style-language/schema/raw/master/csl-citation.json"} </w:instrText>
      </w:r>
      <w:r>
        <w:rPr>
          <w:rFonts w:ascii="Palatino Linotype" w:hAnsi="Palatino Linotype"/>
        </w:rPr>
        <w:fldChar w:fldCharType="separate"/>
      </w:r>
      <w:r>
        <w:rPr>
          <w:rFonts w:ascii="Palatino Linotype" w:hAnsi="Palatino Linotype"/>
          <w:noProof/>
        </w:rPr>
        <w:t>(Mogi et al., 1988)</w:t>
      </w:r>
      <w:r>
        <w:rPr>
          <w:rFonts w:ascii="Palatino Linotype" w:hAnsi="Palatino Linotype"/>
        </w:rPr>
        <w:fldChar w:fldCharType="end"/>
      </w:r>
      <w:r>
        <w:rPr>
          <w:rFonts w:ascii="Palatino Linotype" w:hAnsi="Palatino Linotype"/>
        </w:rPr>
        <w:t>.  The remaining proton acceptor Asp212 is H-boned to the phenol hydroxy group of Tyr57 (Fig. S14).  After two successful photocycles, Asp212 and Wat402 are both protonated.  However, proton conductance is stopped at the carbonyl groups =O of both side chains of Asn85 and Asp212, the amide group -NH</w:t>
      </w:r>
      <w:r w:rsidRPr="00E93330">
        <w:rPr>
          <w:rFonts w:ascii="Palatino Linotype" w:hAnsi="Palatino Linotype"/>
          <w:vertAlign w:val="subscript"/>
        </w:rPr>
        <w:t>2</w:t>
      </w:r>
      <w:r>
        <w:rPr>
          <w:rFonts w:ascii="Palatino Linotype" w:hAnsi="Palatino Linotype"/>
        </w:rPr>
        <w:t xml:space="preserve"> of Asn85, and the hydroxy groups -OH of Tyr57 and 185, since none of them can be protonated further.  The lack of a proton outlet causes the SB to be </w:t>
      </w:r>
      <w:proofErr w:type="spellStart"/>
      <w:r>
        <w:rPr>
          <w:rFonts w:ascii="Palatino Linotype" w:hAnsi="Palatino Linotype"/>
        </w:rPr>
        <w:t>reprotonated</w:t>
      </w:r>
      <w:proofErr w:type="spellEnd"/>
      <w:r>
        <w:rPr>
          <w:rFonts w:ascii="Palatino Linotype" w:hAnsi="Palatino Linotype"/>
        </w:rPr>
        <w:t xml:space="preserve"> quickly during I’ or I before isomerization.  The proton pump stalls with repeated futile photocycles.  It has been shown that the proton pumping activity of D85N can be somewhat restored at an alkaline pH </w:t>
      </w:r>
      <w:r>
        <w:rPr>
          <w:rFonts w:ascii="Palatino Linotype" w:hAnsi="Palatino Linotype"/>
        </w:rPr>
        <w:fldChar w:fldCharType="begin"/>
      </w:r>
      <w:r>
        <w:rPr>
          <w:rFonts w:ascii="Palatino Linotype" w:hAnsi="Palatino Linotype"/>
        </w:rPr>
        <w:instrText xml:space="preserve"> ADDIN ZOTERO_ITEM CSL_CITATION {"citationID":"wG3nI62R","properties":{"formattedCitation":"(Dickopf et al., 1995)","plainCitation":"(Dickopf et al., 1995)","noteIndex":0},"citationItems":[{"id":5953,"uris":["http://zotero.org/users/local/Med5doT8/items/83GE7DFP"],"uri":["http://zotero.org/users/local/Med5doT8/items/83GE7DFP"],"itemData":{"id":5953,"type":"article-journal","container-title":"Proceedings of the National Academy of Sciences","DOI":"10.1073/pnas.92.25.11519","ISSN":"0027-8424, 1091-6490","issue":"25","journalAbbreviation":"Proceedings of the National Academy of Sciences","language":"en","page":"11519-11523","source":"DOI.org (Crossref)","title":"Proton transport by a bacteriorhodopsin mutant, aspartic acid-85--&gt;asparagine, initiated in the unprotonated Schiff base state.","volume":"92","author":[{"family":"Dickopf","given":"S."},{"family":"Alexiev","given":"U."},{"family":"Krebs","given":"M. P."},{"family":"Otto","given":"H."},{"family":"Mollaaghababa","given":"R."},{"family":"Khorana","given":"H. G."},{"family":"Heyn","given":"M. P."}],"issued":{"date-parts":[["1995",12,5]]}}}],"schema":"https://github.com/citation-style-language/schema/raw/master/csl-citation.json"} </w:instrText>
      </w:r>
      <w:r>
        <w:rPr>
          <w:rFonts w:ascii="Palatino Linotype" w:hAnsi="Palatino Linotype"/>
        </w:rPr>
        <w:fldChar w:fldCharType="separate"/>
      </w:r>
      <w:r>
        <w:rPr>
          <w:rFonts w:ascii="Palatino Linotype" w:hAnsi="Palatino Linotype"/>
          <w:noProof/>
        </w:rPr>
        <w:t>(Dickopf et al., 1995)</w:t>
      </w:r>
      <w:r>
        <w:rPr>
          <w:rFonts w:ascii="Palatino Linotype" w:hAnsi="Palatino Linotype"/>
        </w:rPr>
        <w:fldChar w:fldCharType="end"/>
      </w:r>
      <w:r>
        <w:rPr>
          <w:rFonts w:ascii="Palatino Linotype" w:hAnsi="Palatino Linotype"/>
        </w:rPr>
        <w:t xml:space="preserve">, which is consistent with the concentration-driven proton conductance proposed here.  The phenol hydroxy group of Tyr57, a weak acid, could start to conduct proton to Wat403 and Arg82 only at an alkaline pH by deprotonation.  On the other hand, some activity remains in D212N, which suggests a proton outlet going through Asp85, Wat401, 400, Arg82, and beyond (Fig. S14).  In addition, Asp to Glu mutants </w:t>
      </w:r>
      <w:proofErr w:type="gramStart"/>
      <w:r>
        <w:rPr>
          <w:rFonts w:ascii="Palatino Linotype" w:hAnsi="Palatino Linotype"/>
        </w:rPr>
        <w:t>are</w:t>
      </w:r>
      <w:proofErr w:type="gramEnd"/>
      <w:r>
        <w:rPr>
          <w:rFonts w:ascii="Palatino Linotype" w:hAnsi="Palatino Linotype"/>
        </w:rPr>
        <w:t xml:space="preserve"> harder to assess because of their severe structural impacts.  Proton pumping activity is also abolished in D212A </w:t>
      </w:r>
      <w:r>
        <w:rPr>
          <w:rFonts w:ascii="Palatino Linotype" w:hAnsi="Palatino Linotype"/>
        </w:rPr>
        <w:fldChar w:fldCharType="begin"/>
      </w:r>
      <w:r>
        <w:rPr>
          <w:rFonts w:ascii="Palatino Linotype" w:hAnsi="Palatino Linotype"/>
        </w:rPr>
        <w:instrText xml:space="preserve"> ADDIN ZOTERO_ITEM CSL_CITATION {"citationID":"NK9VTBqa","properties":{"formattedCitation":"(Mogi et al., 1988)","plainCitation":"(Mogi et al., 1988)","noteIndex":0},"citationItems":[{"id":5925,"uris":["http://zotero.org/users/local/Med5doT8/items/SYEEHLQY"],"uri":["http://zotero.org/users/local/Med5doT8/items/SYEEHLQY"],"itemData":{"id":5925,"type":"article-journal","container-title":"Proceedings of the National Academy of Sciences","DOI":"10.1073/pnas.85.12.4148","ISSN":"0027-8424, 1091-6490","issue":"12","journalAbbreviation":"Proceedings of the National Academy of Sciences","language":"en","page":"4148-4152","source":"DOI.org (Crossref)","title":"Aspartic acid substitutions affect proton translocation by bacteriorhodopsin.","volume":"85","author":[{"family":"Mogi","given":"T."},{"family":"Stern","given":"L. J."},{"family":"Marti","given":"T."},{"family":"Chao","given":"B. H."},{"family":"Khorana","given":"H. G."}],"issued":{"date-parts":[["1988",6,1]]}}}],"schema":"https://github.com/citation-style-language/schema/raw/master/csl-citation.json"} </w:instrText>
      </w:r>
      <w:r>
        <w:rPr>
          <w:rFonts w:ascii="Palatino Linotype" w:hAnsi="Palatino Linotype"/>
        </w:rPr>
        <w:fldChar w:fldCharType="separate"/>
      </w:r>
      <w:r>
        <w:rPr>
          <w:rFonts w:ascii="Palatino Linotype" w:hAnsi="Palatino Linotype"/>
          <w:noProof/>
        </w:rPr>
        <w:t>(Mogi et al., 1988)</w:t>
      </w:r>
      <w:r>
        <w:rPr>
          <w:rFonts w:ascii="Palatino Linotype" w:hAnsi="Palatino Linotype"/>
        </w:rPr>
        <w:fldChar w:fldCharType="end"/>
      </w:r>
      <w:r>
        <w:rPr>
          <w:rFonts w:ascii="Palatino Linotype" w:hAnsi="Palatino Linotype"/>
        </w:rPr>
        <w:t xml:space="preserve"> perhaps due to a more mobile Wat402 or a hydronium that </w:t>
      </w:r>
      <w:proofErr w:type="spellStart"/>
      <w:r>
        <w:rPr>
          <w:rFonts w:ascii="Palatino Linotype" w:hAnsi="Palatino Linotype"/>
        </w:rPr>
        <w:t>reprotonates</w:t>
      </w:r>
      <w:proofErr w:type="spellEnd"/>
      <w:r>
        <w:rPr>
          <w:rFonts w:ascii="Palatino Linotype" w:hAnsi="Palatino Linotype"/>
        </w:rPr>
        <w:t xml:space="preserve"> the SB before isomerization or fails to withhold the proton during the SB U-turn.  This mutant function further underscores the importance that Wat402 or a hydronium ion maintains its H-bonds to both Asp 85 and 212 throughout the photocycle as observed in this study despite its large traveling trajectory (Fig. 2a).</w:t>
      </w:r>
    </w:p>
    <w:p w14:paraId="13D48AEA" w14:textId="77777777" w:rsidR="0039334C" w:rsidRDefault="0039334C" w:rsidP="0039334C">
      <w:pPr>
        <w:spacing w:line="276" w:lineRule="auto"/>
        <w:rPr>
          <w:rFonts w:ascii="Palatino Linotype" w:hAnsi="Palatino Linotype"/>
        </w:rPr>
      </w:pPr>
    </w:p>
    <w:p w14:paraId="5BE1F864" w14:textId="77777777" w:rsidR="0039334C" w:rsidRDefault="0039334C" w:rsidP="0039334C">
      <w:pPr>
        <w:spacing w:line="276" w:lineRule="auto"/>
        <w:ind w:firstLine="360"/>
        <w:rPr>
          <w:rFonts w:ascii="Palatino Linotype" w:hAnsi="Palatino Linotype"/>
        </w:rPr>
      </w:pPr>
      <w:r>
        <w:rPr>
          <w:rFonts w:ascii="Palatino Linotype" w:hAnsi="Palatino Linotype"/>
        </w:rPr>
        <w:lastRenderedPageBreak/>
        <w:t xml:space="preserve">Mutants at the site of Arg82 are crucial tests to the mechanisms proposed here.  M formation in the wildtype is pH-dependent at a few </w:t>
      </w:r>
      <w:r>
        <w:rPr>
          <w:rFonts w:ascii="Palatino Linotype" w:hAnsi="Palatino Linotype"/>
        </w:rPr>
        <w:sym w:font="Symbol" w:char="F06D"/>
      </w:r>
      <w:r>
        <w:rPr>
          <w:rFonts w:ascii="Palatino Linotype" w:hAnsi="Palatino Linotype"/>
        </w:rPr>
        <w:t xml:space="preserve">s under alkaline pH and 85 </w:t>
      </w:r>
      <w:r>
        <w:rPr>
          <w:rFonts w:ascii="Palatino Linotype" w:hAnsi="Palatino Linotype"/>
        </w:rPr>
        <w:sym w:font="Symbol" w:char="F06D"/>
      </w:r>
      <w:r>
        <w:rPr>
          <w:rFonts w:ascii="Palatino Linotype" w:hAnsi="Palatino Linotype"/>
        </w:rPr>
        <w:t xml:space="preserve">s at neutral pH </w:t>
      </w:r>
      <w:r>
        <w:rPr>
          <w:rFonts w:ascii="Palatino Linotype" w:hAnsi="Palatino Linotype"/>
        </w:rPr>
        <w:fldChar w:fldCharType="begin"/>
      </w:r>
      <w:r>
        <w:rPr>
          <w:rFonts w:ascii="Palatino Linotype" w:hAnsi="Palatino Linotype"/>
        </w:rPr>
        <w:instrText xml:space="preserve"> ADDIN ZOTERO_ITEM CSL_CITATION {"citationID":"m5laWCfn","properties":{"formattedCitation":"(Balashov et al., 1993; Zimanyi et al., 1992)","plainCitation":"(Balashov et al., 1993; Zimanyi et al., 1992)","noteIndex":0},"citationItems":[{"id":6475,"uris":["http://zotero.org/users/local/Med5doT8/items/W4VFHK9W"],"uri":["http://zotero.org/users/local/Med5doT8/items/W4VFHK9W"],"itemData":{"id":6475,"type":"article-journal","abstract":"The pH dependence of the rate constant of dark adaptation (thermal isomerization from alltrans- to 13-m-bR) drastically changes when Arg82 of bacteriorhodopsin is replaced by an alanine. In the wild type (WT) the rate decreases sharply between pH 2.5 and pH 5. In R82A the sharp decrease is shifted to pH &gt;7. This correlates with the shift in the pK of the purple-to-blue transition from pH 2.6 in the wild type to pH 7.2 in the mutant (in 150 mM KC1). We propose that the same group that controls the purple-to-blue transition, namely, Asp85, catalyzes dark adaptation. The rate of dark adaptation in the R82A mutant is proportional to the fraction of protonated Asp85, indicating that dark adaptation occurs when Asp85 is transiently protonated. Thermal isomerization is at least 2 X 103 times more likely when Asp8 5 is protonated (blue membrane) than when it is deprotonated (purple membrane). The pH dependence of dark adaptation in the WT can be explained by a model in which the rate of dark adaptation in the WT is also proportional to the fraction of protonated Asp85 and that the pK of Asp85 depends on some other group, X, which deprotonates (or moves away from Asp85) with pK 9 and causes the shift in the pK of Asp85 from 2.6 to 7.2. The quantum yield of light adaptation is at least an order of magnitude less in R82A as compared to the WT. The rise time of M formation is very fast in R82A and, unlike the WT, pH independent (1 ps versus 85 and 6 ps in the WT at pH 7 and 10, respectively). The activation energy of the L to M transition is 6.9 kcal/mol versus 13.5 kcal/mol in the WT. Thus the loss of a positive charge in the active site greatly increases the rate of light-induced deprotonation of the Schiff base. In the R82A mutant, the M decay at pH &gt;8.8 is much faster than the recovery of initial bR, which suggests a decrease in the rate of back-reaction from N to M. In a suspension of R82A membranes the rate of proton release as measured by the pH-sensitive dye pyranine is delayed by at least 20-fold (in 2 M KC1), while the uptake of protons did not change much (12 ms in the WT versus 8 ms in R82A). This suggests that Arg82 is associated with proton release in bR. A simple electrostatic model involving interaction between charged groups provides an interpretation for the shift of the pK of Asp85 in the R82A mutant, change in the rate constant of M formation, and pH dependence of the rate constant of dark adaptation.","container-title":"Biochemistry","DOI":"10.1021/bi00090a008","ISSN":"0006-2960, 1520-4995","issue":"39","journalAbbreviation":"Biochemistry","language":"en","page":"10331-10343","source":"DOI.org (Crossref)","title":"Effect of the arginine-82 to alanine mutation in bacteriorhodopsin on dark adaptation, proton release, and the photochemical cycle","volume":"32","author":[{"family":"Balashov","given":"Sergei P."},{"family":"Govindjee","given":"Rajni"},{"family":"Kono","given":"Masahiro"},{"family":"Imasheva","given":"Eleonora"},{"family":"Lukashev","given":"Eugene"},{"family":"Ebrey","given":"Thomas G."},{"family":"Crouch","given":"Rosalie K."},{"family":"Menick","given":"Donald R."},{"family":"Feng","given":"Yan"}],"issued":{"date-parts":[["1993",10,5]]}}},{"id":5730,"uris":["http://zotero.org/users/local/Med5doT8/items/DY6QA2CD"],"uri":["http://zotero.org/users/local/Med5doT8/items/DY6QA2CD"],"itemData":{"id":5730,"type":"article-journal","container-title":"Biochemistry","DOI":"10.1021/bi00151a022","ISSN":"0006-2960, 1520-4995","issue":"36","journalAbbreviation":"Biochemistry","language":"en","page":"8535-8543","source":"DOI.org (Crossref)","title":"Pathways of proton release in the bacteriorhodopsin photocycle","volume":"31","author":[{"family":"Zimanyi","given":"Laszlo"},{"family":"Varo","given":"Gyorgy"},{"family":"Chang","given":"Man"},{"family":"Ni","given":"Baofu"},{"family":"Needleman","given":"Richard"},{"family":"Lanyi","given":"Janos K."}],"issued":{"date-parts":[["1992",9,15]]}}}],"schema":"https://github.com/citation-style-language/schema/raw/master/csl-citation.json"} </w:instrText>
      </w:r>
      <w:r>
        <w:rPr>
          <w:rFonts w:ascii="Palatino Linotype" w:hAnsi="Palatino Linotype"/>
        </w:rPr>
        <w:fldChar w:fldCharType="separate"/>
      </w:r>
      <w:r>
        <w:rPr>
          <w:rFonts w:ascii="Palatino Linotype" w:hAnsi="Palatino Linotype"/>
          <w:noProof/>
        </w:rPr>
        <w:t>(Balashov et al., 1993; Zimanyi et al., 1992)</w:t>
      </w:r>
      <w:r>
        <w:rPr>
          <w:rFonts w:ascii="Palatino Linotype" w:hAnsi="Palatino Linotype"/>
        </w:rPr>
        <w:fldChar w:fldCharType="end"/>
      </w:r>
      <w:r>
        <w:rPr>
          <w:rFonts w:ascii="Palatino Linotype" w:hAnsi="Palatino Linotype"/>
        </w:rPr>
        <w:t xml:space="preserve">, which nicely illustrates the concentration-gradient-driven proton conductance proposed here as faster proton release takes place driven by greater proton gradient.  The proton barrier is breached in R82A mutant (Fig. 5).  Therefore, the EC half channel must be filled with a continuous water network.  Very little proton gradient can be established along the water filled channel during continuous pumping activity.  R82A exhibits the same rate of proton uptake as the wildtype, but a rapid M formation without a pH dependency between neutral pH and pH10.  Such rapid M formation is even faster than the wildtype under alkaline condition </w:t>
      </w:r>
      <w:r>
        <w:rPr>
          <w:rFonts w:ascii="Palatino Linotype" w:hAnsi="Palatino Linotype"/>
        </w:rPr>
        <w:fldChar w:fldCharType="begin"/>
      </w:r>
      <w:r>
        <w:rPr>
          <w:rFonts w:ascii="Palatino Linotype" w:hAnsi="Palatino Linotype"/>
        </w:rPr>
        <w:instrText xml:space="preserve"> ADDIN ZOTERO_ITEM CSL_CITATION {"citationID":"BnvrYPJg","properties":{"formattedCitation":"(Balashov et al., 1993)","plainCitation":"(Balashov et al., 1993)","noteIndex":0},"citationItems":[{"id":6475,"uris":["http://zotero.org/users/local/Med5doT8/items/W4VFHK9W"],"uri":["http://zotero.org/users/local/Med5doT8/items/W4VFHK9W"],"itemData":{"id":6475,"type":"article-journal","abstract":"The pH dependence of the rate constant of dark adaptation (thermal isomerization from alltrans- to 13-m-bR) drastically changes when Arg82 of bacteriorhodopsin is replaced by an alanine. In the wild type (WT) the rate decreases sharply between pH 2.5 and pH 5. In R82A the sharp decrease is shifted to pH &gt;7. This correlates with the shift in the pK of the purple-to-blue transition from pH 2.6 in the wild type to pH 7.2 in the mutant (in 150 mM KC1). We propose that the same group that controls the purple-to-blue transition, namely, Asp85, catalyzes dark adaptation. The rate of dark adaptation in the R82A mutant is proportional to the fraction of protonated Asp85, indicating that dark adaptation occurs when Asp85 is transiently protonated. Thermal isomerization is at least 2 X 103 times more likely when Asp8 5 is protonated (blue membrane) than when it is deprotonated (purple membrane). The pH dependence of dark adaptation in the WT can be explained by a model in which the rate of dark adaptation in the WT is also proportional to the fraction of protonated Asp85 and that the pK of Asp85 depends on some other group, X, which deprotonates (or moves away from Asp85) with pK 9 and causes the shift in the pK of Asp85 from 2.6 to 7.2. The quantum yield of light adaptation is at least an order of magnitude less in R82A as compared to the WT. The rise time of M formation is very fast in R82A and, unlike the WT, pH independent (1 ps versus 85 and 6 ps in the WT at pH 7 and 10, respectively). The activation energy of the L to M transition is 6.9 kcal/mol versus 13.5 kcal/mol in the WT. Thus the loss of a positive charge in the active site greatly increases the rate of light-induced deprotonation of the Schiff base. In the R82A mutant, the M decay at pH &gt;8.8 is much faster than the recovery of initial bR, which suggests a decrease in the rate of back-reaction from N to M. In a suspension of R82A membranes the rate of proton release as measured by the pH-sensitive dye pyranine is delayed by at least 20-fold (in 2 M KC1), while the uptake of protons did not change much (12 ms in the WT versus 8 ms in R82A). This suggests that Arg82 is associated with proton release in bR. A simple electrostatic model involving interaction between charged groups provides an interpretation for the shift of the pK of Asp85 in the R82A mutant, change in the rate constant of M formation, and pH dependence of the rate constant of dark adaptation.","container-title":"Biochemistry","DOI":"10.1021/bi00090a008","ISSN":"0006-2960, 1520-4995","issue":"39","journalAbbreviation":"Biochemistry","language":"en","page":"10331-10343","source":"DOI.org (Crossref)","title":"Effect of the arginine-82 to alanine mutation in bacteriorhodopsin on dark adaptation, proton release, and the photochemical cycle","volume":"32","author":[{"family":"Balashov","given":"Sergei P."},{"family":"Govindjee","given":"Rajni"},{"family":"Kono","given":"Masahiro"},{"family":"Imasheva","given":"Eleonora"},{"family":"Lukashev","given":"Eugene"},{"family":"Ebrey","given":"Thomas G."},{"family":"Crouch","given":"Rosalie K."},{"family":"Menick","given":"Donald R."},{"family":"Feng","given":"Yan"}],"issued":{"date-parts":[["1993",10,5]]}}}],"schema":"https://github.com/citation-style-language/schema/raw/master/csl-citation.json"} </w:instrText>
      </w:r>
      <w:r>
        <w:rPr>
          <w:rFonts w:ascii="Palatino Linotype" w:hAnsi="Palatino Linotype"/>
        </w:rPr>
        <w:fldChar w:fldCharType="separate"/>
      </w:r>
      <w:r>
        <w:rPr>
          <w:rFonts w:ascii="Palatino Linotype" w:hAnsi="Palatino Linotype"/>
          <w:noProof/>
        </w:rPr>
        <w:t>(Balashov et al., 1993)</w:t>
      </w:r>
      <w:r>
        <w:rPr>
          <w:rFonts w:ascii="Palatino Linotype" w:hAnsi="Palatino Linotype"/>
        </w:rPr>
        <w:fldChar w:fldCharType="end"/>
      </w:r>
      <w:r>
        <w:rPr>
          <w:rFonts w:ascii="Palatino Linotype" w:hAnsi="Palatino Linotype"/>
        </w:rPr>
        <w:t xml:space="preserve">.  This is obviously due to the inability to establish the super-acidic inner EC channel without an intact proton barrier so that the protonation of Asp85 is accelerated compared to the wildtype.  More interestingly, the fast phase of proton release is absent in R82A.  Instead, a slow relaxation of 30 </w:t>
      </w:r>
      <w:proofErr w:type="spellStart"/>
      <w:r>
        <w:rPr>
          <w:rFonts w:ascii="Palatino Linotype" w:hAnsi="Palatino Linotype"/>
        </w:rPr>
        <w:t>ms</w:t>
      </w:r>
      <w:proofErr w:type="spellEnd"/>
      <w:r>
        <w:rPr>
          <w:rFonts w:ascii="Palatino Linotype" w:hAnsi="Palatino Linotype"/>
        </w:rPr>
        <w:t xml:space="preserve"> after proton uptake was observed </w:t>
      </w:r>
      <w:r>
        <w:rPr>
          <w:rFonts w:ascii="Palatino Linotype" w:hAnsi="Palatino Linotype"/>
        </w:rPr>
        <w:fldChar w:fldCharType="begin"/>
      </w:r>
      <w:r>
        <w:rPr>
          <w:rFonts w:ascii="Palatino Linotype" w:hAnsi="Palatino Linotype"/>
        </w:rPr>
        <w:instrText xml:space="preserve"> ADDIN ZOTERO_ITEM CSL_CITATION {"citationID":"d8rnZMRe","properties":{"formattedCitation":"(Balashov et al., 1993)","plainCitation":"(Balashov et al., 1993)","noteIndex":0},"citationItems":[{"id":6475,"uris":["http://zotero.org/users/local/Med5doT8/items/W4VFHK9W"],"uri":["http://zotero.org/users/local/Med5doT8/items/W4VFHK9W"],"itemData":{"id":6475,"type":"article-journal","abstract":"The pH dependence of the rate constant of dark adaptation (thermal isomerization from alltrans- to 13-m-bR) drastically changes when Arg82 of bacteriorhodopsin is replaced by an alanine. In the wild type (WT) the rate decreases sharply between pH 2.5 and pH 5. In R82A the sharp decrease is shifted to pH &gt;7. This correlates with the shift in the pK of the purple-to-blue transition from pH 2.6 in the wild type to pH 7.2 in the mutant (in 150 mM KC1). We propose that the same group that controls the purple-to-blue transition, namely, Asp85, catalyzes dark adaptation. The rate of dark adaptation in the R82A mutant is proportional to the fraction of protonated Asp85, indicating that dark adaptation occurs when Asp85 is transiently protonated. Thermal isomerization is at least 2 X 103 times more likely when Asp8 5 is protonated (blue membrane) than when it is deprotonated (purple membrane). The pH dependence of dark adaptation in the WT can be explained by a model in which the rate of dark adaptation in the WT is also proportional to the fraction of protonated Asp85 and that the pK of Asp85 depends on some other group, X, which deprotonates (or moves away from Asp85) with pK 9 and causes the shift in the pK of Asp85 from 2.6 to 7.2. The quantum yield of light adaptation is at least an order of magnitude less in R82A as compared to the WT. The rise time of M formation is very fast in R82A and, unlike the WT, pH independent (1 ps versus 85 and 6 ps in the WT at pH 7 and 10, respectively). The activation energy of the L to M transition is 6.9 kcal/mol versus 13.5 kcal/mol in the WT. Thus the loss of a positive charge in the active site greatly increases the rate of light-induced deprotonation of the Schiff base. In the R82A mutant, the M decay at pH &gt;8.8 is much faster than the recovery of initial bR, which suggests a decrease in the rate of back-reaction from N to M. In a suspension of R82A membranes the rate of proton release as measured by the pH-sensitive dye pyranine is delayed by at least 20-fold (in 2 M KC1), while the uptake of protons did not change much (12 ms in the WT versus 8 ms in R82A). This suggests that Arg82 is associated with proton release in bR. A simple electrostatic model involving interaction between charged groups provides an interpretation for the shift of the pK of Asp85 in the R82A mutant, change in the rate constant of M formation, and pH dependence of the rate constant of dark adaptation.","container-title":"Biochemistry","DOI":"10.1021/bi00090a008","ISSN":"0006-2960, 1520-4995","issue":"39","journalAbbreviation":"Biochemistry","language":"en","page":"10331-10343","source":"DOI.org (Crossref)","title":"Effect of the arginine-82 to alanine mutation in bacteriorhodopsin on dark adaptation, proton release, and the photochemical cycle","volume":"32","author":[{"family":"Balashov","given":"Sergei P."},{"family":"Govindjee","given":"Rajni"},{"family":"Kono","given":"Masahiro"},{"family":"Imasheva","given":"Eleonora"},{"family":"Lukashev","given":"Eugene"},{"family":"Ebrey","given":"Thomas G."},{"family":"Crouch","given":"Rosalie K."},{"family":"Menick","given":"Donald R."},{"family":"Feng","given":"Yan"}],"issued":{"date-parts":[["1993",10,5]]}}}],"schema":"https://github.com/citation-style-language/schema/raw/master/csl-citation.json"} </w:instrText>
      </w:r>
      <w:r>
        <w:rPr>
          <w:rFonts w:ascii="Palatino Linotype" w:hAnsi="Palatino Linotype"/>
        </w:rPr>
        <w:fldChar w:fldCharType="separate"/>
      </w:r>
      <w:r>
        <w:rPr>
          <w:rFonts w:ascii="Palatino Linotype" w:hAnsi="Palatino Linotype"/>
          <w:noProof/>
        </w:rPr>
        <w:t>(Balashov et al., 1993)</w:t>
      </w:r>
      <w:r>
        <w:rPr>
          <w:rFonts w:ascii="Palatino Linotype" w:hAnsi="Palatino Linotype"/>
        </w:rPr>
        <w:fldChar w:fldCharType="end"/>
      </w:r>
      <w:r>
        <w:rPr>
          <w:rFonts w:ascii="Palatino Linotype" w:hAnsi="Palatino Linotype"/>
        </w:rPr>
        <w:t>.  Under the mechanism of a concentration-gradient-driven proton conductance, this slow relaxation is the spontaneous movement of the newly pumped proton in the same photocycle driven by a small gradient.  Therefore, the “early release” in the fast phase of proton release cannot be observed without a well-established super-acidic inner EC channel in R82A.  The “early release” observed from the wildtype is actually a much slower proton movement, in which a proton pumped into the super-acidic inner channel several photocycles ago is “squeezed out” by a newly pumped proton.  This proton released from the wildtype appears to be coupled with or even faster than the protonation of Asp85.</w:t>
      </w:r>
    </w:p>
    <w:p w14:paraId="0702F5D0" w14:textId="77777777" w:rsidR="0039334C" w:rsidRDefault="0039334C" w:rsidP="0039334C">
      <w:pPr>
        <w:spacing w:line="276" w:lineRule="auto"/>
        <w:ind w:firstLine="360"/>
        <w:rPr>
          <w:rFonts w:ascii="Palatino Linotype" w:hAnsi="Palatino Linotype"/>
        </w:rPr>
      </w:pPr>
    </w:p>
    <w:p w14:paraId="179CEC1B"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Similar to R82A, another mutant R82Q also features rapid, biphasic formation of M at 1 and 160 </w:t>
      </w:r>
      <w:r>
        <w:rPr>
          <w:rFonts w:ascii="Palatino Linotype" w:hAnsi="Palatino Linotype"/>
        </w:rPr>
        <w:sym w:font="Symbol" w:char="F06D"/>
      </w:r>
      <w:r>
        <w:rPr>
          <w:rFonts w:ascii="Palatino Linotype" w:hAnsi="Palatino Linotype"/>
        </w:rPr>
        <w:t xml:space="preserve">s but delayed proton release after uptake at neutral pH </w:t>
      </w:r>
      <w:r>
        <w:rPr>
          <w:rFonts w:ascii="Palatino Linotype" w:hAnsi="Palatino Linotype"/>
        </w:rPr>
        <w:fldChar w:fldCharType="begin"/>
      </w:r>
      <w:r>
        <w:rPr>
          <w:rFonts w:ascii="Palatino Linotype" w:hAnsi="Palatino Linotype"/>
        </w:rPr>
        <w:instrText xml:space="preserve"> ADDIN ZOTERO_ITEM CSL_CITATION {"citationID":"0om7NBFT","properties":{"formattedCitation":"(Govindjee et al., 1996)","plainCitation":"(Govindjee et al., 1996)","noteIndex":0},"citationItems":[{"id":5948,"uris":["http://zotero.org/users/local/Med5doT8/items/4WYBDD3J"],"uri":["http://zotero.org/users/local/Med5doT8/items/4WYBDD3J"],"itemData":{"id":5948,"type":"article-journal","container-title":"Biophysical Journal","DOI":"10.1016/S0006-3495(96)79302-5","ISSN":"00063495","issue":"2","journalAbbreviation":"Biophysical Journal","language":"en","page":"1011-1023","source":"DOI.org (Crossref)","title":"Arginine-82 regulates the pKa of the group responsible for the light-driven proton release in bacteriorhodopsin","volume":"71","author":[{"family":"Govindjee","given":"R."},{"family":"Misra","given":"S."},{"family":"Balashov","given":"S.P."},{"family":"Ebrey","given":"T.G."},{"family":"Crouch","given":"R.K."},{"family":"Menick","given":"D.R."}],"issued":{"date-parts":[["1996",8]]}}}],"schema":"https://github.com/citation-style-language/schema/raw/master/csl-citation.json"} </w:instrText>
      </w:r>
      <w:r>
        <w:rPr>
          <w:rFonts w:ascii="Palatino Linotype" w:hAnsi="Palatino Linotype"/>
        </w:rPr>
        <w:fldChar w:fldCharType="separate"/>
      </w:r>
      <w:r>
        <w:rPr>
          <w:rFonts w:ascii="Palatino Linotype" w:hAnsi="Palatino Linotype"/>
          <w:noProof/>
        </w:rPr>
        <w:t>(Govindjee et al., 1996)</w:t>
      </w:r>
      <w:r>
        <w:rPr>
          <w:rFonts w:ascii="Palatino Linotype" w:hAnsi="Palatino Linotype"/>
        </w:rPr>
        <w:fldChar w:fldCharType="end"/>
      </w:r>
      <w:r>
        <w:rPr>
          <w:rFonts w:ascii="Palatino Linotype" w:hAnsi="Palatino Linotype"/>
        </w:rPr>
        <w:t xml:space="preserve">.  However, unlike R82A, proton release from R82Q shows its strong pH-dependency.  At neutral pH, </w:t>
      </w:r>
      <w:proofErr w:type="gramStart"/>
      <w:r>
        <w:rPr>
          <w:rFonts w:ascii="Palatino Linotype" w:hAnsi="Palatino Linotype"/>
        </w:rPr>
        <w:t>the majority of</w:t>
      </w:r>
      <w:proofErr w:type="gramEnd"/>
      <w:r>
        <w:rPr>
          <w:rFonts w:ascii="Palatino Linotype" w:hAnsi="Palatino Linotype"/>
        </w:rPr>
        <w:t xml:space="preserve"> proton release occurs late at 23 </w:t>
      </w:r>
      <w:proofErr w:type="spellStart"/>
      <w:r>
        <w:rPr>
          <w:rFonts w:ascii="Palatino Linotype" w:hAnsi="Palatino Linotype"/>
        </w:rPr>
        <w:t>ms.</w:t>
      </w:r>
      <w:proofErr w:type="spellEnd"/>
      <w:r>
        <w:rPr>
          <w:rFonts w:ascii="Palatino Linotype" w:hAnsi="Palatino Linotype"/>
        </w:rPr>
        <w:t xml:space="preserve">  If the pH increases to 8, most proton release precedes proton uptake at a few </w:t>
      </w:r>
      <w:proofErr w:type="spellStart"/>
      <w:r>
        <w:rPr>
          <w:rFonts w:ascii="Palatino Linotype" w:hAnsi="Palatino Linotype"/>
        </w:rPr>
        <w:t>ms.</w:t>
      </w:r>
      <w:proofErr w:type="spellEnd"/>
      <w:r>
        <w:rPr>
          <w:rFonts w:ascii="Palatino Linotype" w:hAnsi="Palatino Linotype"/>
        </w:rPr>
        <w:t xml:space="preserve">  The amide group on the side chain of the neutral residue Gln82 could be protonated by hydroniums in the inner EC channel.  However, the amide group is not a sufficient proton barrier with its </w:t>
      </w:r>
      <w:proofErr w:type="spellStart"/>
      <w:r>
        <w:rPr>
          <w:rFonts w:ascii="Palatino Linotype" w:hAnsi="Palatino Linotype"/>
        </w:rPr>
        <w:t>p</w:t>
      </w:r>
      <w:r w:rsidRPr="00B415DA">
        <w:rPr>
          <w:rFonts w:ascii="Palatino Linotype" w:hAnsi="Palatino Linotype"/>
          <w:i/>
          <w:iCs/>
        </w:rPr>
        <w:t>K</w:t>
      </w:r>
      <w:r w:rsidRPr="00B415DA">
        <w:rPr>
          <w:rFonts w:ascii="Palatino Linotype" w:hAnsi="Palatino Linotype"/>
          <w:vertAlign w:val="subscript"/>
        </w:rPr>
        <w:t>a</w:t>
      </w:r>
      <w:proofErr w:type="spellEnd"/>
      <w:r>
        <w:rPr>
          <w:rFonts w:ascii="Palatino Linotype" w:hAnsi="Palatino Linotype"/>
        </w:rPr>
        <w:t xml:space="preserve"> of </w:t>
      </w:r>
      <w:r>
        <w:rPr>
          <w:rFonts w:ascii="Palatino Linotype" w:hAnsi="Palatino Linotype"/>
        </w:rPr>
        <w:noBreakHyphen/>
        <w:t xml:space="preserve">1.4 that could only establish a proton puddle less acidic compared to that of the wildtype.  Another important factor to a smaller proton puddle </w:t>
      </w:r>
      <w:r>
        <w:rPr>
          <w:rFonts w:ascii="Palatino Linotype" w:hAnsi="Palatino Linotype"/>
        </w:rPr>
        <w:lastRenderedPageBreak/>
        <w:t xml:space="preserve">is that Gln is two bonds shorter than Arg.  As a result, rapid proton release at a few </w:t>
      </w:r>
      <w:proofErr w:type="spellStart"/>
      <w:r>
        <w:rPr>
          <w:rFonts w:ascii="Palatino Linotype" w:hAnsi="Palatino Linotype"/>
        </w:rPr>
        <w:t>ms</w:t>
      </w:r>
      <w:proofErr w:type="spellEnd"/>
      <w:r>
        <w:rPr>
          <w:rFonts w:ascii="Palatino Linotype" w:hAnsi="Palatino Linotype"/>
        </w:rPr>
        <w:t xml:space="preserve"> is possible with a sufficient proton gradient under high </w:t>
      </w:r>
      <w:proofErr w:type="spellStart"/>
      <w:r>
        <w:rPr>
          <w:rFonts w:ascii="Palatino Linotype" w:hAnsi="Palatino Linotype"/>
        </w:rPr>
        <w:t>pH.</w:t>
      </w:r>
      <w:proofErr w:type="spellEnd"/>
      <w:r>
        <w:rPr>
          <w:rFonts w:ascii="Palatino Linotype" w:hAnsi="Palatino Linotype"/>
        </w:rPr>
        <w:t xml:space="preserve">  However, proton release is delayed to 23 </w:t>
      </w:r>
      <w:proofErr w:type="spellStart"/>
      <w:r>
        <w:rPr>
          <w:rFonts w:ascii="Palatino Linotype" w:hAnsi="Palatino Linotype"/>
        </w:rPr>
        <w:t>ms</w:t>
      </w:r>
      <w:proofErr w:type="spellEnd"/>
      <w:r>
        <w:rPr>
          <w:rFonts w:ascii="Palatino Linotype" w:hAnsi="Palatino Linotype"/>
        </w:rPr>
        <w:t xml:space="preserve"> as the proton gradient decreases under neutral </w:t>
      </w:r>
      <w:proofErr w:type="spellStart"/>
      <w:r>
        <w:rPr>
          <w:rFonts w:ascii="Palatino Linotype" w:hAnsi="Palatino Linotype"/>
        </w:rPr>
        <w:t>pH.</w:t>
      </w:r>
      <w:proofErr w:type="spellEnd"/>
      <w:r>
        <w:rPr>
          <w:rFonts w:ascii="Palatino Linotype" w:hAnsi="Palatino Linotype"/>
        </w:rPr>
        <w:t xml:space="preserve">  Again, the proton apparently released early is one of the protons accumulated in the inner EC channel, not the one freshly pumped in the same photocycle.</w:t>
      </w:r>
    </w:p>
    <w:p w14:paraId="7A1A7C7B" w14:textId="77777777" w:rsidR="0039334C" w:rsidRDefault="0039334C" w:rsidP="0039334C">
      <w:pPr>
        <w:spacing w:line="276" w:lineRule="auto"/>
        <w:ind w:firstLine="360"/>
        <w:rPr>
          <w:rFonts w:ascii="Palatino Linotype" w:hAnsi="Palatino Linotype"/>
        </w:rPr>
      </w:pPr>
    </w:p>
    <w:p w14:paraId="65266F1F" w14:textId="77777777" w:rsidR="0039334C" w:rsidRPr="005527F8" w:rsidRDefault="0039334C" w:rsidP="0039334C">
      <w:pPr>
        <w:keepNext/>
        <w:spacing w:line="276" w:lineRule="auto"/>
        <w:rPr>
          <w:rFonts w:ascii="Palatino Linotype" w:hAnsi="Palatino Linotype"/>
          <w:i/>
          <w:iCs/>
        </w:rPr>
      </w:pPr>
      <w:r w:rsidRPr="005527F8">
        <w:rPr>
          <w:rFonts w:ascii="Palatino Linotype" w:hAnsi="Palatino Linotype"/>
          <w:i/>
          <w:iCs/>
        </w:rPr>
        <w:t xml:space="preserve">Supplementary </w:t>
      </w:r>
      <w:r>
        <w:rPr>
          <w:rFonts w:ascii="Palatino Linotype" w:hAnsi="Palatino Linotype"/>
          <w:i/>
          <w:iCs/>
        </w:rPr>
        <w:t>Q&amp;A</w:t>
      </w:r>
    </w:p>
    <w:p w14:paraId="0E81DC98" w14:textId="77777777" w:rsidR="0039334C" w:rsidRDefault="0039334C" w:rsidP="0039334C">
      <w:pPr>
        <w:spacing w:line="276" w:lineRule="auto"/>
        <w:rPr>
          <w:rFonts w:ascii="Palatino Linotype" w:hAnsi="Palatino Linotype"/>
        </w:rPr>
      </w:pPr>
      <w:r>
        <w:rPr>
          <w:rFonts w:ascii="Palatino Linotype" w:hAnsi="Palatino Linotype"/>
        </w:rPr>
        <w:t xml:space="preserve">This study addresses four key questions regarding the operating mechanisms of the light-driven proton pump </w:t>
      </w:r>
      <w:proofErr w:type="spellStart"/>
      <w:r>
        <w:rPr>
          <w:rFonts w:ascii="Palatino Linotype" w:hAnsi="Palatino Linotype"/>
        </w:rPr>
        <w:t>bR</w:t>
      </w:r>
      <w:proofErr w:type="spellEnd"/>
      <w:r>
        <w:rPr>
          <w:rFonts w:ascii="Palatino Linotype" w:hAnsi="Palatino Linotype"/>
        </w:rPr>
        <w:t xml:space="preserve"> in addition to the question of isomerization sampling </w:t>
      </w:r>
      <w:r>
        <w:rPr>
          <w:rFonts w:ascii="Palatino Linotype" w:hAnsi="Palatino Linotype"/>
        </w:rPr>
        <w:fldChar w:fldCharType="begin"/>
      </w:r>
      <w:r>
        <w:rPr>
          <w:rFonts w:ascii="Palatino Linotype" w:hAnsi="Palatino Linotype"/>
        </w:rPr>
        <w:instrText xml:space="preserve"> ADDIN ZOTERO_ITEM CSL_CITATION {"citationID":"gMxb4uDg","properties":{"formattedCitation":"(Ren, 2021)","plainCitation":"(Ren, 2021)","noteIndex":0},"citationItems":[{"id":6759,"uris":["http://zotero.org/users/local/Med5doT8/items/KIC7BABI"],"uri":["http://zotero.org/users/local/Med5doT8/items/KIC7BABI"],"itemData":{"id":6759,"type":"article-journal","abstract":"Photoisomerization of retinoids inside a confined protein pocket represents a critical chemical event in many important biological processes from animal vision, non-visual light effects, to bacterial light sensing and harvesting.  Light driven proton pumping in bacteriorhodopsin entails exquisite electronic and conformational reconfigurations during its photocycle.  However, it has been a major challenge to delineate transient molecular events preceding and following the photoisomerization of the retinal from noisy electron density maps when varying populations of intermediates coexist and evolve as a function of time.  Here I report several distinct early photoproducts deconvoluted from the recently observed mixtures in time-resolved serial crystallography.  This deconvolution substantially improves the quality of the electron density maps hence demonstrates that the all-trans retinal undergoes extensive isomerization sampling before it proceeds to the productive 13-cis configuration.  Upon light absorption, the chromophore attempts to perform trans-to-cis isomerization at every double bond coupled with the stalled anti-to-syn rotations at multiple single bonds along its polyene chain.  Such isomerization sampling pushes all seven transmembrane helices to bend outward, resulting in a transient expansion of the retinal binding pocket, and later, a contraction due to recoiling.  These ultrafast responses observed at the atomic resolution support that the productive photoreaction in bacteriorhodopsin is initiated by light-induced charge separation in the prosthetic chromophore yet governed by stereoselectivity of its protein pocket.  The method of a numerical resolution of concurrent events from mixed observations is also generally applicable.","container-title":"bioRxiv","DOI":"10.1101/2021.09.16.460656","language":"en","note":"DOI: 10.1101/2021.09.16.460656","page":"doi:10.1101/2021.09.16.460656","source":"DOI.org (Crossref)","title":"Photoinduced isomerization sampling of retinal in bacteriorhodopsin","author":[{"family":"Ren","given":"Zhong"}],"issued":{"date-parts":[["2021",9,16]]}}}],"schema":"https://github.com/citation-style-language/schema/raw/master/csl-citation.json"} </w:instrText>
      </w:r>
      <w:r>
        <w:rPr>
          <w:rFonts w:ascii="Palatino Linotype" w:hAnsi="Palatino Linotype"/>
        </w:rPr>
        <w:fldChar w:fldCharType="separate"/>
      </w:r>
      <w:r>
        <w:rPr>
          <w:rFonts w:ascii="Palatino Linotype" w:hAnsi="Palatino Linotype"/>
          <w:noProof/>
        </w:rPr>
        <w:t>(Ren, 2021)</w:t>
      </w:r>
      <w:r>
        <w:rPr>
          <w:rFonts w:ascii="Palatino Linotype" w:hAnsi="Palatino Linotype"/>
        </w:rPr>
        <w:fldChar w:fldCharType="end"/>
      </w:r>
      <w:r>
        <w:rPr>
          <w:rFonts w:ascii="Palatino Linotype" w:hAnsi="Palatino Linotype"/>
        </w:rPr>
        <w:t>.  Answers to these questions are somewhat scattered in the main text while evidence are presented to support these answers.  Here the answers are recapped without the interruption of the technical details of the supporting data.</w:t>
      </w:r>
    </w:p>
    <w:p w14:paraId="26F86F03" w14:textId="77777777" w:rsidR="0039334C" w:rsidRDefault="0039334C" w:rsidP="0039334C">
      <w:pPr>
        <w:spacing w:line="276" w:lineRule="auto"/>
        <w:rPr>
          <w:rFonts w:ascii="Palatino Linotype" w:hAnsi="Palatino Linotype"/>
        </w:rPr>
      </w:pPr>
    </w:p>
    <w:p w14:paraId="23C79DFC" w14:textId="77777777" w:rsidR="0039334C" w:rsidRDefault="0039334C" w:rsidP="0039334C">
      <w:pPr>
        <w:spacing w:line="276" w:lineRule="auto"/>
        <w:rPr>
          <w:rFonts w:ascii="Palatino Linotype" w:hAnsi="Palatino Linotype"/>
        </w:rPr>
      </w:pPr>
      <w:r>
        <w:rPr>
          <w:rFonts w:ascii="Palatino Linotype" w:hAnsi="Palatino Linotype"/>
        </w:rPr>
        <w:t xml:space="preserve">Q1) How does the protonated SB with a </w:t>
      </w:r>
      <w:proofErr w:type="spellStart"/>
      <w:r>
        <w:rPr>
          <w:rFonts w:ascii="Palatino Linotype" w:hAnsi="Palatino Linotype"/>
        </w:rPr>
        <w:t>p</w:t>
      </w:r>
      <w:r w:rsidRPr="00805793">
        <w:rPr>
          <w:rFonts w:ascii="Palatino Linotype" w:hAnsi="Palatino Linotype"/>
          <w:i/>
          <w:iCs/>
        </w:rPr>
        <w:t>K</w:t>
      </w:r>
      <w:r w:rsidRPr="00805793">
        <w:rPr>
          <w:rFonts w:ascii="Palatino Linotype" w:hAnsi="Palatino Linotype"/>
          <w:vertAlign w:val="subscript"/>
        </w:rPr>
        <w:t>a</w:t>
      </w:r>
      <w:proofErr w:type="spellEnd"/>
      <w:r>
        <w:rPr>
          <w:rFonts w:ascii="Palatino Linotype" w:hAnsi="Palatino Linotype"/>
        </w:rPr>
        <w:t xml:space="preserve"> of 13.3 transfer its proton to the acidic acceptors and when?</w:t>
      </w:r>
    </w:p>
    <w:p w14:paraId="3C04827F" w14:textId="77777777" w:rsidR="0039334C" w:rsidRDefault="0039334C" w:rsidP="0039334C">
      <w:pPr>
        <w:spacing w:line="276" w:lineRule="auto"/>
        <w:rPr>
          <w:rFonts w:ascii="Palatino Linotype" w:hAnsi="Palatino Linotype"/>
        </w:rPr>
      </w:pPr>
    </w:p>
    <w:p w14:paraId="140F1396" w14:textId="77777777" w:rsidR="0039334C" w:rsidRPr="00CE0805" w:rsidRDefault="0039334C" w:rsidP="0039334C">
      <w:pPr>
        <w:spacing w:line="276" w:lineRule="auto"/>
        <w:rPr>
          <w:rFonts w:ascii="Palatino Linotype" w:hAnsi="Palatino Linotype"/>
        </w:rPr>
      </w:pPr>
      <w:r w:rsidRPr="00CE0805">
        <w:rPr>
          <w:rFonts w:ascii="Palatino Linotype" w:hAnsi="Palatino Linotype"/>
        </w:rPr>
        <w:t xml:space="preserve">A1) </w:t>
      </w:r>
      <w:r>
        <w:rPr>
          <w:rFonts w:ascii="Palatino Linotype" w:hAnsi="Palatino Linotype"/>
        </w:rPr>
        <w:t>Which of the two weak interactions N</w:t>
      </w:r>
      <w:r w:rsidRPr="00B43857">
        <w:rPr>
          <w:rFonts w:ascii="Palatino Linotype" w:hAnsi="Palatino Linotype"/>
          <w:vertAlign w:val="subscript"/>
        </w:rPr>
        <w:sym w:font="Symbol" w:char="F07A"/>
      </w:r>
      <w:r>
        <w:rPr>
          <w:rFonts w:ascii="Palatino Linotype" w:hAnsi="Palatino Linotype"/>
        </w:rPr>
        <w:t>:H</w:t>
      </w:r>
      <w:proofErr w:type="gramStart"/>
      <w:r w:rsidRPr="00D66A31">
        <w:rPr>
          <w:rFonts w:ascii="Palatino Linotype" w:hAnsi="Palatino Linotype"/>
          <w:vertAlign w:val="superscript"/>
        </w:rPr>
        <w:t>+</w:t>
      </w:r>
      <w:r>
        <w:rPr>
          <w:rFonts w:ascii="Palatino Linotype" w:hAnsi="Palatino Linotype"/>
        </w:rPr>
        <w:t>:O</w:t>
      </w:r>
      <w:proofErr w:type="gramEnd"/>
      <w:r>
        <w:rPr>
          <w:rFonts w:ascii="Palatino Linotype" w:hAnsi="Palatino Linotype"/>
        </w:rPr>
        <w:t>402 survives an abrupt tare while the retinal prepares to undergo photoisomerization is determined by the inertia of the proton (Fig. 2c).  It is decisive that t</w:t>
      </w:r>
      <w:r w:rsidRPr="00CE0805">
        <w:rPr>
          <w:rFonts w:ascii="Palatino Linotype" w:hAnsi="Palatino Linotype"/>
        </w:rPr>
        <w:t xml:space="preserve">he proton dissociates from the SB due to its inertia </w:t>
      </w:r>
      <w:r>
        <w:rPr>
          <w:rFonts w:ascii="Palatino Linotype" w:hAnsi="Palatino Linotype"/>
        </w:rPr>
        <w:t>at the beginning of</w:t>
      </w:r>
      <w:r w:rsidRPr="00CE0805">
        <w:rPr>
          <w:rFonts w:ascii="Palatino Linotype" w:hAnsi="Palatino Linotype"/>
        </w:rPr>
        <w:t xml:space="preserve"> the retinal photoisomerization.  The SB nitrogen makes a rapid U-turn at ~30 fs</w:t>
      </w:r>
      <w:r>
        <w:rPr>
          <w:rFonts w:ascii="Palatino Linotype" w:hAnsi="Palatino Linotype"/>
        </w:rPr>
        <w:t xml:space="preserve"> (Figs. 2a and S2)</w:t>
      </w:r>
      <w:r w:rsidRPr="00CE0805">
        <w:rPr>
          <w:rFonts w:ascii="Palatino Linotype" w:hAnsi="Palatino Linotype"/>
        </w:rPr>
        <w:t xml:space="preserve">.  </w:t>
      </w:r>
      <w:r>
        <w:rPr>
          <w:rFonts w:ascii="Palatino Linotype" w:hAnsi="Palatino Linotype"/>
        </w:rPr>
        <w:t xml:space="preserve">A force &gt; 500 </w:t>
      </w:r>
      <w:proofErr w:type="spellStart"/>
      <w:r>
        <w:rPr>
          <w:rFonts w:ascii="Palatino Linotype" w:hAnsi="Palatino Linotype"/>
        </w:rPr>
        <w:t>pN</w:t>
      </w:r>
      <w:proofErr w:type="spellEnd"/>
      <w:r>
        <w:rPr>
          <w:rFonts w:ascii="Palatino Linotype" w:hAnsi="Palatino Linotype"/>
        </w:rPr>
        <w:t xml:space="preserve"> is required to accelerate the proton as fast as the SB.  Breaking the H-bond H</w:t>
      </w:r>
      <w:r w:rsidRPr="00484796">
        <w:rPr>
          <w:rFonts w:ascii="Palatino Linotype" w:hAnsi="Palatino Linotype"/>
          <w:vertAlign w:val="subscript"/>
        </w:rPr>
        <w:t>2</w:t>
      </w:r>
      <w:r>
        <w:rPr>
          <w:rFonts w:ascii="Palatino Linotype" w:hAnsi="Palatino Linotype"/>
        </w:rPr>
        <w:t>O402:H</w:t>
      </w:r>
      <w:r w:rsidRPr="00484796">
        <w:rPr>
          <w:rFonts w:ascii="Palatino Linotype" w:hAnsi="Palatino Linotype"/>
          <w:vertAlign w:val="superscript"/>
        </w:rPr>
        <w:t>+</w:t>
      </w:r>
      <w:r>
        <w:rPr>
          <w:rFonts w:ascii="Palatino Linotype" w:hAnsi="Palatino Linotype"/>
        </w:rPr>
        <w:t xml:space="preserve"> is nearly as costly as breaking t</w:t>
      </w:r>
      <w:r w:rsidRPr="00CE0805">
        <w:rPr>
          <w:rFonts w:ascii="Palatino Linotype" w:hAnsi="Palatino Linotype"/>
        </w:rPr>
        <w:t>he association N</w:t>
      </w:r>
      <w:r w:rsidRPr="00662CAB">
        <w:rPr>
          <w:rFonts w:ascii="Palatino Linotype" w:hAnsi="Palatino Linotype"/>
          <w:vertAlign w:val="subscript"/>
        </w:rPr>
        <w:sym w:font="Symbol" w:char="F07A"/>
      </w:r>
      <w:r w:rsidRPr="00CE0805">
        <w:rPr>
          <w:rFonts w:ascii="Palatino Linotype" w:hAnsi="Palatino Linotype"/>
        </w:rPr>
        <w:t>:H</w:t>
      </w:r>
      <w:r w:rsidRPr="00CE0805">
        <w:rPr>
          <w:rFonts w:ascii="Palatino Linotype" w:hAnsi="Palatino Linotype"/>
          <w:vertAlign w:val="superscript"/>
        </w:rPr>
        <w:t>+</w:t>
      </w:r>
      <w:r>
        <w:rPr>
          <w:rFonts w:ascii="Palatino Linotype" w:hAnsi="Palatino Linotype"/>
        </w:rPr>
        <w:t xml:space="preserve"> (Figs. 1 inset and 2c).  Therefore, t</w:t>
      </w:r>
      <w:r w:rsidRPr="00CE0805">
        <w:rPr>
          <w:rFonts w:ascii="Palatino Linotype" w:hAnsi="Palatino Linotype"/>
        </w:rPr>
        <w:t>he proton joins Wat402 to form a hydronium ion</w:t>
      </w:r>
      <w:r>
        <w:rPr>
          <w:rFonts w:ascii="Palatino Linotype" w:hAnsi="Palatino Linotype"/>
        </w:rPr>
        <w:t xml:space="preserve"> due to its inertia instead of keeping up to maintain the SB protonated</w:t>
      </w:r>
      <w:r w:rsidRPr="00CE0805">
        <w:rPr>
          <w:rFonts w:ascii="Palatino Linotype" w:hAnsi="Palatino Linotype"/>
        </w:rPr>
        <w:t xml:space="preserve">.  Such a proton transfer uphill over 15 pH units </w:t>
      </w:r>
      <w:r>
        <w:rPr>
          <w:rFonts w:ascii="Palatino Linotype" w:hAnsi="Palatino Linotype"/>
        </w:rPr>
        <w:t xml:space="preserve">within tens of fs </w:t>
      </w:r>
      <w:r w:rsidRPr="00CE0805">
        <w:rPr>
          <w:rFonts w:ascii="Palatino Linotype" w:hAnsi="Palatino Linotype"/>
        </w:rPr>
        <w:t xml:space="preserve">is not achieved by a chemical equilibrium, thus not governed by </w:t>
      </w:r>
      <w:proofErr w:type="spellStart"/>
      <w:r w:rsidRPr="00CE0805">
        <w:rPr>
          <w:rFonts w:ascii="Palatino Linotype" w:hAnsi="Palatino Linotype"/>
        </w:rPr>
        <w:t>p</w:t>
      </w:r>
      <w:r w:rsidRPr="00CE0805">
        <w:rPr>
          <w:rFonts w:ascii="Palatino Linotype" w:hAnsi="Palatino Linotype"/>
          <w:i/>
          <w:iCs/>
        </w:rPr>
        <w:t>K</w:t>
      </w:r>
      <w:r w:rsidRPr="00CE0805">
        <w:rPr>
          <w:rFonts w:ascii="Palatino Linotype" w:hAnsi="Palatino Linotype"/>
          <w:vertAlign w:val="subscript"/>
        </w:rPr>
        <w:t>a</w:t>
      </w:r>
      <w:proofErr w:type="spellEnd"/>
      <w:r w:rsidRPr="00CE0805">
        <w:rPr>
          <w:rFonts w:ascii="Palatino Linotype" w:hAnsi="Palatino Linotype"/>
        </w:rPr>
        <w:t xml:space="preserve"> values.  </w:t>
      </w:r>
      <w:r>
        <w:rPr>
          <w:rFonts w:ascii="Palatino Linotype" w:hAnsi="Palatino Linotype"/>
        </w:rPr>
        <w:t xml:space="preserve">This proton transfer requires a high peak power </w:t>
      </w:r>
      <w:proofErr w:type="spellStart"/>
      <w:r>
        <w:rPr>
          <w:rFonts w:ascii="Palatino Linotype" w:hAnsi="Palatino Linotype"/>
        </w:rPr>
        <w:t>d</w:t>
      </w:r>
      <w:r w:rsidRPr="00672FE3">
        <w:rPr>
          <w:rFonts w:ascii="Palatino Linotype" w:hAnsi="Palatino Linotype"/>
          <w:i/>
          <w:iCs/>
        </w:rPr>
        <w:t>H</w:t>
      </w:r>
      <w:proofErr w:type="spellEnd"/>
      <w:r>
        <w:rPr>
          <w:rFonts w:ascii="Palatino Linotype" w:hAnsi="Palatino Linotype"/>
        </w:rPr>
        <w:t>/d</w:t>
      </w:r>
      <w:r w:rsidRPr="00672FE3">
        <w:rPr>
          <w:rFonts w:ascii="Palatino Linotype" w:hAnsi="Palatino Linotype"/>
          <w:i/>
          <w:iCs/>
        </w:rPr>
        <w:t>t</w:t>
      </w:r>
      <w:r>
        <w:rPr>
          <w:rFonts w:ascii="Palatino Linotype" w:hAnsi="Palatino Linotype"/>
        </w:rPr>
        <w:t xml:space="preserve"> localized at the SB.  On the other hand, holding Wat402 in place by both Asp85 and 212 symmetrically from inboard and outboard is as important as the ultrafast shaking of the SB.  </w:t>
      </w:r>
      <w:r w:rsidRPr="00CE0805">
        <w:rPr>
          <w:rFonts w:ascii="Palatino Linotype" w:hAnsi="Palatino Linotype"/>
        </w:rPr>
        <w:t>This proton transfer uses the same mechanism of the tablecloth trick.</w:t>
      </w:r>
      <w:r>
        <w:rPr>
          <w:rFonts w:ascii="Palatino Linotype" w:hAnsi="Palatino Linotype"/>
        </w:rPr>
        <w:t xml:space="preserve">  The early deprotonation from the SB is a separate event from the protonation of Asp85 ten decades later at the formation of M state.  Vibrational signatures from the neutralization of the carboxylates previously observed do not imply SB deprotonation.  This light-driven reaction of a proton pump differs markedly from a thermal driven chemical equilibrium (Fig. 2c).</w:t>
      </w:r>
    </w:p>
    <w:p w14:paraId="216F25FB" w14:textId="77777777" w:rsidR="0039334C" w:rsidRDefault="0039334C" w:rsidP="0039334C">
      <w:pPr>
        <w:spacing w:line="276" w:lineRule="auto"/>
        <w:rPr>
          <w:rFonts w:ascii="Palatino Linotype" w:hAnsi="Palatino Linotype"/>
        </w:rPr>
      </w:pPr>
    </w:p>
    <w:p w14:paraId="4010C269" w14:textId="77777777" w:rsidR="0039334C" w:rsidRDefault="0039334C" w:rsidP="0039334C">
      <w:pPr>
        <w:spacing w:line="276" w:lineRule="auto"/>
        <w:rPr>
          <w:rFonts w:ascii="Palatino Linotype" w:hAnsi="Palatino Linotype"/>
        </w:rPr>
      </w:pPr>
      <w:r>
        <w:rPr>
          <w:rFonts w:ascii="Palatino Linotype" w:hAnsi="Palatino Linotype"/>
        </w:rPr>
        <w:t xml:space="preserve">Q2) Which molecular event, the isomerization, or another event, switches the accessibility of the SB from EC side to CP side and how does the SB avoid </w:t>
      </w:r>
      <w:proofErr w:type="spellStart"/>
      <w:r>
        <w:rPr>
          <w:rFonts w:ascii="Palatino Linotype" w:hAnsi="Palatino Linotype"/>
        </w:rPr>
        <w:t>reprotonation</w:t>
      </w:r>
      <w:proofErr w:type="spellEnd"/>
      <w:r>
        <w:rPr>
          <w:rFonts w:ascii="Palatino Linotype" w:hAnsi="Palatino Linotype"/>
        </w:rPr>
        <w:t xml:space="preserve"> on the wrong side?</w:t>
      </w:r>
    </w:p>
    <w:p w14:paraId="5DFF00C6" w14:textId="77777777" w:rsidR="0039334C" w:rsidRDefault="0039334C" w:rsidP="0039334C">
      <w:pPr>
        <w:spacing w:line="276" w:lineRule="auto"/>
        <w:rPr>
          <w:rFonts w:ascii="Palatino Linotype" w:hAnsi="Palatino Linotype"/>
        </w:rPr>
      </w:pPr>
    </w:p>
    <w:p w14:paraId="1ACD8279" w14:textId="77777777" w:rsidR="0039334C" w:rsidRPr="00883C4F" w:rsidRDefault="0039334C" w:rsidP="0039334C">
      <w:pPr>
        <w:spacing w:line="276" w:lineRule="auto"/>
        <w:rPr>
          <w:rFonts w:ascii="Palatino Linotype" w:hAnsi="Palatino Linotype"/>
        </w:rPr>
      </w:pPr>
      <w:r w:rsidRPr="00883C4F">
        <w:rPr>
          <w:rFonts w:ascii="Palatino Linotype" w:hAnsi="Palatino Linotype"/>
        </w:rPr>
        <w:t>A</w:t>
      </w:r>
      <w:r>
        <w:rPr>
          <w:rFonts w:ascii="Palatino Linotype" w:hAnsi="Palatino Linotype"/>
        </w:rPr>
        <w:t>2</w:t>
      </w:r>
      <w:r w:rsidRPr="00883C4F">
        <w:rPr>
          <w:rFonts w:ascii="Palatino Linotype" w:hAnsi="Palatino Linotype"/>
        </w:rPr>
        <w:t xml:space="preserve">) </w:t>
      </w:r>
      <w:r>
        <w:rPr>
          <w:rFonts w:ascii="Palatino Linotype" w:hAnsi="Palatino Linotype"/>
        </w:rPr>
        <w:t>Immediately before isomerization in the I state, the SB is reoriented toward the inboard while Wat402, a hydronium at this moment, is displaced to the outboard.  This geometry is very bad for proton exchange (Fig. S3).  Therefore, the accessibility of the SB is already limited even before isomerization.  However, a</w:t>
      </w:r>
      <w:r w:rsidRPr="00883C4F">
        <w:rPr>
          <w:rFonts w:ascii="Palatino Linotype" w:hAnsi="Palatino Linotype"/>
        </w:rPr>
        <w:t xml:space="preserve">ccessibility switch of the SB is </w:t>
      </w:r>
      <w:r>
        <w:rPr>
          <w:rFonts w:ascii="Palatino Linotype" w:hAnsi="Palatino Linotype"/>
        </w:rPr>
        <w:t xml:space="preserve">finally </w:t>
      </w:r>
      <w:r w:rsidRPr="00883C4F">
        <w:rPr>
          <w:rFonts w:ascii="Palatino Linotype" w:hAnsi="Palatino Linotype"/>
        </w:rPr>
        <w:t>accomplished by the photoisomerization</w:t>
      </w:r>
      <w:r>
        <w:rPr>
          <w:rFonts w:ascii="Palatino Linotype" w:hAnsi="Palatino Linotype"/>
        </w:rPr>
        <w:t xml:space="preserve"> during I </w:t>
      </w:r>
      <w:r w:rsidRPr="00D0328B">
        <w:rPr>
          <w:rFonts w:ascii="Palatino Linotype" w:hAnsi="Palatino Linotype"/>
        </w:rPr>
        <w:sym w:font="Wingdings" w:char="F0E0"/>
      </w:r>
      <w:r>
        <w:rPr>
          <w:rFonts w:ascii="Palatino Linotype" w:hAnsi="Palatino Linotype"/>
        </w:rPr>
        <w:t xml:space="preserve"> J’</w:t>
      </w:r>
      <w:r w:rsidRPr="00883C4F">
        <w:rPr>
          <w:rFonts w:ascii="Palatino Linotype" w:hAnsi="Palatino Linotype"/>
        </w:rPr>
        <w:t>.  The photoisomerization must be quick enough to prevent a chemical equilibrium</w:t>
      </w:r>
      <w:r>
        <w:rPr>
          <w:rFonts w:ascii="Palatino Linotype" w:hAnsi="Palatino Linotype"/>
        </w:rPr>
        <w:t xml:space="preserve"> in the EC half channel.</w:t>
      </w:r>
      <w:r w:rsidRPr="00883C4F">
        <w:rPr>
          <w:rFonts w:ascii="Palatino Linotype" w:hAnsi="Palatino Linotype"/>
        </w:rPr>
        <w:t xml:space="preserve">  If </w:t>
      </w:r>
      <w:r>
        <w:rPr>
          <w:rFonts w:ascii="Palatino Linotype" w:hAnsi="Palatino Linotype"/>
        </w:rPr>
        <w:t>the</w:t>
      </w:r>
      <w:r w:rsidRPr="00883C4F">
        <w:rPr>
          <w:rFonts w:ascii="Palatino Linotype" w:hAnsi="Palatino Linotype"/>
        </w:rPr>
        <w:t xml:space="preserve"> equilibrium is reached</w:t>
      </w:r>
      <w:r>
        <w:rPr>
          <w:rFonts w:ascii="Palatino Linotype" w:hAnsi="Palatino Linotype"/>
        </w:rPr>
        <w:t xml:space="preserve"> before isomerization</w:t>
      </w:r>
      <w:r w:rsidRPr="00883C4F">
        <w:rPr>
          <w:rFonts w:ascii="Palatino Linotype" w:hAnsi="Palatino Linotype"/>
        </w:rPr>
        <w:t xml:space="preserve">, the SB is </w:t>
      </w:r>
      <w:proofErr w:type="spellStart"/>
      <w:r w:rsidRPr="00883C4F">
        <w:rPr>
          <w:rFonts w:ascii="Palatino Linotype" w:hAnsi="Palatino Linotype"/>
        </w:rPr>
        <w:t>reprotonated</w:t>
      </w:r>
      <w:proofErr w:type="spellEnd"/>
      <w:r w:rsidRPr="00883C4F">
        <w:rPr>
          <w:rFonts w:ascii="Palatino Linotype" w:hAnsi="Palatino Linotype"/>
        </w:rPr>
        <w:t xml:space="preserve"> from the EC side</w:t>
      </w:r>
      <w:r>
        <w:rPr>
          <w:rFonts w:ascii="Palatino Linotype" w:hAnsi="Palatino Linotype"/>
        </w:rPr>
        <w:t>, and</w:t>
      </w:r>
      <w:r w:rsidRPr="00883C4F">
        <w:rPr>
          <w:rFonts w:ascii="Palatino Linotype" w:hAnsi="Palatino Linotype"/>
        </w:rPr>
        <w:t xml:space="preserve"> the quantum yield of the proton pump is sacrificed</w:t>
      </w:r>
      <w:r>
        <w:rPr>
          <w:rFonts w:ascii="Palatino Linotype" w:hAnsi="Palatino Linotype"/>
        </w:rPr>
        <w:t xml:space="preserve"> </w:t>
      </w:r>
      <w:r>
        <w:rPr>
          <w:rFonts w:ascii="Palatino Linotype" w:hAnsi="Palatino Linotype"/>
        </w:rPr>
        <w:fldChar w:fldCharType="begin"/>
      </w:r>
      <w:r>
        <w:rPr>
          <w:rFonts w:ascii="Palatino Linotype" w:hAnsi="Palatino Linotype"/>
        </w:rPr>
        <w:instrText xml:space="preserve"> ADDIN ZOTERO_ITEM CSL_CITATION {"citationID":"wzgAfyX7","properties":{"formattedCitation":"(Govindjee et al., 1990)","plainCitation":"(Govindjee et al., 1990)","noteIndex":0},"citationItems":[{"id":5798,"uris":["http://zotero.org/users/local/Med5doT8/items/5NMTQA74"],"uri":["http://zotero.org/users/local/Med5doT8/items/5NMTQA74"],"itemData":{"id":5798,"type":"article-journal","container-title":"Biophysical Journal","DOI":"10.1016/S0006-3495(90)82403-6","ISSN":"00063495","issue":"3","journalAbbreviation":"Biophysical Journal","language":"en","page":"597-608","source":"DOI.org (Crossref)","title":"Quantum efficiency of the photochemical cycle of bacteriorhodopsin","volume":"58","author":[{"family":"Govindjee","given":"R."},{"family":"Balashov","given":"S.P."},{"family":"Ebrey","given":"T.G."}],"issued":{"date-parts":[["1990",9]]}}}],"schema":"https://github.com/citation-style-language/schema/raw/master/csl-citation.json"} </w:instrText>
      </w:r>
      <w:r>
        <w:rPr>
          <w:rFonts w:ascii="Palatino Linotype" w:hAnsi="Palatino Linotype"/>
        </w:rPr>
        <w:fldChar w:fldCharType="separate"/>
      </w:r>
      <w:r>
        <w:rPr>
          <w:rFonts w:ascii="Palatino Linotype" w:hAnsi="Palatino Linotype"/>
          <w:noProof/>
        </w:rPr>
        <w:t>(Govindjee et al., 1990)</w:t>
      </w:r>
      <w:r>
        <w:rPr>
          <w:rFonts w:ascii="Palatino Linotype" w:hAnsi="Palatino Linotype"/>
        </w:rPr>
        <w:fldChar w:fldCharType="end"/>
      </w:r>
      <w:r w:rsidRPr="00883C4F">
        <w:rPr>
          <w:rFonts w:ascii="Palatino Linotype" w:hAnsi="Palatino Linotype"/>
        </w:rPr>
        <w:t>.</w:t>
      </w:r>
    </w:p>
    <w:p w14:paraId="59132DED" w14:textId="77777777" w:rsidR="0039334C" w:rsidRDefault="0039334C" w:rsidP="0039334C">
      <w:pPr>
        <w:spacing w:line="276" w:lineRule="auto"/>
        <w:rPr>
          <w:rFonts w:ascii="Palatino Linotype" w:hAnsi="Palatino Linotype"/>
        </w:rPr>
      </w:pPr>
    </w:p>
    <w:p w14:paraId="4FD5D25C" w14:textId="77777777" w:rsidR="0039334C" w:rsidRDefault="0039334C" w:rsidP="0039334C">
      <w:pPr>
        <w:spacing w:line="276" w:lineRule="auto"/>
        <w:rPr>
          <w:rFonts w:ascii="Palatino Linotype" w:hAnsi="Palatino Linotype"/>
        </w:rPr>
      </w:pPr>
      <w:r>
        <w:rPr>
          <w:rFonts w:ascii="Palatino Linotype" w:hAnsi="Palatino Linotype"/>
        </w:rPr>
        <w:t xml:space="preserve">Q3) How are protons conducted &gt; 15 Å through the rollercoasting </w:t>
      </w:r>
      <w:proofErr w:type="spellStart"/>
      <w:r>
        <w:rPr>
          <w:rFonts w:ascii="Palatino Linotype" w:hAnsi="Palatino Linotype"/>
        </w:rPr>
        <w:t>p</w:t>
      </w:r>
      <w:r w:rsidRPr="00A30A5D">
        <w:rPr>
          <w:rFonts w:ascii="Palatino Linotype" w:hAnsi="Palatino Linotype"/>
          <w:i/>
          <w:iCs/>
        </w:rPr>
        <w:t>K</w:t>
      </w:r>
      <w:r w:rsidRPr="00A30A5D">
        <w:rPr>
          <w:rFonts w:ascii="Palatino Linotype" w:hAnsi="Palatino Linotype"/>
          <w:vertAlign w:val="subscript"/>
        </w:rPr>
        <w:t>a</w:t>
      </w:r>
      <w:proofErr w:type="spellEnd"/>
      <w:r>
        <w:rPr>
          <w:rFonts w:ascii="Palatino Linotype" w:hAnsi="Palatino Linotype"/>
        </w:rPr>
        <w:t xml:space="preserve"> values and released into the EC medium from the SB of a high </w:t>
      </w:r>
      <w:proofErr w:type="spellStart"/>
      <w:r>
        <w:rPr>
          <w:rFonts w:ascii="Palatino Linotype" w:hAnsi="Palatino Linotype"/>
        </w:rPr>
        <w:t>p</w:t>
      </w:r>
      <w:r w:rsidRPr="00805793">
        <w:rPr>
          <w:rFonts w:ascii="Palatino Linotype" w:hAnsi="Palatino Linotype"/>
          <w:i/>
          <w:iCs/>
        </w:rPr>
        <w:t>K</w:t>
      </w:r>
      <w:r w:rsidRPr="00805793">
        <w:rPr>
          <w:rFonts w:ascii="Palatino Linotype" w:hAnsi="Palatino Linotype"/>
          <w:vertAlign w:val="subscript"/>
        </w:rPr>
        <w:t>a</w:t>
      </w:r>
      <w:proofErr w:type="spellEnd"/>
      <w:r>
        <w:rPr>
          <w:rFonts w:ascii="Palatino Linotype" w:hAnsi="Palatino Linotype"/>
        </w:rPr>
        <w:t xml:space="preserve"> through aspartic acids of low </w:t>
      </w:r>
      <w:proofErr w:type="spellStart"/>
      <w:r>
        <w:rPr>
          <w:rFonts w:ascii="Palatino Linotype" w:hAnsi="Palatino Linotype"/>
        </w:rPr>
        <w:t>p</w:t>
      </w:r>
      <w:r w:rsidRPr="00805793">
        <w:rPr>
          <w:rFonts w:ascii="Palatino Linotype" w:hAnsi="Palatino Linotype"/>
          <w:i/>
          <w:iCs/>
        </w:rPr>
        <w:t>K</w:t>
      </w:r>
      <w:r w:rsidRPr="00805793">
        <w:rPr>
          <w:rFonts w:ascii="Palatino Linotype" w:hAnsi="Palatino Linotype"/>
          <w:vertAlign w:val="subscript"/>
        </w:rPr>
        <w:t>a</w:t>
      </w:r>
      <w:proofErr w:type="spellEnd"/>
      <w:r>
        <w:rPr>
          <w:rFonts w:ascii="Palatino Linotype" w:hAnsi="Palatino Linotype"/>
        </w:rPr>
        <w:t xml:space="preserve">, arginine (strictly speaking, its guanidinium ion) and tyrosine of high </w:t>
      </w:r>
      <w:proofErr w:type="spellStart"/>
      <w:r>
        <w:rPr>
          <w:rFonts w:ascii="Palatino Linotype" w:hAnsi="Palatino Linotype"/>
        </w:rPr>
        <w:t>p</w:t>
      </w:r>
      <w:r w:rsidRPr="00805793">
        <w:rPr>
          <w:rFonts w:ascii="Palatino Linotype" w:hAnsi="Palatino Linotype"/>
          <w:i/>
          <w:iCs/>
        </w:rPr>
        <w:t>K</w:t>
      </w:r>
      <w:r w:rsidRPr="00805793">
        <w:rPr>
          <w:rFonts w:ascii="Palatino Linotype" w:hAnsi="Palatino Linotype"/>
          <w:vertAlign w:val="subscript"/>
        </w:rPr>
        <w:t>a</w:t>
      </w:r>
      <w:proofErr w:type="spellEnd"/>
      <w:r>
        <w:rPr>
          <w:rFonts w:ascii="Palatino Linotype" w:hAnsi="Palatino Linotype"/>
        </w:rPr>
        <w:t xml:space="preserve">, and glutamic acids of low </w:t>
      </w:r>
      <w:proofErr w:type="spellStart"/>
      <w:r>
        <w:rPr>
          <w:rFonts w:ascii="Palatino Linotype" w:hAnsi="Palatino Linotype"/>
        </w:rPr>
        <w:t>p</w:t>
      </w:r>
      <w:r w:rsidRPr="00805793">
        <w:rPr>
          <w:rFonts w:ascii="Palatino Linotype" w:hAnsi="Palatino Linotype"/>
          <w:i/>
          <w:iCs/>
        </w:rPr>
        <w:t>K</w:t>
      </w:r>
      <w:r w:rsidRPr="00805793">
        <w:rPr>
          <w:rFonts w:ascii="Palatino Linotype" w:hAnsi="Palatino Linotype"/>
          <w:vertAlign w:val="subscript"/>
        </w:rPr>
        <w:t>a</w:t>
      </w:r>
      <w:proofErr w:type="spellEnd"/>
      <w:r>
        <w:rPr>
          <w:rFonts w:ascii="Palatino Linotype" w:hAnsi="Palatino Linotype"/>
        </w:rPr>
        <w:t xml:space="preserve"> again?</w:t>
      </w:r>
    </w:p>
    <w:p w14:paraId="58F3F786" w14:textId="77777777" w:rsidR="0039334C" w:rsidRDefault="0039334C" w:rsidP="0039334C">
      <w:pPr>
        <w:spacing w:line="276" w:lineRule="auto"/>
        <w:rPr>
          <w:rFonts w:ascii="Palatino Linotype" w:hAnsi="Palatino Linotype"/>
        </w:rPr>
      </w:pPr>
    </w:p>
    <w:p w14:paraId="226BC34C" w14:textId="77777777" w:rsidR="0039334C" w:rsidRPr="00D5515F" w:rsidRDefault="0039334C" w:rsidP="0039334C">
      <w:pPr>
        <w:spacing w:line="276" w:lineRule="auto"/>
        <w:rPr>
          <w:rFonts w:ascii="Palatino Linotype" w:hAnsi="Palatino Linotype"/>
        </w:rPr>
      </w:pPr>
      <w:r w:rsidRPr="00D5515F">
        <w:rPr>
          <w:rFonts w:ascii="Palatino Linotype" w:hAnsi="Palatino Linotype"/>
        </w:rPr>
        <w:t>A</w:t>
      </w:r>
      <w:r>
        <w:rPr>
          <w:rFonts w:ascii="Palatino Linotype" w:hAnsi="Palatino Linotype"/>
        </w:rPr>
        <w:t>3</w:t>
      </w:r>
      <w:r w:rsidRPr="00D5515F">
        <w:rPr>
          <w:rFonts w:ascii="Palatino Linotype" w:hAnsi="Palatino Linotype"/>
        </w:rPr>
        <w:t xml:space="preserve">) The EC half channel is obviously not lined with residues of </w:t>
      </w:r>
      <w:proofErr w:type="spellStart"/>
      <w:r w:rsidRPr="00D5515F">
        <w:rPr>
          <w:rFonts w:ascii="Palatino Linotype" w:hAnsi="Palatino Linotype"/>
        </w:rPr>
        <w:t>p</w:t>
      </w:r>
      <w:r w:rsidRPr="00D5515F">
        <w:rPr>
          <w:rFonts w:ascii="Palatino Linotype" w:hAnsi="Palatino Linotype"/>
          <w:i/>
          <w:iCs/>
        </w:rPr>
        <w:t>K</w:t>
      </w:r>
      <w:r w:rsidRPr="00D5515F">
        <w:rPr>
          <w:rFonts w:ascii="Palatino Linotype" w:hAnsi="Palatino Linotype"/>
          <w:vertAlign w:val="subscript"/>
        </w:rPr>
        <w:t>a</w:t>
      </w:r>
      <w:proofErr w:type="spellEnd"/>
      <w:r w:rsidRPr="00D5515F">
        <w:rPr>
          <w:rFonts w:ascii="Palatino Linotype" w:hAnsi="Palatino Linotype"/>
        </w:rPr>
        <w:t xml:space="preserve"> values in a monotonic order</w:t>
      </w:r>
      <w:r>
        <w:rPr>
          <w:rFonts w:ascii="Palatino Linotype" w:hAnsi="Palatino Linotype"/>
        </w:rPr>
        <w:t xml:space="preserve"> (Figs. 5 and S1)</w:t>
      </w:r>
      <w:r w:rsidRPr="00D5515F">
        <w:rPr>
          <w:rFonts w:ascii="Palatino Linotype" w:hAnsi="Palatino Linotype"/>
        </w:rPr>
        <w:t xml:space="preserve">.  </w:t>
      </w:r>
      <w:r>
        <w:rPr>
          <w:rFonts w:ascii="Palatino Linotype" w:hAnsi="Palatino Linotype"/>
        </w:rPr>
        <w:t xml:space="preserve">Despite numerous observations of </w:t>
      </w:r>
      <w:proofErr w:type="spellStart"/>
      <w:r w:rsidRPr="00D5515F">
        <w:rPr>
          <w:rFonts w:ascii="Palatino Linotype" w:hAnsi="Palatino Linotype"/>
        </w:rPr>
        <w:t>p</w:t>
      </w:r>
      <w:r w:rsidRPr="00D5515F">
        <w:rPr>
          <w:rFonts w:ascii="Palatino Linotype" w:hAnsi="Palatino Linotype"/>
          <w:i/>
          <w:iCs/>
        </w:rPr>
        <w:t>K</w:t>
      </w:r>
      <w:r w:rsidRPr="00D5515F">
        <w:rPr>
          <w:rFonts w:ascii="Palatino Linotype" w:hAnsi="Palatino Linotype"/>
          <w:vertAlign w:val="subscript"/>
        </w:rPr>
        <w:t>a</w:t>
      </w:r>
      <w:proofErr w:type="spellEnd"/>
      <w:r w:rsidRPr="00D5515F">
        <w:rPr>
          <w:rFonts w:ascii="Palatino Linotype" w:hAnsi="Palatino Linotype"/>
        </w:rPr>
        <w:t xml:space="preserve"> </w:t>
      </w:r>
      <w:r>
        <w:rPr>
          <w:rFonts w:ascii="Palatino Linotype" w:hAnsi="Palatino Linotype"/>
        </w:rPr>
        <w:t xml:space="preserve">changes, no sufficient evidence supports photoinduced changes to form an ascending order of </w:t>
      </w:r>
      <w:proofErr w:type="spellStart"/>
      <w:r w:rsidRPr="00D5515F">
        <w:rPr>
          <w:rFonts w:ascii="Palatino Linotype" w:hAnsi="Palatino Linotype"/>
        </w:rPr>
        <w:t>p</w:t>
      </w:r>
      <w:r w:rsidRPr="00D5515F">
        <w:rPr>
          <w:rFonts w:ascii="Palatino Linotype" w:hAnsi="Palatino Linotype"/>
          <w:i/>
          <w:iCs/>
        </w:rPr>
        <w:t>K</w:t>
      </w:r>
      <w:r w:rsidRPr="00D5515F">
        <w:rPr>
          <w:rFonts w:ascii="Palatino Linotype" w:hAnsi="Palatino Linotype"/>
          <w:vertAlign w:val="subscript"/>
        </w:rPr>
        <w:t>a</w:t>
      </w:r>
      <w:proofErr w:type="spellEnd"/>
      <w:r w:rsidRPr="00D5515F">
        <w:rPr>
          <w:rFonts w:ascii="Palatino Linotype" w:hAnsi="Palatino Linotype"/>
        </w:rPr>
        <w:t xml:space="preserve"> values</w:t>
      </w:r>
      <w:r>
        <w:rPr>
          <w:rFonts w:ascii="Palatino Linotype" w:hAnsi="Palatino Linotype"/>
        </w:rPr>
        <w:t xml:space="preserve"> either.  Proton is therefore not conducted along an ascending order of </w:t>
      </w:r>
      <w:proofErr w:type="spellStart"/>
      <w:r w:rsidRPr="00D5515F">
        <w:rPr>
          <w:rFonts w:ascii="Palatino Linotype" w:hAnsi="Palatino Linotype"/>
        </w:rPr>
        <w:t>p</w:t>
      </w:r>
      <w:r w:rsidRPr="00D5515F">
        <w:rPr>
          <w:rFonts w:ascii="Palatino Linotype" w:hAnsi="Palatino Linotype"/>
          <w:i/>
          <w:iCs/>
        </w:rPr>
        <w:t>K</w:t>
      </w:r>
      <w:r w:rsidRPr="00D5515F">
        <w:rPr>
          <w:rFonts w:ascii="Palatino Linotype" w:hAnsi="Palatino Linotype"/>
          <w:vertAlign w:val="subscript"/>
        </w:rPr>
        <w:t>a</w:t>
      </w:r>
      <w:proofErr w:type="spellEnd"/>
      <w:r w:rsidRPr="00D5515F">
        <w:rPr>
          <w:rFonts w:ascii="Palatino Linotype" w:hAnsi="Palatino Linotype"/>
        </w:rPr>
        <w:t xml:space="preserve"> values</w:t>
      </w:r>
      <w:r>
        <w:rPr>
          <w:rFonts w:ascii="Palatino Linotype" w:hAnsi="Palatino Linotype"/>
        </w:rPr>
        <w:t xml:space="preserve"> driven by the proton affinity </w:t>
      </w:r>
      <w:r>
        <w:rPr>
          <w:rFonts w:ascii="Palatino Linotype" w:hAnsi="Palatino Linotype"/>
        </w:rPr>
        <w:fldChar w:fldCharType="begin"/>
      </w:r>
      <w:r>
        <w:rPr>
          <w:rFonts w:ascii="Palatino Linotype" w:hAnsi="Palatino Linotype"/>
        </w:rPr>
        <w:instrText xml:space="preserve"> ADDIN ZOTERO_ITEM CSL_CITATION {"citationID":"CNmtyGnK","properties":{"formattedCitation":"(Stoeckenius, 1999; Stoeckenius et al., 1979)","plainCitation":"(Stoeckenius, 1999; Stoeckenius et al., 1979)","noteIndex":0},"citationItems":[{"id":5966,"uris":["http://zotero.org/users/local/Med5doT8/items/XZGXLLBV"],"uri":["http://zotero.org/users/local/Med5doT8/items/XZGXLLBV"],"itemData":{"id":5966,"type":"article-journal","container-title":"Protein Science","page":"447-459","title":"Bacterial rhodopsins: Evolution of a mechanistic model for the ion pumps","volume":"8","author":[{"family":"Stoeckenius","given":"Walther"}],"issued":{"date-parts":[["1999"]]}}},{"id":1787,"uris":["http://zotero.org/users/local/Med5doT8/items/3DC3V5U7"],"uri":["http://zotero.org/users/local/Med5doT8/items/3DC3V5U7"],"itemData":{"id":1787,"type":"article-journal","container-title":"Biochimica et Biophysica Acta (BBA) - Reviews on Bioenergetics","DOI":"10.1016/0304-4173(79)90006-5","ISSN":"03044173","issue":"3-4","page":"215-278","source":"CrossRef","title":"Bacteriorhodopsin and the purple membrane of halobacteria","volume":"505","author":[{"family":"Stoeckenius","given":"Walther"},{"family":"Lozier","given":"Richard H."},{"family":"Bogomolni","given":"Roberto A."}],"issued":{"date-parts":[["1979",3]]}}}],"schema":"https://github.com/citation-style-language/schema/raw/master/csl-citation.json"} </w:instrText>
      </w:r>
      <w:r>
        <w:rPr>
          <w:rFonts w:ascii="Palatino Linotype" w:hAnsi="Palatino Linotype"/>
        </w:rPr>
        <w:fldChar w:fldCharType="separate"/>
      </w:r>
      <w:r>
        <w:rPr>
          <w:rFonts w:ascii="Palatino Linotype" w:hAnsi="Palatino Linotype"/>
          <w:noProof/>
        </w:rPr>
        <w:t>(Stoeckenius, 1999; Stoeckenius et al., 1979)</w:t>
      </w:r>
      <w:r>
        <w:rPr>
          <w:rFonts w:ascii="Palatino Linotype" w:hAnsi="Palatino Linotype"/>
        </w:rPr>
        <w:fldChar w:fldCharType="end"/>
      </w:r>
      <w:r>
        <w:rPr>
          <w:rFonts w:ascii="Palatino Linotype" w:hAnsi="Palatino Linotype"/>
        </w:rPr>
        <w:t xml:space="preserve">.  Instead, proton conductance is driven by concentration gradient, not by affinity gradient.  </w:t>
      </w:r>
      <w:r w:rsidRPr="00D5515F">
        <w:rPr>
          <w:rFonts w:ascii="Palatino Linotype" w:hAnsi="Palatino Linotype"/>
        </w:rPr>
        <w:t xml:space="preserve">The </w:t>
      </w:r>
      <w:r>
        <w:rPr>
          <w:rFonts w:ascii="Palatino Linotype" w:hAnsi="Palatino Linotype"/>
        </w:rPr>
        <w:t>guanidinium ion</w:t>
      </w:r>
      <w:r w:rsidRPr="00D5515F">
        <w:rPr>
          <w:rFonts w:ascii="Palatino Linotype" w:hAnsi="Palatino Linotype"/>
        </w:rPr>
        <w:t xml:space="preserve"> </w:t>
      </w:r>
      <w:r>
        <w:rPr>
          <w:rFonts w:ascii="Palatino Linotype" w:hAnsi="Palatino Linotype"/>
        </w:rPr>
        <w:t xml:space="preserve">of the </w:t>
      </w:r>
      <w:r w:rsidRPr="00D5515F">
        <w:rPr>
          <w:rFonts w:ascii="Palatino Linotype" w:hAnsi="Palatino Linotype"/>
        </w:rPr>
        <w:t xml:space="preserve">arginine and </w:t>
      </w:r>
      <w:proofErr w:type="spellStart"/>
      <w:r w:rsidRPr="00D5515F">
        <w:rPr>
          <w:rFonts w:ascii="Palatino Linotype" w:hAnsi="Palatino Linotype"/>
        </w:rPr>
        <w:t>tyrosine</w:t>
      </w:r>
      <w:r>
        <w:rPr>
          <w:rFonts w:ascii="Palatino Linotype" w:hAnsi="Palatino Linotype"/>
        </w:rPr>
        <w:t>s</w:t>
      </w:r>
      <w:proofErr w:type="spellEnd"/>
      <w:r w:rsidRPr="00D5515F">
        <w:rPr>
          <w:rFonts w:ascii="Palatino Linotype" w:hAnsi="Palatino Linotype"/>
        </w:rPr>
        <w:t xml:space="preserve"> of high </w:t>
      </w:r>
      <w:proofErr w:type="spellStart"/>
      <w:r w:rsidRPr="00D5515F">
        <w:rPr>
          <w:rFonts w:ascii="Palatino Linotype" w:hAnsi="Palatino Linotype"/>
        </w:rPr>
        <w:t>p</w:t>
      </w:r>
      <w:r w:rsidRPr="00D5515F">
        <w:rPr>
          <w:rFonts w:ascii="Palatino Linotype" w:hAnsi="Palatino Linotype"/>
          <w:i/>
          <w:iCs/>
        </w:rPr>
        <w:t>K</w:t>
      </w:r>
      <w:r w:rsidRPr="00D5515F">
        <w:rPr>
          <w:rFonts w:ascii="Palatino Linotype" w:hAnsi="Palatino Linotype"/>
          <w:vertAlign w:val="subscript"/>
        </w:rPr>
        <w:t>a</w:t>
      </w:r>
      <w:proofErr w:type="spellEnd"/>
      <w:r>
        <w:rPr>
          <w:rFonts w:ascii="Palatino Linotype" w:hAnsi="Palatino Linotype"/>
        </w:rPr>
        <w:t>, together with several main chain carbonyls, are</w:t>
      </w:r>
      <w:r w:rsidRPr="00D5515F">
        <w:rPr>
          <w:rFonts w:ascii="Palatino Linotype" w:hAnsi="Palatino Linotype"/>
        </w:rPr>
        <w:t xml:space="preserve"> arranged to function as a proton levee so that protons could only </w:t>
      </w:r>
      <w:r>
        <w:rPr>
          <w:rFonts w:ascii="Palatino Linotype" w:hAnsi="Palatino Linotype"/>
        </w:rPr>
        <w:t>over</w:t>
      </w:r>
      <w:r w:rsidRPr="00D5515F">
        <w:rPr>
          <w:rFonts w:ascii="Palatino Linotype" w:hAnsi="Palatino Linotype"/>
        </w:rPr>
        <w:t>flow outward from a super</w:t>
      </w:r>
      <w:r>
        <w:rPr>
          <w:rFonts w:ascii="Palatino Linotype" w:hAnsi="Palatino Linotype"/>
        </w:rPr>
        <w:t>-</w:t>
      </w:r>
      <w:r w:rsidRPr="00D5515F">
        <w:rPr>
          <w:rFonts w:ascii="Palatino Linotype" w:hAnsi="Palatino Linotype"/>
        </w:rPr>
        <w:t xml:space="preserve">acidic inner EC channel established after several successful cycles of proton pumping.  </w:t>
      </w:r>
      <w:r>
        <w:rPr>
          <w:rFonts w:ascii="Palatino Linotype" w:hAnsi="Palatino Linotype"/>
        </w:rPr>
        <w:t xml:space="preserve">No proton is released during the first a few cycles of productive pumping until a sufficient proton gradient is established.  Under a super-acidic condition in the inner EC channel, the guanidinium group of Arg82 is protonated for a second time to form a divalent cation.  While it swings outward, the extra proton is discharged to Glu194, 204, and a water cluster in the outer EC channel, the proton </w:t>
      </w:r>
      <w:r>
        <w:rPr>
          <w:rFonts w:ascii="Palatino Linotype" w:hAnsi="Palatino Linotype"/>
        </w:rPr>
        <w:lastRenderedPageBreak/>
        <w:t xml:space="preserve">release complex.  </w:t>
      </w:r>
      <w:r w:rsidRPr="00D5515F">
        <w:rPr>
          <w:rFonts w:ascii="Palatino Linotype" w:hAnsi="Palatino Linotype"/>
        </w:rPr>
        <w:t xml:space="preserve">Protons could never flow backward into the cell </w:t>
      </w:r>
      <w:proofErr w:type="gramStart"/>
      <w:r w:rsidRPr="00D5515F">
        <w:rPr>
          <w:rFonts w:ascii="Palatino Linotype" w:hAnsi="Palatino Linotype"/>
        </w:rPr>
        <w:t>as long as</w:t>
      </w:r>
      <w:proofErr w:type="gramEnd"/>
      <w:r w:rsidRPr="00D5515F">
        <w:rPr>
          <w:rFonts w:ascii="Palatino Linotype" w:hAnsi="Palatino Linotype"/>
        </w:rPr>
        <w:t xml:space="preserve"> sufficient water is available in the EC medi</w:t>
      </w:r>
      <w:r>
        <w:rPr>
          <w:rFonts w:ascii="Palatino Linotype" w:hAnsi="Palatino Linotype"/>
        </w:rPr>
        <w:t>um</w:t>
      </w:r>
      <w:r w:rsidRPr="00D5515F">
        <w:rPr>
          <w:rFonts w:ascii="Palatino Linotype" w:hAnsi="Palatino Linotype"/>
        </w:rPr>
        <w:t>.</w:t>
      </w:r>
      <w:r>
        <w:rPr>
          <w:rFonts w:ascii="Palatino Linotype" w:hAnsi="Palatino Linotype"/>
        </w:rPr>
        <w:t xml:space="preserve">  The rollercoasting </w:t>
      </w:r>
      <w:proofErr w:type="spellStart"/>
      <w:r>
        <w:rPr>
          <w:rFonts w:ascii="Palatino Linotype" w:hAnsi="Palatino Linotype"/>
        </w:rPr>
        <w:t>p</w:t>
      </w:r>
      <w:r w:rsidRPr="00A30A5D">
        <w:rPr>
          <w:rFonts w:ascii="Palatino Linotype" w:hAnsi="Palatino Linotype"/>
          <w:i/>
          <w:iCs/>
        </w:rPr>
        <w:t>K</w:t>
      </w:r>
      <w:r w:rsidRPr="00A30A5D">
        <w:rPr>
          <w:rFonts w:ascii="Palatino Linotype" w:hAnsi="Palatino Linotype"/>
          <w:vertAlign w:val="subscript"/>
        </w:rPr>
        <w:t>a</w:t>
      </w:r>
      <w:proofErr w:type="spellEnd"/>
      <w:r>
        <w:rPr>
          <w:rFonts w:ascii="Palatino Linotype" w:hAnsi="Palatino Linotype"/>
        </w:rPr>
        <w:t xml:space="preserve"> values ensure the concentration-driven outward conductance of protons and prevent the concentration-driven inward conductance during dark, that is, a unidirectional valve.</w:t>
      </w:r>
    </w:p>
    <w:p w14:paraId="1B2FF881" w14:textId="77777777" w:rsidR="0039334C" w:rsidRDefault="0039334C" w:rsidP="0039334C">
      <w:pPr>
        <w:spacing w:line="276" w:lineRule="auto"/>
        <w:rPr>
          <w:rFonts w:ascii="Palatino Linotype" w:hAnsi="Palatino Linotype"/>
        </w:rPr>
      </w:pPr>
    </w:p>
    <w:p w14:paraId="1A5D21B1" w14:textId="77777777" w:rsidR="0039334C" w:rsidRDefault="0039334C" w:rsidP="0039334C">
      <w:pPr>
        <w:spacing w:line="276" w:lineRule="auto"/>
        <w:rPr>
          <w:rFonts w:ascii="Palatino Linotype" w:hAnsi="Palatino Linotype"/>
        </w:rPr>
      </w:pPr>
      <w:r>
        <w:rPr>
          <w:rFonts w:ascii="Palatino Linotype" w:hAnsi="Palatino Linotype"/>
        </w:rPr>
        <w:t>Q4) How is a gradient-driven proton leak prevented in the resting state and during the pumping motions?</w:t>
      </w:r>
    </w:p>
    <w:p w14:paraId="01E238F4" w14:textId="77777777" w:rsidR="0039334C" w:rsidRDefault="0039334C" w:rsidP="0039334C">
      <w:pPr>
        <w:spacing w:line="276" w:lineRule="auto"/>
        <w:rPr>
          <w:rFonts w:ascii="Palatino Linotype" w:hAnsi="Palatino Linotype"/>
        </w:rPr>
      </w:pPr>
    </w:p>
    <w:p w14:paraId="5EAF9E36" w14:textId="77777777" w:rsidR="0039334C" w:rsidRPr="002E345B" w:rsidRDefault="0039334C" w:rsidP="0039334C">
      <w:pPr>
        <w:spacing w:line="276" w:lineRule="auto"/>
        <w:rPr>
          <w:rFonts w:ascii="Palatino Linotype" w:hAnsi="Palatino Linotype"/>
        </w:rPr>
      </w:pPr>
      <w:r w:rsidRPr="002E345B">
        <w:rPr>
          <w:rFonts w:ascii="Palatino Linotype" w:hAnsi="Palatino Linotype"/>
        </w:rPr>
        <w:t>A</w:t>
      </w:r>
      <w:r>
        <w:rPr>
          <w:rFonts w:ascii="Palatino Linotype" w:hAnsi="Palatino Linotype"/>
        </w:rPr>
        <w:t>4</w:t>
      </w:r>
      <w:r w:rsidRPr="002E345B">
        <w:rPr>
          <w:rFonts w:ascii="Palatino Linotype" w:hAnsi="Palatino Linotype"/>
        </w:rPr>
        <w:t xml:space="preserve">) </w:t>
      </w:r>
      <w:r>
        <w:rPr>
          <w:rFonts w:ascii="Palatino Linotype" w:hAnsi="Palatino Linotype"/>
        </w:rPr>
        <w:t xml:space="preserve">A potential proton leak back into the cell during dark is prevented by the exact mechanism that conducts proton outward (A3).  However, the chance of proton leak increases dramatically during the molecular motions of proton pumping because the inner EC channel becomes super acidic and the retinal and its surrounding are in constant motions.  </w:t>
      </w:r>
      <w:r w:rsidRPr="002E345B">
        <w:rPr>
          <w:rFonts w:ascii="Palatino Linotype" w:hAnsi="Palatino Linotype"/>
        </w:rPr>
        <w:t xml:space="preserve">Lys216 forms a corner at </w:t>
      </w:r>
      <w:proofErr w:type="spellStart"/>
      <w:r w:rsidRPr="002E345B">
        <w:rPr>
          <w:rFonts w:ascii="Palatino Linotype" w:hAnsi="Palatino Linotype"/>
        </w:rPr>
        <w:t>C</w:t>
      </w:r>
      <w:r w:rsidRPr="002E345B">
        <w:rPr>
          <w:rFonts w:ascii="Palatino Linotype" w:hAnsi="Palatino Linotype"/>
          <w:vertAlign w:val="subscript"/>
        </w:rPr>
        <w:t>ε</w:t>
      </w:r>
      <w:proofErr w:type="spellEnd"/>
      <w:r w:rsidRPr="002E345B">
        <w:rPr>
          <w:rFonts w:ascii="Palatino Linotype" w:hAnsi="Palatino Linotype"/>
        </w:rPr>
        <w:t xml:space="preserve"> that protrudes inboard and makes a </w:t>
      </w:r>
      <w:r>
        <w:rPr>
          <w:rFonts w:ascii="Palatino Linotype" w:hAnsi="Palatino Linotype"/>
        </w:rPr>
        <w:t xml:space="preserve">van der Waals </w:t>
      </w:r>
      <w:r w:rsidRPr="002E345B">
        <w:rPr>
          <w:rFonts w:ascii="Palatino Linotype" w:hAnsi="Palatino Linotype"/>
        </w:rPr>
        <w:t>contact with Thr89 in helix C</w:t>
      </w:r>
      <w:r>
        <w:rPr>
          <w:rFonts w:ascii="Palatino Linotype" w:hAnsi="Palatino Linotype"/>
        </w:rPr>
        <w:t xml:space="preserve"> (Figs. 2b and S10a)</w:t>
      </w:r>
      <w:r w:rsidRPr="002E345B">
        <w:rPr>
          <w:rFonts w:ascii="Palatino Linotype" w:hAnsi="Palatino Linotype"/>
        </w:rPr>
        <w:t xml:space="preserve">.  Pressed by the corner at </w:t>
      </w:r>
      <w:proofErr w:type="spellStart"/>
      <w:r w:rsidRPr="002E345B">
        <w:rPr>
          <w:rFonts w:ascii="Palatino Linotype" w:hAnsi="Palatino Linotype"/>
        </w:rPr>
        <w:t>C</w:t>
      </w:r>
      <w:r w:rsidRPr="002E345B">
        <w:rPr>
          <w:rFonts w:ascii="Palatino Linotype" w:hAnsi="Palatino Linotype"/>
          <w:vertAlign w:val="subscript"/>
        </w:rPr>
        <w:t>ε</w:t>
      </w:r>
      <w:proofErr w:type="spellEnd"/>
      <w:r w:rsidRPr="002E345B">
        <w:rPr>
          <w:rFonts w:ascii="Palatino Linotype" w:hAnsi="Palatino Linotype"/>
        </w:rPr>
        <w:t xml:space="preserve">, helix C is kinked and bends away.  This contact is a seal between two half channels.  This seal </w:t>
      </w:r>
      <w:r>
        <w:rPr>
          <w:rFonts w:ascii="Palatino Linotype" w:hAnsi="Palatino Linotype"/>
        </w:rPr>
        <w:t>could be</w:t>
      </w:r>
      <w:r w:rsidRPr="002E345B">
        <w:rPr>
          <w:rFonts w:ascii="Palatino Linotype" w:hAnsi="Palatino Linotype"/>
        </w:rPr>
        <w:t xml:space="preserve"> broken briefly in I’ </w:t>
      </w:r>
      <w:r>
        <w:rPr>
          <w:rFonts w:ascii="Palatino Linotype" w:hAnsi="Palatino Linotype"/>
        </w:rPr>
        <w:t xml:space="preserve">state </w:t>
      </w:r>
      <w:r w:rsidRPr="002E345B">
        <w:rPr>
          <w:rFonts w:ascii="Palatino Linotype" w:hAnsi="Palatino Linotype"/>
        </w:rPr>
        <w:t xml:space="preserve">but inconsequential.  </w:t>
      </w:r>
      <w:proofErr w:type="spellStart"/>
      <w:r w:rsidRPr="002E345B">
        <w:rPr>
          <w:rFonts w:ascii="Palatino Linotype" w:hAnsi="Palatino Linotype"/>
        </w:rPr>
        <w:t>C</w:t>
      </w:r>
      <w:r w:rsidRPr="002E345B">
        <w:rPr>
          <w:rFonts w:ascii="Palatino Linotype" w:hAnsi="Palatino Linotype"/>
          <w:vertAlign w:val="subscript"/>
        </w:rPr>
        <w:t>δ</w:t>
      </w:r>
      <w:r w:rsidRPr="002E345B">
        <w:rPr>
          <w:rFonts w:ascii="Palatino Linotype" w:hAnsi="Palatino Linotype"/>
        </w:rPr>
        <w:t>-C</w:t>
      </w:r>
      <w:r w:rsidRPr="002E345B">
        <w:rPr>
          <w:rFonts w:ascii="Palatino Linotype" w:hAnsi="Palatino Linotype"/>
          <w:vertAlign w:val="subscript"/>
        </w:rPr>
        <w:t>ε</w:t>
      </w:r>
      <w:proofErr w:type="spellEnd"/>
      <w:r w:rsidRPr="002E345B">
        <w:rPr>
          <w:rFonts w:ascii="Palatino Linotype" w:hAnsi="Palatino Linotype"/>
        </w:rPr>
        <w:t xml:space="preserve"> moves outboard in L </w:t>
      </w:r>
      <w:r>
        <w:rPr>
          <w:rFonts w:ascii="Palatino Linotype" w:hAnsi="Palatino Linotype"/>
        </w:rPr>
        <w:t xml:space="preserve">state </w:t>
      </w:r>
      <w:r w:rsidRPr="002E345B">
        <w:rPr>
          <w:rFonts w:ascii="Palatino Linotype" w:hAnsi="Palatino Linotype"/>
        </w:rPr>
        <w:t>once again due to a flattened 13-</w:t>
      </w:r>
      <w:r w:rsidRPr="00AA0AAC">
        <w:rPr>
          <w:rFonts w:ascii="Palatino Linotype" w:hAnsi="Palatino Linotype"/>
          <w:i/>
          <w:iCs/>
        </w:rPr>
        <w:t>cis</w:t>
      </w:r>
      <w:r w:rsidRPr="002E345B">
        <w:rPr>
          <w:rFonts w:ascii="Palatino Linotype" w:hAnsi="Palatino Linotype"/>
        </w:rPr>
        <w:t xml:space="preserve"> retinal</w:t>
      </w:r>
      <w:r>
        <w:rPr>
          <w:rFonts w:ascii="Palatino Linotype" w:hAnsi="Palatino Linotype"/>
        </w:rPr>
        <w:t xml:space="preserve"> (Figs. 2b and S10a)</w:t>
      </w:r>
      <w:r w:rsidRPr="002E345B">
        <w:rPr>
          <w:rFonts w:ascii="Palatino Linotype" w:hAnsi="Palatino Linotype"/>
        </w:rPr>
        <w:t xml:space="preserve">.  But this motion is slow enough to allow </w:t>
      </w:r>
      <w:r>
        <w:rPr>
          <w:rFonts w:ascii="Palatino Linotype" w:hAnsi="Palatino Linotype"/>
        </w:rPr>
        <w:t xml:space="preserve">the spring-loaded </w:t>
      </w:r>
      <w:r w:rsidRPr="002E345B">
        <w:rPr>
          <w:rFonts w:ascii="Palatino Linotype" w:hAnsi="Palatino Linotype"/>
        </w:rPr>
        <w:t xml:space="preserve">helix C to react.  Helix C straightens and maintains the contact between the chromophore and Thr89 to prevent a </w:t>
      </w:r>
      <w:r>
        <w:rPr>
          <w:rFonts w:ascii="Palatino Linotype" w:hAnsi="Palatino Linotype"/>
        </w:rPr>
        <w:t>concentration-</w:t>
      </w:r>
      <w:r w:rsidRPr="002E345B">
        <w:rPr>
          <w:rFonts w:ascii="Palatino Linotype" w:hAnsi="Palatino Linotype"/>
        </w:rPr>
        <w:t xml:space="preserve">gradient-driven proton leak </w:t>
      </w:r>
      <w:r>
        <w:rPr>
          <w:rFonts w:ascii="Palatino Linotype" w:hAnsi="Palatino Linotype"/>
        </w:rPr>
        <w:t xml:space="preserve">back </w:t>
      </w:r>
      <w:r w:rsidRPr="002E345B">
        <w:rPr>
          <w:rFonts w:ascii="Palatino Linotype" w:hAnsi="Palatino Linotype"/>
        </w:rPr>
        <w:t>into the CP</w:t>
      </w:r>
      <w:r>
        <w:rPr>
          <w:rFonts w:ascii="Palatino Linotype" w:hAnsi="Palatino Linotype"/>
        </w:rPr>
        <w:t xml:space="preserve"> (Figs. 3f and 4c)</w:t>
      </w:r>
      <w:r w:rsidRPr="002E345B">
        <w:rPr>
          <w:rFonts w:ascii="Palatino Linotype" w:hAnsi="Palatino Linotype"/>
        </w:rPr>
        <w:t>.</w:t>
      </w:r>
      <w:r>
        <w:rPr>
          <w:rFonts w:ascii="Palatino Linotype" w:hAnsi="Palatino Linotype"/>
        </w:rPr>
        <w:t xml:space="preserve">  During the M states, </w:t>
      </w:r>
      <w:r w:rsidRPr="002E345B">
        <w:rPr>
          <w:rFonts w:ascii="Palatino Linotype" w:hAnsi="Palatino Linotype"/>
        </w:rPr>
        <w:t xml:space="preserve">the corner at </w:t>
      </w:r>
      <w:proofErr w:type="spellStart"/>
      <w:r w:rsidRPr="002E345B">
        <w:rPr>
          <w:rFonts w:ascii="Palatino Linotype" w:hAnsi="Palatino Linotype"/>
        </w:rPr>
        <w:t>C</w:t>
      </w:r>
      <w:r w:rsidRPr="002E345B">
        <w:rPr>
          <w:rFonts w:ascii="Palatino Linotype" w:hAnsi="Palatino Linotype"/>
          <w:vertAlign w:val="subscript"/>
        </w:rPr>
        <w:t>ε</w:t>
      </w:r>
      <w:proofErr w:type="spellEnd"/>
      <w:r>
        <w:rPr>
          <w:rFonts w:ascii="Palatino Linotype" w:hAnsi="Palatino Linotype"/>
        </w:rPr>
        <w:t xml:space="preserve"> is reestablished.  It pushes </w:t>
      </w:r>
      <w:r w:rsidRPr="002E345B">
        <w:rPr>
          <w:rFonts w:ascii="Palatino Linotype" w:hAnsi="Palatino Linotype"/>
        </w:rPr>
        <w:t xml:space="preserve">Thr89 </w:t>
      </w:r>
      <w:r>
        <w:rPr>
          <w:rFonts w:ascii="Palatino Linotype" w:hAnsi="Palatino Linotype"/>
        </w:rPr>
        <w:t>and helix C to restore its kink.</w:t>
      </w:r>
    </w:p>
    <w:p w14:paraId="125578F4" w14:textId="77777777" w:rsidR="0039334C" w:rsidRDefault="0039334C" w:rsidP="0039334C">
      <w:pPr>
        <w:spacing w:line="276" w:lineRule="auto"/>
        <w:rPr>
          <w:rFonts w:ascii="Palatino Linotype" w:hAnsi="Palatino Linotype"/>
        </w:rPr>
      </w:pPr>
    </w:p>
    <w:p w14:paraId="740DF25E" w14:textId="77777777" w:rsidR="0039334C" w:rsidRPr="00D83F6A" w:rsidRDefault="0039334C" w:rsidP="0039334C">
      <w:pPr>
        <w:keepNext/>
        <w:spacing w:line="276" w:lineRule="auto"/>
        <w:rPr>
          <w:rFonts w:ascii="Palatino Linotype" w:hAnsi="Palatino Linotype"/>
          <w:b/>
          <w:bCs/>
        </w:rPr>
      </w:pPr>
      <w:r w:rsidRPr="00D83F6A">
        <w:rPr>
          <w:rFonts w:ascii="Palatino Linotype" w:hAnsi="Palatino Linotype"/>
          <w:b/>
          <w:bCs/>
        </w:rPr>
        <w:t>Methods</w:t>
      </w:r>
    </w:p>
    <w:p w14:paraId="5617F629" w14:textId="77777777" w:rsidR="0039334C" w:rsidRDefault="0039334C" w:rsidP="0039334C">
      <w:pPr>
        <w:spacing w:line="276" w:lineRule="auto"/>
        <w:outlineLvl w:val="0"/>
        <w:rPr>
          <w:rFonts w:ascii="Palatino Linotype" w:hAnsi="Palatino Linotype"/>
        </w:rPr>
      </w:pPr>
      <w:r>
        <w:rPr>
          <w:rFonts w:ascii="Palatino Linotype" w:hAnsi="Palatino Linotype"/>
        </w:rPr>
        <w:t xml:space="preserve">From the outset, the key presumption is that every crystallographic dataset, at a given temperature and a given time delay after the triggering of the photochemical reaction, captures a mixture of unknown number of intermediate species at unknown fractions.  </w:t>
      </w:r>
      <w:proofErr w:type="gramStart"/>
      <w:r>
        <w:rPr>
          <w:rFonts w:ascii="Palatino Linotype" w:hAnsi="Palatino Linotype"/>
        </w:rPr>
        <w:t>Needless to say, all</w:t>
      </w:r>
      <w:proofErr w:type="gramEnd"/>
      <w:r>
        <w:rPr>
          <w:rFonts w:ascii="Palatino Linotype" w:hAnsi="Palatino Linotype"/>
        </w:rPr>
        <w:t xml:space="preserve"> structures of the intermediates are also unknown except the structure at the ground state that has been determined and well refined by static crystallography.  A simultaneous solution of all these unknowns requires multiple datasets that are collected at various temperatures or time delays so that a common set of intermediate structures are present in these datasets with variable ratios.  If the number of available datasets is far greater than the number of unknowns, a linear system can be established to overdetermine the unknowns with the necessary stereochemical restraints </w:t>
      </w:r>
      <w:r>
        <w:rPr>
          <w:rFonts w:ascii="Palatino Linotype" w:hAnsi="Palatino Linotype"/>
        </w:rPr>
        <w:fldChar w:fldCharType="begin"/>
      </w:r>
      <w:r>
        <w:rPr>
          <w:rFonts w:ascii="Palatino Linotype" w:hAnsi="Palatino Linotype"/>
        </w:rPr>
        <w:instrText xml:space="preserve"> ADDIN ZOTERO_ITEM CSL_CITATION {"citationID":"8sWxOkBl","properties":{"formattedCitation":"(Ren et al., 2013)","plainCitation":"(Ren et al., 2013)","noteIndex":0},"citationItems":[{"id":1522,"uris":["http://zotero.org/users/local/Med5doT8/items/FFS476ZV"],"uri":["http://zotero.org/users/local/Med5doT8/items/FFS476ZV"],"itemData":{"id":1522,"type":"article-journal","container-title":"Acta Cryst.","DOI":"10.1107/S0907444913003454","ISSN":"0907-4449, 1399-0047","issue":"6","journalAbbreviation":"Acta Cryst.","page":"946-959","source":"CrossRef","title":"Resolution of structural heterogeneity in dynamic crystallography","volume":"D69","author":[{"family":"Ren","given":"Zhong"},{"family":"Chan","given":"Peter W. Y."},{"family":"Moffat","given":"Keith"},{"family":"Pai","given":"Emil F."},{"family":"Royer","given":"William E."},{"family":"Šrajer","given":"Vukica"},{"family":"Yang","given":"Xiaojing"}],"issued":{"date-parts":[["2013",5,2]]}}}],"schema":"https://github.com/citation-style-language/schema/raw/master/csl-citation.json"} </w:instrText>
      </w:r>
      <w:r>
        <w:rPr>
          <w:rFonts w:ascii="Palatino Linotype" w:hAnsi="Palatino Linotype"/>
        </w:rPr>
        <w:fldChar w:fldCharType="separate"/>
      </w:r>
      <w:r>
        <w:rPr>
          <w:rFonts w:ascii="Palatino Linotype" w:hAnsi="Palatino Linotype"/>
          <w:noProof/>
        </w:rPr>
        <w:t>(Ren et al., 2013)</w:t>
      </w:r>
      <w:r>
        <w:rPr>
          <w:rFonts w:ascii="Palatino Linotype" w:hAnsi="Palatino Linotype"/>
        </w:rPr>
        <w:fldChar w:fldCharType="end"/>
      </w:r>
      <w:r>
        <w:rPr>
          <w:rFonts w:ascii="Palatino Linotype" w:hAnsi="Palatino Linotype"/>
        </w:rPr>
        <w:t>.  This analytical strategy is recapped below.</w:t>
      </w:r>
    </w:p>
    <w:p w14:paraId="704B6007" w14:textId="77777777" w:rsidR="0039334C" w:rsidRDefault="0039334C" w:rsidP="0039334C">
      <w:pPr>
        <w:spacing w:line="276" w:lineRule="auto"/>
        <w:outlineLvl w:val="0"/>
        <w:rPr>
          <w:rFonts w:ascii="Palatino Linotype" w:hAnsi="Palatino Linotype"/>
        </w:rPr>
      </w:pPr>
    </w:p>
    <w:p w14:paraId="16AFE448" w14:textId="77777777" w:rsidR="0039334C" w:rsidRDefault="0039334C" w:rsidP="0039334C">
      <w:pPr>
        <w:spacing w:line="276" w:lineRule="auto"/>
        <w:ind w:firstLine="360"/>
        <w:outlineLvl w:val="0"/>
        <w:rPr>
          <w:rFonts w:ascii="Palatino Linotype" w:hAnsi="Palatino Linotype"/>
        </w:rPr>
      </w:pPr>
      <w:r>
        <w:rPr>
          <w:rFonts w:ascii="Palatino Linotype" w:hAnsi="Palatino Linotype"/>
        </w:rPr>
        <w:t xml:space="preserve">The methodological advance in this work and the companion work </w:t>
      </w:r>
      <w:r>
        <w:rPr>
          <w:rFonts w:ascii="Palatino Linotype" w:hAnsi="Palatino Linotype"/>
        </w:rPr>
        <w:fldChar w:fldCharType="begin"/>
      </w:r>
      <w:r>
        <w:rPr>
          <w:rFonts w:ascii="Palatino Linotype" w:hAnsi="Palatino Linotype"/>
        </w:rPr>
        <w:instrText xml:space="preserve"> ADDIN ZOTERO_ITEM CSL_CITATION {"citationID":"pDBsJJuA","properties":{"formattedCitation":"(Ren, 2021)","plainCitation":"(Ren, 2021)","noteIndex":0},"citationItems":[{"id":6759,"uris":["http://zotero.org/users/local/Med5doT8/items/KIC7BABI"],"uri":["http://zotero.org/users/local/Med5doT8/items/KIC7BABI"],"itemData":{"id":6759,"type":"article-journal","abstract":"Photoisomerization of retinoids inside a confined protein pocket represents a critical chemical event in many important biological processes from animal vision, non-visual light effects, to bacterial light sensing and harvesting.  Light driven proton pumping in bacteriorhodopsin entails exquisite electronic and conformational reconfigurations during its photocycle.  However, it has been a major challenge to delineate transient molecular events preceding and following the photoisomerization of the retinal from noisy electron density maps when varying populations of intermediates coexist and evolve as a function of time.  Here I report several distinct early photoproducts deconvoluted from the recently observed mixtures in time-resolved serial crystallography.  This deconvolution substantially improves the quality of the electron density maps hence demonstrates that the all-trans retinal undergoes extensive isomerization sampling before it proceeds to the productive 13-cis configuration.  Upon light absorption, the chromophore attempts to perform trans-to-cis isomerization at every double bond coupled with the stalled anti-to-syn rotations at multiple single bonds along its polyene chain.  Such isomerization sampling pushes all seven transmembrane helices to bend outward, resulting in a transient expansion of the retinal binding pocket, and later, a contraction due to recoiling.  These ultrafast responses observed at the atomic resolution support that the productive photoreaction in bacteriorhodopsin is initiated by light-induced charge separation in the prosthetic chromophore yet governed by stereoselectivity of its protein pocket.  The method of a numerical resolution of concurrent events from mixed observations is also generally applicable.","container-title":"bioRxiv","DOI":"10.1101/2021.09.16.460656","language":"en","note":"DOI: 10.1101/2021.09.16.460656","page":"doi:10.1101/2021.09.16.460656","source":"DOI.org (Crossref)","title":"Photoinduced isomerization sampling of retinal in bacteriorhodopsin","author":[{"family":"Ren","given":"Zhong"}],"issued":{"date-parts":[["2021",9,16]]}}}],"schema":"https://github.com/citation-style-language/schema/raw/master/csl-citation.json"} </w:instrText>
      </w:r>
      <w:r>
        <w:rPr>
          <w:rFonts w:ascii="Palatino Linotype" w:hAnsi="Palatino Linotype"/>
        </w:rPr>
        <w:fldChar w:fldCharType="separate"/>
      </w:r>
      <w:r>
        <w:rPr>
          <w:rFonts w:ascii="Palatino Linotype" w:hAnsi="Palatino Linotype"/>
          <w:noProof/>
        </w:rPr>
        <w:t>(Ren, 2021)</w:t>
      </w:r>
      <w:r>
        <w:rPr>
          <w:rFonts w:ascii="Palatino Linotype" w:hAnsi="Palatino Linotype"/>
        </w:rPr>
        <w:fldChar w:fldCharType="end"/>
      </w:r>
      <w:r>
        <w:rPr>
          <w:rFonts w:ascii="Palatino Linotype" w:hAnsi="Palatino Linotype"/>
        </w:rPr>
        <w:t xml:space="preserve"> is the refinement of each pure intermediate structure that has been deconvoluted from multiple mixtures.  Structure factor amplitudes of a single conformation free of heterogeneity are overdetermined.  Unlike the conventional crystallography, such a deconvoluted dataset of structure factor amplitudes are not observed directly from any crystal but computed from many experimental datasets.  It could be considered as an extrapolated dataset “on steroids” if compared to the traditional extrapolation of small differences, such as, 3Fo-2Fc map, a technique often used to overcome a partial occupancy of an intermediate structure, except that this deconvolution method is an interpolation among many experimental datasets rather than an extrapolation.  The standard structural refinement software is taken full advantage of with the built-in stereochemical constraints, e.g. PHENIX </w:t>
      </w:r>
      <w:r>
        <w:rPr>
          <w:rFonts w:ascii="Palatino Linotype" w:hAnsi="Palatino Linotype"/>
        </w:rPr>
        <w:fldChar w:fldCharType="begin"/>
      </w:r>
      <w:r>
        <w:rPr>
          <w:rFonts w:ascii="Palatino Linotype" w:hAnsi="Palatino Linotype"/>
        </w:rPr>
        <w:instrText xml:space="preserve"> ADDIN ZOTERO_ITEM CSL_CITATION {"citationID":"UQVoEu0A","properties":{"formattedCitation":"(Adams et al., 2010; Liebschner et al., 2019)","plainCitation":"(Adams et al., 2010; Liebschner et al., 2019)","noteIndex":0},"citationItems":[{"id":129,"uris":["http://zotero.org/users/local/Med5doT8/items/AMAK3FTT"],"uri":["http://zotero.org/users/local/Med5doT8/items/AMAK3FTT"],"itemData":{"id":129,"type":"article-journal","container-title":"Acta Crystallographica Section D Biological Crystallography","DOI":"10.1107/S0907444909052925","ISSN":"0907-4449","issue":"2","journalAbbreviation":"Acta Cryst.","page":"213-221","source":"CrossRef","title":"PHENIX: a comprehensive Python-based system for macromolecular structure solution","volume":"D66","author":[{"family":"Adams","given":"Paul D."},{"family":"Afonine","given":"Pavel V."},{"family":"Bunkóczi","given":"Gábor"},{"family":"Chen","given":"Vincent B."},{"family":"Davis","given":"Ian W."},{"family":"Echols","given":"Nathaniel"},{"family":"Headd","given":"Jeffrey J."},{"family":"Hung","given":"Li-Wei"},{"family":"Kapral","given":"Gary J."},{"family":"Grosse-Kunstleve","given":"Ralf W."},{"family":"McCoy","given":"Airlie J."},{"family":"Moriarty","given":"Nigel W."},{"family":"Oeffner","given":"Robert"},{"family":"Read","given":"Randy J."},{"family":"Richardson","given":"David C."},{"family":"Richardson","given":"Jane S."},{"family":"Terwilliger","given":"Thomas C."},{"family":"Zwart","given":"Peter H."}],"issued":{"date-parts":[["2010",1]]}}},{"id":6109,"uris":["http://zotero.org/users/local/Med5doT8/items/8YXWNXHC"],"uri":["http://zotero.org/users/local/Med5doT8/items/8YXWNXHC"],"itemData":{"id":6109,"type":"article-journal","abstract":"Diffraction (X-ray, neutron and electron) and electron cryo-microscopy are powerful methods to determine three-dimensional macromolecular structures, which are required to understand biological processes and to develop new therapeutics against diseases. The overall structure-solution workflow is similar for these techniques, but nuances exist because the properties of the reduced experimental data are different. Software tools for structure determination should therefore be tailored for each method.\n              Phenix\n              is a comprehensive software package for macromolecular structure determination that handles data from any of these techniques. Tasks performed with\n              Phenix\n              include data-quality assessment, map improvement, model building, the validation/rebuilding/refinement cycle and deposition. Each tool caters to the type of experimental data. The design of\n              Phenix\n              emphasizes the automation of procedures, where possible, to minimize repetitive and time-consuming manual tasks, while default parameters are chosen to encourage best practice. A graphical user interface provides access to many command-line features of\n              Phenix\n              and streamlines the transition between programs, project tracking and re-running of previous tasks.","container-title":"Acta Crystallographica Section D Structural Biology","DOI":"10.1107/S2059798319011471","ISSN":"2059-7983","issue":"10","journalAbbreviation":"Acta Crystallogr D Struct Biol","page":"861-877","source":"DOI.org (Crossref)","title":"Macromolecular structure determination using X-rays, neutrons and electrons: recent developments in Phenix","title-short":"Macromolecular structure determination using X-rays, neutrons and electrons","volume":"75","author":[{"family":"Liebschner","given":"Dorothee"},{"family":"Afonine","given":"Pavel V."},{"family":"Baker","given":"Matthew L."},{"family":"Bunkóczi","given":"Gábor"},{"family":"Chen","given":"Vincent B."},{"family":"Croll","given":"Tristan I."},{"family":"Hintze","given":"Bradley"},{"family":"Hung","given":"Li-Wei"},{"family":"Jain","given":"Swati"},{"family":"McCoy","given":"Airlie J."},{"family":"Moriarty","given":"Nigel W."},{"family":"Oeffner","given":"Robert D."},{"family":"Poon","given":"Billy K."},{"family":"Prisant","given":"Michael G."},{"family":"Read","given":"Randy J."},{"family":"Richardson","given":"Jane S."},{"family":"Richardson","given":"David C."},{"family":"Sammito","given":"Massimo D."},{"family":"Sobolev","given":"Oleg V."},{"family":"Stockwell","given":"Duncan H."},{"family":"Terwilliger","given":"Thomas C."},{"family":"Urzhumtsev","given":"Alexandre G."},{"family":"Videau","given":"Lizbeth L."},{"family":"Williams","given":"Christopher J."},{"family":"Adams","given":"Paul D."}],"issued":{"date-parts":[["2019",10,1]]}}}],"schema":"https://github.com/citation-style-language/schema/raw/master/csl-citation.json"} </w:instrText>
      </w:r>
      <w:r>
        <w:rPr>
          <w:rFonts w:ascii="Palatino Linotype" w:hAnsi="Palatino Linotype"/>
        </w:rPr>
        <w:fldChar w:fldCharType="separate"/>
      </w:r>
      <w:r>
        <w:rPr>
          <w:rFonts w:ascii="Palatino Linotype" w:hAnsi="Palatino Linotype"/>
          <w:noProof/>
        </w:rPr>
        <w:t>(Adams et al., 2010; Liebschner et al., 2019)</w:t>
      </w:r>
      <w:r>
        <w:rPr>
          <w:rFonts w:ascii="Palatino Linotype" w:hAnsi="Palatino Linotype"/>
        </w:rPr>
        <w:fldChar w:fldCharType="end"/>
      </w:r>
      <w:r>
        <w:rPr>
          <w:rFonts w:ascii="Palatino Linotype" w:hAnsi="Palatino Linotype"/>
        </w:rPr>
        <w:t>.  In case that the computed deconvolution has not achieved a single pure structural species, the structural refinement is expected to make such indication.</w:t>
      </w:r>
    </w:p>
    <w:p w14:paraId="74D55BD2" w14:textId="77777777" w:rsidR="0039334C" w:rsidRDefault="0039334C" w:rsidP="0039334C">
      <w:pPr>
        <w:spacing w:line="276" w:lineRule="auto"/>
        <w:outlineLvl w:val="0"/>
        <w:rPr>
          <w:rFonts w:ascii="Palatino Linotype" w:hAnsi="Palatino Linotype"/>
        </w:rPr>
      </w:pPr>
    </w:p>
    <w:p w14:paraId="383073F0" w14:textId="77777777" w:rsidR="0039334C" w:rsidRPr="00D00E6B" w:rsidRDefault="0039334C" w:rsidP="0039334C">
      <w:pPr>
        <w:keepNext/>
        <w:spacing w:line="276" w:lineRule="auto"/>
        <w:rPr>
          <w:rFonts w:ascii="Palatino Linotype" w:hAnsi="Palatino Linotype"/>
          <w:i/>
          <w:iCs/>
        </w:rPr>
      </w:pPr>
      <w:r w:rsidRPr="00D00E6B">
        <w:rPr>
          <w:rFonts w:ascii="Palatino Linotype" w:hAnsi="Palatino Linotype"/>
          <w:i/>
          <w:iCs/>
        </w:rPr>
        <w:t>Difference Fourier maps</w:t>
      </w:r>
    </w:p>
    <w:p w14:paraId="35DC805A" w14:textId="77777777" w:rsidR="0039334C" w:rsidRDefault="0039334C" w:rsidP="0039334C">
      <w:pPr>
        <w:spacing w:line="276" w:lineRule="auto"/>
        <w:outlineLvl w:val="0"/>
        <w:rPr>
          <w:rFonts w:ascii="Palatino Linotype" w:hAnsi="Palatino Linotype"/>
        </w:rPr>
      </w:pPr>
      <w:r>
        <w:rPr>
          <w:rFonts w:ascii="Palatino Linotype" w:hAnsi="Palatino Linotype"/>
        </w:rPr>
        <w:t xml:space="preserve">A difference Fourier map is synthesized from a Fourier coefficient set of </w:t>
      </w:r>
      <w:r w:rsidRPr="00FB2382">
        <w:rPr>
          <w:rFonts w:ascii="Palatino Linotype" w:hAnsi="Palatino Linotype"/>
          <w:i/>
        </w:rPr>
        <w:t>F</w:t>
      </w:r>
      <w:r w:rsidRPr="00FB2382">
        <w:rPr>
          <w:rFonts w:ascii="Palatino Linotype" w:hAnsi="Palatino Linotype"/>
          <w:vertAlign w:val="subscript"/>
        </w:rPr>
        <w:t>light</w:t>
      </w:r>
      <w:r>
        <w:rPr>
          <w:rFonts w:ascii="Palatino Linotype" w:hAnsi="Palatino Linotype"/>
        </w:rPr>
        <w:t>-</w:t>
      </w:r>
      <w:proofErr w:type="spellStart"/>
      <w:r w:rsidRPr="00FB2382">
        <w:rPr>
          <w:rFonts w:ascii="Palatino Linotype" w:hAnsi="Palatino Linotype"/>
          <w:i/>
        </w:rPr>
        <w:t>F</w:t>
      </w:r>
      <w:r>
        <w:rPr>
          <w:rFonts w:ascii="Palatino Linotype" w:hAnsi="Palatino Linotype"/>
          <w:vertAlign w:val="subscript"/>
        </w:rPr>
        <w:t>reference</w:t>
      </w:r>
      <w:proofErr w:type="spellEnd"/>
      <w:r>
        <w:rPr>
          <w:rFonts w:ascii="Palatino Linotype" w:hAnsi="Palatino Linotype"/>
        </w:rPr>
        <w:t xml:space="preserve"> with the best available phase set, often from the ground state structure.  Before Fourier synthesis, </w:t>
      </w:r>
      <w:r w:rsidRPr="00FB2382">
        <w:rPr>
          <w:rFonts w:ascii="Palatino Linotype" w:hAnsi="Palatino Linotype"/>
          <w:i/>
        </w:rPr>
        <w:t>F</w:t>
      </w:r>
      <w:r w:rsidRPr="00FB2382">
        <w:rPr>
          <w:rFonts w:ascii="Palatino Linotype" w:hAnsi="Palatino Linotype"/>
          <w:vertAlign w:val="subscript"/>
        </w:rPr>
        <w:t>light</w:t>
      </w:r>
      <w:r>
        <w:rPr>
          <w:rFonts w:ascii="Palatino Linotype" w:hAnsi="Palatino Linotype"/>
        </w:rPr>
        <w:t xml:space="preserve"> and </w:t>
      </w:r>
      <w:proofErr w:type="spellStart"/>
      <w:r w:rsidRPr="00FB2382">
        <w:rPr>
          <w:rFonts w:ascii="Palatino Linotype" w:hAnsi="Palatino Linotype"/>
          <w:i/>
        </w:rPr>
        <w:t>F</w:t>
      </w:r>
      <w:r>
        <w:rPr>
          <w:rFonts w:ascii="Palatino Linotype" w:hAnsi="Palatino Linotype"/>
          <w:vertAlign w:val="subscript"/>
        </w:rPr>
        <w:t>reference</w:t>
      </w:r>
      <w:proofErr w:type="spellEnd"/>
      <w:r>
        <w:rPr>
          <w:rFonts w:ascii="Palatino Linotype" w:hAnsi="Palatino Linotype"/>
        </w:rPr>
        <w:t xml:space="preserve"> must be properly scaled to the same level so that the distribution of difference values is centered at zero and not skewed either way.  A weighting scheme proven effective assumes that a greater amplitude of a difference Fourier coefficient </w:t>
      </w:r>
      <w:r w:rsidRPr="00FB2382">
        <w:rPr>
          <w:rFonts w:ascii="Palatino Linotype" w:hAnsi="Palatino Linotype"/>
          <w:i/>
        </w:rPr>
        <w:t>F</w:t>
      </w:r>
      <w:r w:rsidRPr="00FB2382">
        <w:rPr>
          <w:rFonts w:ascii="Palatino Linotype" w:hAnsi="Palatino Linotype"/>
          <w:vertAlign w:val="subscript"/>
        </w:rPr>
        <w:t>light</w:t>
      </w:r>
      <w:r>
        <w:rPr>
          <w:rFonts w:ascii="Palatino Linotype" w:hAnsi="Palatino Linotype"/>
        </w:rPr>
        <w:t>-</w:t>
      </w:r>
      <w:proofErr w:type="spellStart"/>
      <w:r w:rsidRPr="00FB2382">
        <w:rPr>
          <w:rFonts w:ascii="Palatino Linotype" w:hAnsi="Palatino Linotype"/>
          <w:i/>
        </w:rPr>
        <w:t>F</w:t>
      </w:r>
      <w:r>
        <w:rPr>
          <w:rFonts w:ascii="Palatino Linotype" w:hAnsi="Palatino Linotype"/>
          <w:vertAlign w:val="subscript"/>
        </w:rPr>
        <w:t>reference</w:t>
      </w:r>
      <w:proofErr w:type="spellEnd"/>
      <w:r>
        <w:rPr>
          <w:rFonts w:ascii="Palatino Linotype" w:hAnsi="Palatino Linotype"/>
        </w:rPr>
        <w:t xml:space="preserve"> is more likely caused by noise than by signal </w:t>
      </w:r>
      <w:r>
        <w:rPr>
          <w:rFonts w:ascii="Palatino Linotype" w:hAnsi="Palatino Linotype"/>
        </w:rPr>
        <w:fldChar w:fldCharType="begin"/>
      </w:r>
      <w:r>
        <w:rPr>
          <w:rFonts w:ascii="Palatino Linotype" w:hAnsi="Palatino Linotype"/>
        </w:rPr>
        <w:instrText xml:space="preserve"> ADDIN ZOTERO_ITEM CSL_CITATION {"citationID":"a141bpnrgd6","properties":{"formattedCitation":"(Ren et al., 2001, 2013; \\uc0\\u352{}rajer et al., 2001; Ursby and Bourgeois, 1997)","plainCitation":"(Ren et al., 2001, 2013; Šrajer et al., 2001; Ursby and Bourgeois, 1997)","noteIndex":0},"citationItems":[{"id":155,"uris":["http://zotero.org/users/local/Med5doT8/items/ZU7VRQI5"],"uri":["http://zotero.org/users/local/Med5doT8/items/ZU7VRQI5"],"itemData":{"id":155,"type":"article-journal","abstract":"The photocycle of the bacterial blue-light photoreceptor, photoactive yellow protein, was stimulated by illumination of single crystals by a 7 ns laser pulse. The molecular events were recorded at high resolution by time-resolved X-ray Laue diffraction as they evolved in real time, from 1 ns to seconds after the laser pulse. The complex structural changes during the photocycle at ambient temperature are displayed in a movie of difference electron density maps relative to the dark state. The step critical to entry into the photocycle is identified as flipping of the carbonyl group of the 4-hydroxycinnamic acid chromophore into an adjacent, hydrophobic environment rather than the concomitant isomerization about the double bond of the chromophore tail. The structural perturbation generated at the chromophore propagates throughout the entire protein as a light-induced protein quake with its epicenter at the carbonyl moiety of the chromophore.","container-title":"Biochemistry","DOI":"10.1021/bi0107142","issue":"46","journalAbbreviation":"Biochemistry","page":"13788-13801","source":"ACS Publications","title":"A molecular movie at 1.8 Å resolution displays the photocycle of photoactive yellow protein, a eubacterial blue-light receptor, from nanoseconds to seconds","volume":"40","author":[{"family":"Ren","given":"Zhong"},{"family":"Perman","given":"Benjamin"},{"family":"Srajer","given":"Vukica"},{"family":"Teng","given":"T.-Y."},{"family":"Pradervand","given":"Claude"},{"family":"Bourgeois","given":"Dominique"},{"family":"Schotte","given":"Friederich"},{"family":"Ursby","given":"Thomas"},{"family":"Kort","given":"Remco"},{"family":"Wulff","given":"Michael"},{"family":"Moffat","given":"Keith"}],"issued":{"date-parts":[["2001",11,1]]}}},{"id":1522,"uris":["http://zotero.org/users/local/Med5doT8/items/FFS476ZV"],"uri":["http://zotero.org/users/local/Med5doT8/items/FFS476ZV"],"itemData":{"id":1522,"type":"article-journal","container-title":"Acta Cryst.","DOI":"10.1107/S0907444913003454","ISSN":"0907-4449, 1399-0047","issue":"6","journalAbbreviation":"Acta Cryst.","page":"946-959","source":"CrossRef","title":"Resolution of structural heterogeneity in dynamic crystallography","volume":"D69","author":[{"family":"Ren","given":"Zhong"},{"family":"Chan","given":"Peter W. Y."},{"family":"Moffat","given":"Keith"},{"family":"Pai","given":"Emil F."},{"family":"Royer","given":"William E."},{"family":"Šrajer","given":"Vukica"},{"family":"Yang","given":"Xiaojing"}],"issued":{"date-parts":[["2013",5,2]]}}},{"id":364,"uris":["http://zotero.org/users/local/Med5doT8/items/KP23PHXD"],"uri":["http://zotero.org/users/local/Med5doT8/items/KP23PHXD"],"itemData":{"id":364,"type":"article-journal","abstract":"A time-resolved Laue X-ray diffraction technique has been used to explore protein relaxation and ligand migration at room temperature following photolysis of a single crystal of carbon monoxymyoglobin. The CO ligand is photodissociated by a 7.5 ns laser pulse, and the subsequent structural changes are probed by 150 ps or 1 μs X-ray pulses at 14 laser/X-ray delay times, ranging from 1 ns to 1.9 ms. Very fast heme and protein relaxation involving the E and F helices is evident from the data at a 1 ns time delay. The photodissociated CO molecules are detected at two locations:  at a distal pocket docking site and at the Xe 1 binding site in the proximal pocket. The population by CO of the primary, distal site peaks at a 1 ns time delay and decays to half the peak value in 70 ns. The secondary, proximal docking site reaches its highest occupancy of 20% at </w:instrText>
      </w:r>
      <w:r>
        <w:rPr>
          <w:rFonts w:ascii="Cambria Math" w:hAnsi="Cambria Math" w:cs="Cambria Math"/>
        </w:rPr>
        <w:instrText>∼</w:instrText>
      </w:r>
      <w:r>
        <w:rPr>
          <w:rFonts w:ascii="Palatino Linotype" w:hAnsi="Palatino Linotype"/>
        </w:rPr>
        <w:instrText xml:space="preserve">100 ns and has a half-life of </w:instrText>
      </w:r>
      <w:r>
        <w:rPr>
          <w:rFonts w:ascii="Cambria Math" w:hAnsi="Cambria Math" w:cs="Cambria Math"/>
        </w:rPr>
        <w:instrText>∼</w:instrText>
      </w:r>
      <w:r>
        <w:rPr>
          <w:rFonts w:ascii="Palatino Linotype" w:hAnsi="Palatino Linotype"/>
        </w:rPr>
        <w:instrText xml:space="preserve">10 μs. At </w:instrText>
      </w:r>
      <w:r>
        <w:rPr>
          <w:rFonts w:ascii="Cambria Math" w:hAnsi="Cambria Math" w:cs="Cambria Math"/>
        </w:rPr>
        <w:instrText>∼</w:instrText>
      </w:r>
      <w:r>
        <w:rPr>
          <w:rFonts w:ascii="Palatino Linotype" w:hAnsi="Palatino Linotype"/>
        </w:rPr>
        <w:instrText xml:space="preserve">100 ns, all CO molecules are accounted for within the protein:  in one of these two docking sites or bound to the heme. Thereafter, the CO molecules migrate to the solvent from which they rebind to deoxymyoglobin in a bimolecular process with a second-order rate coefficient of 4.5 × 105 M-1 s-1. Our results also demonstrate that structural changes as small as 0.2 Å and populations of CO docking sites of 10% can be detected by time-resolved X-ray diffraction.","container-title":"Biochemistry","DOI":"10.1021/bi010715u","issue":"46","page":"13802-13815","source":"ACS Publications","title":"Protein conformational relaxation and ligand migration in myoglobin:  A nanosecond to millisecond molecular movie from time-resolved Laue X-ray diffraction","title-short":"Protein Conformational Relaxation and Ligand Migration in Myoglobin","volume":"40","author":[{"family":"Šrajer","given":"Vukica"},{"family":"Ren","given":"Zhong"},{"family":"Teng","given":"Tsu-Yi"},{"family":"Schmidt","given":"Marius"},{"family":"Ursby","given":"Thomas"},{"family":"Bourgeois","given":"Dominique"},{"family":"Pradervand","given":"Claude"},{"family":"Schildkamp","given":"Wilfried"},{"family":"Wulff","given":"Michael"},{"family":"Moffat","given":"Keith"}],"issued":{"date-parts":[["2001",11,1]]}}},{"id":5172,"uris":["http://zotero.org/users/local/Med5doT8/items/B79A8S57"],"uri":["http://zotero.org/users/local/Med5doT8/items/B79A8S57"],"itemData":{"id":5172,"type":"article-journal","container-title":"Acta Crystallographica Section A Foundations of Crystallography","DOI":"10.1107/S0108767397004522","ISSN":"01087673","issue":"5","page":"564-575","source":"CrossRef","title":"Improved estimation of structure-factor difference amplitudes from poorly accurate data","volume":"53","author":[{"family":"Ursby","given":"T."},{"family":"Bourgeois","given":"D."}],"issued":{"date-parts":[["1997",9,1]]}},"locator":"199"}],"schema":"https://github.com/citation-style-language/schema/raw/master/csl-citation.json"} </w:instrText>
      </w:r>
      <w:r>
        <w:rPr>
          <w:rFonts w:ascii="Palatino Linotype" w:hAnsi="Palatino Linotype"/>
        </w:rPr>
        <w:fldChar w:fldCharType="separate"/>
      </w:r>
      <w:r w:rsidRPr="00AA155D">
        <w:rPr>
          <w:rFonts w:ascii="Palatino Linotype" w:hAnsi="Palatino Linotype" w:cs="Times New Roman"/>
        </w:rPr>
        <w:t xml:space="preserve">(Ren et al., 2001, 2013; </w:t>
      </w:r>
      <w:proofErr w:type="spellStart"/>
      <w:r w:rsidRPr="00AA155D">
        <w:rPr>
          <w:rFonts w:ascii="Palatino Linotype" w:hAnsi="Palatino Linotype" w:cs="Times New Roman"/>
        </w:rPr>
        <w:t>Šrajer</w:t>
      </w:r>
      <w:proofErr w:type="spellEnd"/>
      <w:r w:rsidRPr="00AA155D">
        <w:rPr>
          <w:rFonts w:ascii="Palatino Linotype" w:hAnsi="Palatino Linotype" w:cs="Times New Roman"/>
        </w:rPr>
        <w:t xml:space="preserve"> et al., 2001; </w:t>
      </w:r>
      <w:proofErr w:type="spellStart"/>
      <w:r w:rsidRPr="00AA155D">
        <w:rPr>
          <w:rFonts w:ascii="Palatino Linotype" w:hAnsi="Palatino Linotype" w:cs="Times New Roman"/>
        </w:rPr>
        <w:t>Ursby</w:t>
      </w:r>
      <w:proofErr w:type="spellEnd"/>
      <w:r w:rsidRPr="00AA155D">
        <w:rPr>
          <w:rFonts w:ascii="Palatino Linotype" w:hAnsi="Palatino Linotype" w:cs="Times New Roman"/>
        </w:rPr>
        <w:t xml:space="preserve"> and Bourgeois, 1997)</w:t>
      </w:r>
      <w:r>
        <w:rPr>
          <w:rFonts w:ascii="Palatino Linotype" w:hAnsi="Palatino Linotype"/>
        </w:rPr>
        <w:fldChar w:fldCharType="end"/>
      </w:r>
      <w:r>
        <w:rPr>
          <w:rFonts w:ascii="Palatino Linotype" w:hAnsi="Palatino Linotype"/>
        </w:rPr>
        <w:t>.  Both the dark and light datasets can serve as a reference in difference maps.  If a light dataset at a certain delay is chosen as a reference, the difference map shows the changes since that delay time but not the changes prior to that delay.  However, both the dark and light datasets must be collected in the same experiment.  A cross reference from a different experimental setting usually causes large systematic errors in the difference map that would swamp the desired signals.  Each difference map is masked 3.5 Å around the entire molecule of bacteriorhodopsin (</w:t>
      </w:r>
      <w:proofErr w:type="spellStart"/>
      <w:r>
        <w:rPr>
          <w:rFonts w:ascii="Palatino Linotype" w:hAnsi="Palatino Linotype"/>
        </w:rPr>
        <w:t>bR</w:t>
      </w:r>
      <w:proofErr w:type="spellEnd"/>
      <w:r>
        <w:rPr>
          <w:rFonts w:ascii="Palatino Linotype" w:hAnsi="Palatino Linotype"/>
        </w:rPr>
        <w:t>).  No lipid density is analyzed.</w:t>
      </w:r>
    </w:p>
    <w:p w14:paraId="6734BF14" w14:textId="77777777" w:rsidR="0039334C" w:rsidRDefault="0039334C" w:rsidP="0039334C">
      <w:pPr>
        <w:spacing w:line="276" w:lineRule="auto"/>
        <w:rPr>
          <w:rFonts w:ascii="Palatino Linotype" w:hAnsi="Palatino Linotype"/>
        </w:rPr>
      </w:pPr>
    </w:p>
    <w:p w14:paraId="6D935FEB" w14:textId="77777777" w:rsidR="0039334C" w:rsidRPr="00DA315C" w:rsidRDefault="0039334C" w:rsidP="0039334C">
      <w:pPr>
        <w:keepNext/>
        <w:spacing w:line="276" w:lineRule="auto"/>
        <w:rPr>
          <w:rFonts w:ascii="Palatino Linotype" w:hAnsi="Palatino Linotype"/>
          <w:i/>
          <w:iCs/>
        </w:rPr>
      </w:pPr>
      <w:r w:rsidRPr="00DA315C">
        <w:rPr>
          <w:rFonts w:ascii="Palatino Linotype" w:hAnsi="Palatino Linotype"/>
          <w:i/>
          <w:iCs/>
        </w:rPr>
        <w:lastRenderedPageBreak/>
        <w:t>Meta-analysis of protein structures</w:t>
      </w:r>
    </w:p>
    <w:p w14:paraId="49D3ABAA" w14:textId="77777777" w:rsidR="0039334C" w:rsidRDefault="0039334C" w:rsidP="0039334C">
      <w:pPr>
        <w:spacing w:line="276" w:lineRule="auto"/>
        <w:rPr>
          <w:rFonts w:ascii="Palatino Linotype" w:hAnsi="Palatino Linotype"/>
        </w:rPr>
      </w:pPr>
      <w:r>
        <w:rPr>
          <w:rFonts w:ascii="Palatino Linotype" w:hAnsi="Palatino Linotype"/>
        </w:rPr>
        <w:t xml:space="preserve">Structural meta-analysis based on singular value decomposition (SVD) has been conducted in two forms.  In one of them, an interatomic distance matrix is calculated from each protein structure in a related collection.  SVD of a data matrix consists of these distance matrices enables a large-scale joint structural comparison but requires no structural alignment </w:t>
      </w:r>
      <w:r>
        <w:rPr>
          <w:rFonts w:ascii="Palatino Linotype" w:hAnsi="Palatino Linotype"/>
        </w:rPr>
        <w:fldChar w:fldCharType="begin"/>
      </w:r>
      <w:r>
        <w:rPr>
          <w:rFonts w:ascii="Palatino Linotype" w:hAnsi="Palatino Linotype"/>
        </w:rPr>
        <w:instrText xml:space="preserve"> ADDIN ZOTERO_ITEM CSL_CITATION {"citationID":"08JOxfMY","properties":{"formattedCitation":"(Ren, 2013a, 2013b, 2016)","plainCitation":"(Ren, 2013a, 2013b, 2016)","noteIndex":0},"citationItems":[{"id":1265,"uris":["http://zotero.org/users/local/Med5doT8/items/KEDRAZTN"],"uri":["http://zotero.org/users/local/Med5doT8/items/KEDRAZTN"],"itemData":{"id":1265,"type":"article-journal","container-title":"PLoS ONE","DOI":"10.1371/journal.pone.0077141","issue":"11","journalAbbreviation":"PLoS ONE","page":"e77141","title":"Reaction trajectory revealed by a joint analysis of Protein Data Bank","volume":"8","author":[{"family":"Ren","given":"Zhong"}],"issued":{"date-parts":[["2013",11,11]]}}},{"id":1262,"uris":["http://zotero.org/users/local/Med5doT8/items/DS8DZ3UC"],"uri":["http://zotero.org/users/local/Med5doT8/items/DS8DZ3UC"],"itemData":{"id":1262,"type":"article-journal","container-title":"PLoS ONE","DOI":"10.1371/journal.pone.0077363","issue":"11","journalAbbreviation":"PLoS ONE","page":"e77363","title":"Reverse engineering the cooperative machinery of human hemoglobin","volume":"8","author":[{"family":"Ren","given":"Zhong"}],"issued":{"date-parts":[["2013",11,27]]}}},{"id":3360,"uris":["http://zotero.org/users/local/Med5doT8/items/FGA6R5AM"],"uri":["http://zotero.org/users/local/Med5doT8/items/FGA6R5AM"],"itemData":{"id":3360,"type":"article-journal","container-title":"Nucleic Acids Research","DOI":"10.1093/nar/gkw555","ISSN":"0305-1048, 1362-4962","issue":"43129","language":"en","page":"1-13","source":"CrossRef","title":"Molecular events during translocation and proofreading extracted from 200 static structures of DNA polymerase","volume":"6","author":[{"family":"Ren","given":"Zhong"}],"issued":{"date-parts":[["2016",6,20]]}}}],"schema":"https://github.com/citation-style-language/schema/raw/master/csl-citation.json"} </w:instrText>
      </w:r>
      <w:r>
        <w:rPr>
          <w:rFonts w:ascii="Palatino Linotype" w:hAnsi="Palatino Linotype"/>
        </w:rPr>
        <w:fldChar w:fldCharType="separate"/>
      </w:r>
      <w:r>
        <w:rPr>
          <w:rFonts w:ascii="Palatino Linotype" w:hAnsi="Palatino Linotype"/>
        </w:rPr>
        <w:t>(Ren, 2013a, 2013b, 2016)</w:t>
      </w:r>
      <w:r>
        <w:rPr>
          <w:rFonts w:ascii="Palatino Linotype" w:hAnsi="Palatino Linotype"/>
        </w:rPr>
        <w:fldChar w:fldCharType="end"/>
      </w:r>
      <w:r>
        <w:rPr>
          <w:rFonts w:ascii="Palatino Linotype" w:hAnsi="Palatino Linotype"/>
        </w:rPr>
        <w:t xml:space="preserve">.  In the second form, SVD is performed on a data matrix of electron density maps of related protein structures </w:t>
      </w:r>
      <w:r>
        <w:rPr>
          <w:rFonts w:ascii="Palatino Linotype" w:hAnsi="Palatino Linotype"/>
        </w:rPr>
        <w:fldChar w:fldCharType="begin"/>
      </w:r>
      <w:r>
        <w:rPr>
          <w:rFonts w:ascii="Palatino Linotype" w:hAnsi="Palatino Linotype"/>
        </w:rPr>
        <w:instrText xml:space="preserve"> ADDIN ZOTERO_ITEM CSL_CITATION {"citationID":"6FwBrY6A","properties":{"formattedCitation":"(Ren, 2019; Ren et al., 2013; Schmidt et al., 2003, 2010)","plainCitation":"(Ren, 2019; Ren et al., 2013; Schmidt et al., 2003, 2010)","noteIndex":0},"citationItems":[{"id":5648,"uris":["http://zotero.org/users/local/Med5doT8/items/UJH63CZI"],"uri":["http://zotero.org/users/local/Med5doT8/items/UJH63CZI"],"itemData":{"id":5648,"type":"article-journal","abstract":"Direct visualization of electronic and molecular events during biochemical reactions is essential to mechanistic insights. This Letter presents an in-depth analysis of the serial crystallographic data sets collected by Barends and Schlichting et al. ( Science 2015, 350, 445) that probe the ligand photodissociation in carbonmonoxy myoglobin. This analysis reveals electron density changes caused by the formation of high-spin 3d atomic orbitals of the heme iron upon photolysis and their dynamic behaviors within the first few picoseconds. The heme iron is found popping out of and recoiling back into the heme plane in succession. These findings provide long-awaited visual validations for previous works using ultrafast spectroscopy and molecular dynamics simulations. Electron density variations are also found largely in the solvent during the first period of a low-frequency oscillation. This work demonstrates the importance of the analytical methods in detecting and isolating weak, transient signals of electronic changes arising from chemical reactions.","container-title":"The Journal of Physical Chemistry Letters","DOI":"10.1021/acs.jpclett.9b02375","journalAbbreviation":"J. Phys. Chem. Lett.","page":"7148-7163","source":"ACS Publications","title":"Ultrafast structural changes decomposed from serial crystallographic data","volume":"10","author":[{"family":"Ren","given":"Zhong"}],"issued":{"date-parts":[["2019",10,8]]}}},{"id":1522,"uris":["http://zotero.org/users/local/Med5doT8/items/FFS476ZV"],"uri":["http://zotero.org/users/local/Med5doT8/items/FFS476ZV"],"itemData":{"id":1522,"type":"article-journal","container-title":"Acta Cryst.","DOI":"10.1107/S0907444913003454","ISSN":"0907-4449, 1399-0047","issue":"6","journalAbbreviation":"Acta Cryst.","page":"946-959","source":"CrossRef","title":"Resolution of structural heterogeneity in dynamic crystallography","volume":"D69","author":[{"family":"Ren","given":"Zhong"},{"family":"Chan","given":"Peter W. Y."},{"family":"Moffat","given":"Keith"},{"family":"Pai","given":"Emil F."},{"family":"Royer","given":"William E."},{"family":"Šrajer","given":"Vukica"},{"family":"Yang","given":"Xiaojing"}],"issued":{"date-parts":[["2013",5,2]]}}},{"id":107,"uris":["http://zotero.org/users/local/Med5doT8/items/IGC64A6I"],"uri":["http://zotero.org/users/local/Med5doT8/items/IGC64A6I"],"itemData":{"id":107,"type":"article-journal","abstract":"Singular value decomposition (SVD) is a technique commonly used in the analysis of spectroscopic data that both acts as a noise filter and reduces the dimensionality of subsequent least-squares fits. To establish the applicability of SVD to crystallographic data, we applied SVD to calculated difference Fourier maps simulating those to be obtained in a time-resolved crystallographic study of photoactive yellow protein. The atomic structures of one dark state and three intermediates were used in qualitatively different kinetic mechanisms to generate time-dependent difference maps at specific time points. Random noise of varying levels in the difference structure factor amplitudes, different extents of reaction initiation, and different numbers of time points were all employed to simulate a range of realistic experimental conditions. Our results show that SVD allows for an unbiased differentiation between signal and noise; a small subset of singular values and vectors represents the signal well, reducing the random noise in the data. Due to this, phase information of the difference structure factors can be obtained. After identifying and fitting a kinetic mechanism, the time-independent structures of the intermediates could be recovered. This demonstrates that SVD will be a powerful tool in the analysis of experimental time-resolved crystallographic data.","container-title":"Biophysical Journal","DOI":"10.1016/S0006-3495(03)75018-8","ISSN":"0006-3495","issue":"3","journalAbbreviation":"Biophys. J.","page":"2112-2129","source":"ScienceDirect","title":"Application of singular value decomposition to the analysis of time-resolved macromolecular X-ray data","volume":"84","author":[{"family":"Schmidt","given":"Marius"},{"family":"Rajagopal","given":"Sudarshan"},{"family":"Ren","given":"Zhong"},{"family":"Moffat","given":"Keith"}],"issued":{"date-parts":[["2003",3]]}}},{"id":115,"uris":["http://zotero.org/users/local/Med5doT8/items/947CDARB"],"uri":["http://zotero.org/users/local/Med5doT8/items/947CDARB"],"itemData":{"id":115,"type":"article-journal","container-title":"Acta Crystallographica Section A Foundations of Crystallography","DOI":"10.1107/S0108767309054166","ISSN":"0108-7673","issue":"2","journalAbbreviation":"Acta Crystallogr A Found Crystallogr","page":"198-206","source":"CrossRef","title":"Five-dimensional crystallography","volume":"66","author":[{"family":"Schmidt","given":"Marius"},{"family":"Graber","given":"Tim"},{"family":"Henning","given":"Robert"},{"family":"Srajer","given":"Vukica"}],"issued":{"date-parts":[["2010",2]]}}}],"schema":"https://github.com/citation-style-language/schema/raw/master/csl-citation.json"} </w:instrText>
      </w:r>
      <w:r>
        <w:rPr>
          <w:rFonts w:ascii="Palatino Linotype" w:hAnsi="Palatino Linotype"/>
        </w:rPr>
        <w:fldChar w:fldCharType="separate"/>
      </w:r>
      <w:r>
        <w:rPr>
          <w:rFonts w:ascii="Palatino Linotype" w:hAnsi="Palatino Linotype"/>
          <w:noProof/>
        </w:rPr>
        <w:t>(Ren, 2019; Ren et al., 2013; Schmidt et al., 2003, 2010)</w:t>
      </w:r>
      <w:r>
        <w:rPr>
          <w:rFonts w:ascii="Palatino Linotype" w:hAnsi="Palatino Linotype"/>
        </w:rPr>
        <w:fldChar w:fldCharType="end"/>
      </w:r>
      <w:r>
        <w:rPr>
          <w:rFonts w:ascii="Palatino Linotype" w:hAnsi="Palatino Linotype"/>
        </w:rPr>
        <w:t xml:space="preserve">.  Both difference electron density maps that require a reference dataset from an isomorphous crystal and simulated annealing omit maps that do not require the same unit cell and space group of the crystals are possible choices in a structural meta-analysis </w:t>
      </w:r>
      <w:r>
        <w:rPr>
          <w:rFonts w:ascii="Palatino Linotype" w:hAnsi="Palatino Linotype"/>
        </w:rPr>
        <w:fldChar w:fldCharType="begin"/>
      </w:r>
      <w:r>
        <w:rPr>
          <w:rFonts w:ascii="Palatino Linotype" w:hAnsi="Palatino Linotype"/>
        </w:rPr>
        <w:instrText xml:space="preserve"> ADDIN ZOTERO_ITEM CSL_CITATION {"citationID":"4Bxtj4ma","properties":{"formattedCitation":"(Ren, 2019; Ren et al., 2013)","plainCitation":"(Ren, 2019; Ren et al., 2013)","noteIndex":0},"citationItems":[{"id":5648,"uris":["http://zotero.org/users/local/Med5doT8/items/UJH63CZI"],"uri":["http://zotero.org/users/local/Med5doT8/items/UJH63CZI"],"itemData":{"id":5648,"type":"article-journal","abstract":"Direct visualization of electronic and molecular events during biochemical reactions is essential to mechanistic insights. This Letter presents an in-depth analysis of the serial crystallographic data sets collected by Barends and Schlichting et al. ( Science 2015, 350, 445) that probe the ligand photodissociation in carbonmonoxy myoglobin. This analysis reveals electron density changes caused by the formation of high-spin 3d atomic orbitals of the heme iron upon photolysis and their dynamic behaviors within the first few picoseconds. The heme iron is found popping out of and recoiling back into the heme plane in succession. These findings provide long-awaited visual validations for previous works using ultrafast spectroscopy and molecular dynamics simulations. Electron density variations are also found largely in the solvent during the first period of a low-frequency oscillation. This work demonstrates the importance of the analytical methods in detecting and isolating weak, transient signals of electronic changes arising from chemical reactions.","container-title":"The Journal of Physical Chemistry Letters","DOI":"10.1021/acs.jpclett.9b02375","journalAbbreviation":"J. Phys. Chem. Lett.","page":"7148-7163","source":"ACS Publications","title":"Ultrafast structural changes decomposed from serial crystallographic data","volume":"10","author":[{"family":"Ren","given":"Zhong"}],"issued":{"date-parts":[["2019",10,8]]}}},{"id":1522,"uris":["http://zotero.org/users/local/Med5doT8/items/FFS476ZV"],"uri":["http://zotero.org/users/local/Med5doT8/items/FFS476ZV"],"itemData":{"id":1522,"type":"article-journal","container-title":"Acta Cryst.","DOI":"10.1107/S0907444913003454","ISSN":"0907-4449, 1399-0047","issue":"6","journalAbbreviation":"Acta Cryst.","page":"946-959","source":"CrossRef","title":"Resolution of structural heterogeneity in dynamic crystallography","volume":"D69","author":[{"family":"Ren","given":"Zhong"},{"family":"Chan","given":"Peter W. Y."},{"family":"Moffat","given":"Keith"},{"family":"Pai","given":"Emil F."},{"family":"Royer","given":"William E."},{"family":"Šrajer","given":"Vukica"},{"family":"Yang","given":"Xiaojing"}],"issued":{"date-parts":[["2013",5,2]]}}}],"schema":"https://github.com/citation-style-language/schema/raw/master/csl-citation.json"} </w:instrText>
      </w:r>
      <w:r>
        <w:rPr>
          <w:rFonts w:ascii="Palatino Linotype" w:hAnsi="Palatino Linotype"/>
        </w:rPr>
        <w:fldChar w:fldCharType="separate"/>
      </w:r>
      <w:r>
        <w:rPr>
          <w:rFonts w:ascii="Palatino Linotype" w:hAnsi="Palatino Linotype"/>
          <w:noProof/>
        </w:rPr>
        <w:t>(Ren, 2019; Ren et al., 2013)</w:t>
      </w:r>
      <w:r>
        <w:rPr>
          <w:rFonts w:ascii="Palatino Linotype" w:hAnsi="Palatino Linotype"/>
        </w:rPr>
        <w:fldChar w:fldCharType="end"/>
      </w:r>
      <w:r>
        <w:rPr>
          <w:rFonts w:ascii="Palatino Linotype" w:hAnsi="Palatino Linotype"/>
        </w:rPr>
        <w:t xml:space="preserve">.  The distance matrices or the electron density maps that SVD is performed on are called core data.  Each distance matrix or electron density map is associated with some metadata that describe the experimental conditions under which the core data are obtained, such as temperature, pH, light illumination, time delay, mutation, etc.  These metadata do not enter the SVD procedure.  However, they play important role in the subsequent interpretation of the SVD result.  This computational method of structural analysis takes advantage of a mathematical, yet practical, definition of conformational space with limited dimensionality </w:t>
      </w:r>
      <w:r>
        <w:rPr>
          <w:rFonts w:ascii="Palatino Linotype" w:hAnsi="Palatino Linotype"/>
        </w:rPr>
        <w:fldChar w:fldCharType="begin"/>
      </w:r>
      <w:r>
        <w:rPr>
          <w:rFonts w:ascii="Palatino Linotype" w:hAnsi="Palatino Linotype"/>
        </w:rPr>
        <w:instrText xml:space="preserve"> ADDIN ZOTERO_ITEM CSL_CITATION {"citationID":"1j25vj6rc3","properties":{"formattedCitation":"(Ren, 2013a)","plainCitation":"(Ren, 2013a)","noteIndex":0},"citationItems":[{"id":1265,"uris":["http://zotero.org/users/local/Med5doT8/items/KEDRAZTN"],"uri":["http://zotero.org/users/local/Med5doT8/items/KEDRAZTN"],"itemData":{"id":1265,"type":"article-journal","container-title":"PLoS ONE","DOI":"10.1371/journal.pone.0077141","issue":"11","journalAbbreviation":"PLoS ONE","page":"e77141","title":"Reaction trajectory revealed by a joint analysis of Protein Data Bank","volume":"8","author":[{"family":"Ren","given":"Zhong"}],"issued":{"date-parts":[["2013",11,11]]}}}],"schema":"https://github.com/citation-style-language/schema/raw/master/csl-citation.json"} </w:instrText>
      </w:r>
      <w:r>
        <w:rPr>
          <w:rFonts w:ascii="Palatino Linotype" w:hAnsi="Palatino Linotype"/>
        </w:rPr>
        <w:fldChar w:fldCharType="separate"/>
      </w:r>
      <w:r>
        <w:rPr>
          <w:rFonts w:ascii="Palatino Linotype" w:hAnsi="Palatino Linotype"/>
        </w:rPr>
        <w:t>(Ren, 2013a)</w:t>
      </w:r>
      <w:r>
        <w:rPr>
          <w:rFonts w:ascii="Palatino Linotype" w:hAnsi="Palatino Linotype"/>
        </w:rPr>
        <w:fldChar w:fldCharType="end"/>
      </w:r>
      <w:r>
        <w:rPr>
          <w:rFonts w:ascii="Palatino Linotype" w:hAnsi="Palatino Linotype"/>
        </w:rPr>
        <w:t xml:space="preserve">.  Each experimentally determined structure is a snapshot of the protein structure.  </w:t>
      </w:r>
      <w:proofErr w:type="gramStart"/>
      <w:r>
        <w:rPr>
          <w:rFonts w:ascii="Palatino Linotype" w:hAnsi="Palatino Linotype"/>
        </w:rPr>
        <w:t>A large number of</w:t>
      </w:r>
      <w:proofErr w:type="gramEnd"/>
      <w:r>
        <w:rPr>
          <w:rFonts w:ascii="Palatino Linotype" w:hAnsi="Palatino Linotype"/>
        </w:rPr>
        <w:t xml:space="preserve"> such snapshots taken under a variety of experimental conditions, the metadata, would collectively provide a survey of the accessible conformational space of the protein structure and reveal its rection trajectory.  Such joint analytical strategy would not be effective in early years when far fewer protein structures were determined to atomic resolution.  Recent rapid growth in protein crystallography, such as in structural genomics </w:t>
      </w:r>
      <w:r>
        <w:rPr>
          <w:rFonts w:ascii="Palatino Linotype" w:hAnsi="Palatino Linotype"/>
        </w:rPr>
        <w:fldChar w:fldCharType="begin"/>
      </w:r>
      <w:r>
        <w:rPr>
          <w:rFonts w:ascii="Palatino Linotype" w:hAnsi="Palatino Linotype"/>
        </w:rPr>
        <w:instrText xml:space="preserve"> ADDIN ZOTERO_ITEM CSL_CITATION {"citationID":"9j22odcba","properties":{"formattedCitation":"(Berman et al., 2012; Chandonia and Brenner, 2006)","plainCitation":"(Berman et al., 2012; Chandonia and Brenner, 2006)","noteIndex":0},"citationItems":[{"id":1098,"uris":["http://zotero.org/users/local/Med5doT8/items/UBXVV4GB"],"uri":["http://zotero.org/users/local/Med5doT8/items/UBXVV4GB"],"itemData":{"id":1098,"type":"article-journal","container-title":"Structure","DOI":"10.1016/j.str.2012.01.010","ISSN":"0969-2126","issue":"3","page":"391-396","source":"Cell Press","title":"The Protein Data Bank at 40: Reflecting on the Past to Prepare for the Future","title-short":"The Protein Data Bank at 40","volume":"20","author":[{"family":"Berman","given":"Helen M."},{"family":"Kleywegt","given":"Gerard J."},{"family":"Nakamura","given":"Haruki"},{"family":"Markley","given":"John L."}],"issued":{"date-parts":[["2012",3,7]]}}},{"id":1139,"uris":["http://zotero.org/users/local/Med5doT8/items/WAVWBAD3"],"uri":["http://zotero.org/users/local/Med5doT8/items/WAVWBAD3"],"itemData":{"id":1139,"type":"article-journal","abstract":"Structural genomics (SG) projects aim to expand our structural knowledge of biological macromolecules while lowering the average costs of structure determination. We quantitatively analyzed the novelty, cost, and impact of structures solved by SG centers, and we contrast these results with traditional structural biology. The first structure identified in a protein family enables inference of the fold and of ancient relationships to other proteins; in the year ending 31 January 2005, about half of such structures were solved at a SG center rather than in a traditional laboratory. Furthermore, the cost of solving a structure at the most efficient SG center in the United States has dropped to one-quarter of the estimated cost of solving a structure by traditional methods. However, the efficiency of the top structural biology laboratories—even though they work on very challenging structures—is comparable to that of SG centers; moreover, traditional structural biology papers are cited significantly more often, suggesting greater current impact.","container-title":"Science","DOI":"10.1126/science.1121018","ISSN":"0036-8075, 1095-9203","issue":"5759","journalAbbreviation":"Science","language":"en","page":"347-351","source":"www.sciencemag.org.proxy.uchicago.edu","title":"The impact of structural genomics: expectations and outcomes","title-short":"The Impact of Structural Genomics","volume":"311","author":[{"family":"Chandonia","given":"John-Marc"},{"family":"Brenner","given":"Steven E."}],"issued":{"date-parts":[["2006",1,20]]}}}],"schema":"https://github.com/citation-style-language/schema/raw/master/csl-citation.json"} </w:instrText>
      </w:r>
      <w:r>
        <w:rPr>
          <w:rFonts w:ascii="Palatino Linotype" w:hAnsi="Palatino Linotype"/>
        </w:rPr>
        <w:fldChar w:fldCharType="separate"/>
      </w:r>
      <w:r>
        <w:rPr>
          <w:rFonts w:ascii="Palatino Linotype" w:hAnsi="Palatino Linotype"/>
        </w:rPr>
        <w:t xml:space="preserve">(Berman et al., 2012; </w:t>
      </w:r>
      <w:proofErr w:type="spellStart"/>
      <w:r>
        <w:rPr>
          <w:rFonts w:ascii="Palatino Linotype" w:hAnsi="Palatino Linotype"/>
        </w:rPr>
        <w:t>Chandonia</w:t>
      </w:r>
      <w:proofErr w:type="spellEnd"/>
      <w:r>
        <w:rPr>
          <w:rFonts w:ascii="Palatino Linotype" w:hAnsi="Palatino Linotype"/>
        </w:rPr>
        <w:t xml:space="preserve"> and Brenner, 2006)</w:t>
      </w:r>
      <w:r>
        <w:rPr>
          <w:rFonts w:ascii="Palatino Linotype" w:hAnsi="Palatino Linotype"/>
        </w:rPr>
        <w:fldChar w:fldCharType="end"/>
      </w:r>
      <w:r>
        <w:rPr>
          <w:rFonts w:ascii="Palatino Linotype" w:hAnsi="Palatino Linotype"/>
        </w:rPr>
        <w:t xml:space="preserve"> and in serial crystallography </w:t>
      </w:r>
      <w:r>
        <w:rPr>
          <w:rFonts w:ascii="Palatino Linotype" w:hAnsi="Palatino Linotype"/>
        </w:rPr>
        <w:fldChar w:fldCharType="begin"/>
      </w:r>
      <w:r>
        <w:rPr>
          <w:rFonts w:ascii="Palatino Linotype" w:hAnsi="Palatino Linotype"/>
        </w:rPr>
        <w:instrText xml:space="preserve"> ADDIN ZOTERO_ITEM CSL_CITATION {"citationID":"93KMcEV9","properties":{"formattedCitation":"(Glynn and Rodriguez, 2019; Schaffer et al., 2021)","plainCitation":"(Glynn and Rodriguez, 2019; Schaffer et al., 2021)","noteIndex":0},"citationItems":[{"id":5533,"uris":["http://zotero.org/users/local/Med5doT8/items/NH97KDDI"],"uri":["http://zotero.org/users/local/Med5doT8/items/NH97KDDI"],"itemData":{"id":5533,"type":"article-journal","abstract":"Structural biology is in the midst of a revolution fueled by faster and more powerful instruments capable of delivering orders of magnitude more data than their predecessors. This increased pace in data gathering introduces new experimental and computational challenges, frustrating real-time processing and interpretation of data and requiring long-term solutions for data archival and retrieval. This combination of challenges and opportunities is driving the exploration of new areas of structural biology, including studies of macromolecular dynamics and the investigation of molecular ensembles in search of a better understanding of conformational landscapes. The next generation of instruments promises to yield even greater data rates, requiring a concerted effort by institutions, centers and individuals to extract meaning from every bit and make data accessible to the community at large, facilitating data mining efforts by individuals or groups as analysis tools improve.","container-title":"Emerging Topics in Life Sciences","DOI":"10.1042/ETLS20180177","ISSN":"2397-8554, 2397-8562","language":"en","page":"ETLS20180177","source":"www.emergtoplifesci.org","title":"Data-driven challenges and opportunities in crystallography","author":[{"family":"Glynn","given":"Calina"},{"family":"Rodriguez","given":"Jose A."}],"issued":{"date-parts":[["2019",7,26]]}}},{"id":6454,"uris":["http://zotero.org/users/local/Med5doT8/items/5FWSBD95"],"uri":["http://zotero.org/users/local/Med5doT8/items/5FWSBD95"],"itemData":{"id":6454,"type":"article-journal","abstract":"Structural biologists rely on X-ray crystallography as the main technique for determining the three-dimensional structures of macromolecules; however, in recent years, new methods that go beyond X-ray-based technologies are broadening the selection of tools to understand molecular structure and function. Simultaneously, national facilities are developing programming tools and maintaining personnel to aid novice structural biologists in de novo structure determination. The combination of X-ray free electron lasers (XFELs) and serial femtosecond crystallography (SFX) now enable time-resolved structure determination that allows for capture of dynamic processes, such as reaction mechanism and conformational flexibility. XFEL and SFX, along with microcrystal electron diffraction (MicroED), help side-step the need for large crystals for structural studies. Moreover, advances in cryogenic electron microscopy (cryo-EM) as a tool for structure determination is revolutionizing how difficult to crystallize macromolecules and/or complexes can be visualized at the atomic scale. This review aims to provide a broad overview of these new methods and to guide readers to more in-depth literature of these methods.","container-title":"Emerging Topics in Life Sciences","DOI":"10.1042/ETLS20200272","ISSN":"2397-8554, 2397-8562","language":"en","page":"ETLS20200272","source":"DOI.org (Crossref)","title":"Beyond X-rays: an overview of emerging structural biology methods","title-short":"Beyond X-rays","author":[{"family":"Schaffer","given":"Jason E."},{"family":"Kukshal","given":"Vandna"},{"family":"Miller","given":"Justin J."},{"family":"Kitainda","given":"Vivian"},{"family":"Jez","given":"Joseph M."}],"issued":{"date-parts":[["2021",2,4]]}}}],"schema":"https://github.com/citation-style-language/schema/raw/master/csl-citation.json"} </w:instrText>
      </w:r>
      <w:r>
        <w:rPr>
          <w:rFonts w:ascii="Palatino Linotype" w:hAnsi="Palatino Linotype"/>
        </w:rPr>
        <w:fldChar w:fldCharType="separate"/>
      </w:r>
      <w:r>
        <w:rPr>
          <w:rFonts w:ascii="Palatino Linotype" w:hAnsi="Palatino Linotype"/>
          <w:noProof/>
        </w:rPr>
        <w:t>(Glynn and Rodriguez, 2019; Schaffer et al., 2021)</w:t>
      </w:r>
      <w:r>
        <w:rPr>
          <w:rFonts w:ascii="Palatino Linotype" w:hAnsi="Palatino Linotype"/>
        </w:rPr>
        <w:fldChar w:fldCharType="end"/>
      </w:r>
      <w:r>
        <w:rPr>
          <w:rFonts w:ascii="Palatino Linotype" w:hAnsi="Palatino Linotype"/>
        </w:rPr>
        <w:t>, has supplied the necessarily wide sampling of protein structures for a joint analytical strategy to come of age.  The vacancies or gaps in a conformational space between well-populated conformational clusters often correspond to less stable transient states whose conformations are difficult</w:t>
      </w:r>
      <w:r w:rsidRPr="003857AC">
        <w:rPr>
          <w:rFonts w:ascii="Palatino Linotype" w:hAnsi="Palatino Linotype"/>
        </w:rPr>
        <w:t xml:space="preserve"> </w:t>
      </w:r>
      <w:r>
        <w:rPr>
          <w:rFonts w:ascii="Palatino Linotype" w:hAnsi="Palatino Linotype"/>
        </w:rPr>
        <w:t xml:space="preserve">to capture, if not impossible.  These conformations are often key to mechanistic understanding and could be explored by a back calculation based on molecular distance geometry </w:t>
      </w:r>
      <w:r>
        <w:rPr>
          <w:rFonts w:ascii="Palatino Linotype" w:hAnsi="Palatino Linotype"/>
        </w:rPr>
        <w:fldChar w:fldCharType="begin"/>
      </w:r>
      <w:r>
        <w:rPr>
          <w:rFonts w:ascii="Palatino Linotype" w:hAnsi="Palatino Linotype"/>
        </w:rPr>
        <w:instrText xml:space="preserve"> ADDIN ZOTERO_ITEM CSL_CITATION {"citationID":"qgTKjAfT","properties":{"formattedCitation":"(Ren, 2013a, 2016)","plainCitation":"(Ren, 2013a, 2016)","noteIndex":0},"citationItems":[{"id":1265,"uris":["http://zotero.org/users/local/Med5doT8/items/KEDRAZTN"],"uri":["http://zotero.org/users/local/Med5doT8/items/KEDRAZTN"],"itemData":{"id":1265,"type":"article-journal","container-title":"PLoS ONE","DOI":"10.1371/journal.pone.0077141","issue":"11","journalAbbreviation":"PLoS ONE","page":"e77141","title":"Reaction trajectory revealed by a joint analysis of Protein Data Bank","volume":"8","author":[{"family":"Ren","given":"Zhong"}],"issued":{"date-parts":[["2013",11,11]]}}},{"id":3360,"uris":["http://zotero.org/users/local/Med5doT8/items/FGA6R5AM"],"uri":["http://zotero.org/users/local/Med5doT8/items/FGA6R5AM"],"itemData":{"id":3360,"type":"article-journal","container-title":"Nucleic Acids Research","DOI":"10.1093/nar/gkw555","ISSN":"0305-1048, 1362-4962","issue":"43129","language":"en","page":"1-13","source":"CrossRef","title":"Molecular events during translocation and proofreading extracted from 200 static structures of DNA polymerase","volume":"6","author":[{"family":"Ren","given":"Zhong"}],"issued":{"date-parts":[["2016",6,20]]}}}],"schema":"https://github.com/citation-style-language/schema/raw/master/csl-citation.json"} </w:instrText>
      </w:r>
      <w:r>
        <w:rPr>
          <w:rFonts w:ascii="Palatino Linotype" w:hAnsi="Palatino Linotype"/>
        </w:rPr>
        <w:fldChar w:fldCharType="separate"/>
      </w:r>
      <w:r>
        <w:rPr>
          <w:rFonts w:ascii="Palatino Linotype" w:hAnsi="Palatino Linotype"/>
        </w:rPr>
        <w:t>(Ren, 2013a, 2016)</w:t>
      </w:r>
      <w:r>
        <w:rPr>
          <w:rFonts w:ascii="Palatino Linotype" w:hAnsi="Palatino Linotype"/>
        </w:rPr>
        <w:fldChar w:fldCharType="end"/>
      </w:r>
      <w:r>
        <w:rPr>
          <w:rFonts w:ascii="Palatino Linotype" w:hAnsi="Palatino Linotype"/>
        </w:rPr>
        <w:t xml:space="preserve">, the chief computational algorithm in nucleic magnetic resonance spectroscopy (NMR), and by a structure refinement based on reconstituted dataset, a major methodological advance in </w:t>
      </w:r>
      <w:r>
        <w:rPr>
          <w:rFonts w:ascii="Palatino Linotype" w:hAnsi="Palatino Linotype"/>
        </w:rPr>
        <w:lastRenderedPageBreak/>
        <w:t xml:space="preserve">this work (see below).  These structures refined to atomic resolution against reconstituted datasets may reveal short-lived intermediate conformation hard to be captured experimentally.  Unfortunately, a protein structure refined against a reconstituted dataset currently cannot be recognized by </w:t>
      </w:r>
      <w:r>
        <w:rPr>
          <w:rFonts w:ascii="Palatino Linotype" w:hAnsi="Palatino Linotype" w:cs="Arial"/>
        </w:rPr>
        <w:t>the Protein Data Bank (</w:t>
      </w:r>
      <w:r>
        <w:rPr>
          <w:rFonts w:ascii="Palatino Linotype" w:hAnsi="Palatino Linotype"/>
        </w:rPr>
        <w:t>PDB).  Because crystallographic refinement of a macromolecular structure is narrowly defined as a correspondence from one dataset to one structure.  A never-observed dataset reconstituted from a collection of experimental datasets does not match the well-established crystallographic template of PDB; let alone a refinement of crystal structure with the NMR algorithm.</w:t>
      </w:r>
    </w:p>
    <w:p w14:paraId="586D64CF" w14:textId="77777777" w:rsidR="0039334C" w:rsidRDefault="0039334C" w:rsidP="0039334C">
      <w:pPr>
        <w:spacing w:line="276" w:lineRule="auto"/>
        <w:rPr>
          <w:rFonts w:ascii="Palatino Linotype" w:hAnsi="Palatino Linotype"/>
        </w:rPr>
      </w:pPr>
    </w:p>
    <w:p w14:paraId="77C1410C" w14:textId="77777777" w:rsidR="0039334C" w:rsidRDefault="0039334C" w:rsidP="0039334C">
      <w:pPr>
        <w:spacing w:line="276" w:lineRule="auto"/>
        <w:ind w:firstLine="360"/>
        <w:rPr>
          <w:rFonts w:ascii="Palatino Linotype" w:hAnsi="Palatino Linotype" w:cs="Arial"/>
        </w:rPr>
      </w:pPr>
      <w:r w:rsidRPr="00845B7E">
        <w:rPr>
          <w:rFonts w:ascii="Palatino Linotype" w:hAnsi="Palatino Linotype" w:cs="Arial"/>
        </w:rPr>
        <w:t xml:space="preserve">A distance matrix contains </w:t>
      </w:r>
      <w:r w:rsidRPr="00845B7E">
        <w:rPr>
          <w:rFonts w:ascii="Palatino Linotype" w:hAnsi="Palatino Linotype" w:cs="Arial"/>
          <w:i/>
        </w:rPr>
        <w:t>M</w:t>
      </w:r>
      <w:r w:rsidRPr="00845B7E">
        <w:rPr>
          <w:rFonts w:ascii="Palatino Linotype" w:hAnsi="Palatino Linotype" w:cs="Arial"/>
        </w:rPr>
        <w:t xml:space="preserve"> pairwise interatomic distances of a structure</w:t>
      </w:r>
      <w:r>
        <w:rPr>
          <w:rFonts w:ascii="Palatino Linotype" w:hAnsi="Palatino Linotype" w:cs="Arial"/>
        </w:rPr>
        <w:t xml:space="preserve"> in the form of Cartesian coordinates of all observed atoms</w:t>
      </w:r>
      <w:r w:rsidRPr="00845B7E">
        <w:rPr>
          <w:rFonts w:ascii="Palatino Linotype" w:hAnsi="Palatino Linotype" w:cs="Arial"/>
        </w:rPr>
        <w:t xml:space="preserve">. </w:t>
      </w:r>
      <w:r>
        <w:rPr>
          <w:rFonts w:ascii="Palatino Linotype" w:hAnsi="Palatino Linotype" w:cs="Arial"/>
        </w:rPr>
        <w:t xml:space="preserve"> </w:t>
      </w:r>
      <w:r w:rsidRPr="00845B7E">
        <w:rPr>
          <w:rFonts w:ascii="Palatino Linotype" w:hAnsi="Palatino Linotype" w:cs="Arial"/>
        </w:rPr>
        <w:t>An everyday example of distance matrix is an intercity mileage chart</w:t>
      </w:r>
      <w:r>
        <w:rPr>
          <w:rFonts w:ascii="Palatino Linotype" w:hAnsi="Palatino Linotype" w:cs="Arial"/>
        </w:rPr>
        <w:t xml:space="preserve"> appended to the road atlas</w:t>
      </w:r>
      <w:r w:rsidRPr="00845B7E">
        <w:rPr>
          <w:rFonts w:ascii="Palatino Linotype" w:hAnsi="Palatino Linotype" w:cs="Arial"/>
        </w:rPr>
        <w:t xml:space="preserve">.  </w:t>
      </w:r>
      <w:r>
        <w:rPr>
          <w:rFonts w:ascii="Palatino Linotype" w:hAnsi="Palatino Linotype" w:cs="Arial"/>
        </w:rPr>
        <w:t xml:space="preserve">Differences in the molecular orientation, choice of origin, and crystal lattice among all experimentally determined structures have no contribution to the distance matrices.  Due to its symmetry, only the lower triangle is necessary.  A far more intimate examination of protein structures in PDB is a direct analysis of their electron density maps instead of the atomic coordinates.  </w:t>
      </w:r>
      <w:r w:rsidRPr="00560C48">
        <w:rPr>
          <w:rFonts w:ascii="Palatino Linotype" w:hAnsi="Palatino Linotype" w:cs="Arial"/>
          <w:i/>
          <w:iCs/>
        </w:rPr>
        <w:t>M</w:t>
      </w:r>
      <w:r>
        <w:rPr>
          <w:rFonts w:ascii="Palatino Linotype" w:hAnsi="Palatino Linotype" w:cs="Arial"/>
        </w:rPr>
        <w:t xml:space="preserve"> such (difference) electron densities, often called voxels in computer graphics, are selected by a mask of interest.  In the case of difference maps, only the best refined protein structure in the entire collection supplies a phase set for Fourier synthesis of electron density maps.  This best structure is often the ground state structure determined by static crystallography.  Other refined atomic coordinates from the PDB entries are not considered in the meta-analysis.  </w:t>
      </w:r>
      <w:proofErr w:type="gramStart"/>
      <w:r>
        <w:rPr>
          <w:rFonts w:ascii="Palatino Linotype" w:hAnsi="Palatino Linotype" w:cs="Arial"/>
        </w:rPr>
        <w:t>That is to say, a</w:t>
      </w:r>
      <w:proofErr w:type="gramEnd"/>
      <w:r>
        <w:rPr>
          <w:rFonts w:ascii="Palatino Linotype" w:hAnsi="Palatino Linotype" w:cs="Arial"/>
        </w:rPr>
        <w:t xml:space="preserve"> meta-analysis of difference electron density maps starts from the X-ray diffraction data archived in PDB rather than the atomic coordinates interpreted from the diffraction data, which removes any potential model bias.</w:t>
      </w:r>
    </w:p>
    <w:p w14:paraId="4BE9601F" w14:textId="77777777" w:rsidR="0039334C" w:rsidRDefault="0039334C" w:rsidP="0039334C">
      <w:pPr>
        <w:spacing w:line="276" w:lineRule="auto"/>
        <w:ind w:firstLine="360"/>
        <w:rPr>
          <w:rFonts w:ascii="Palatino Linotype" w:hAnsi="Palatino Linotype" w:cs="Arial"/>
        </w:rPr>
      </w:pPr>
    </w:p>
    <w:p w14:paraId="53195B5A" w14:textId="77777777" w:rsidR="0039334C" w:rsidRPr="00010331" w:rsidRDefault="0039334C" w:rsidP="0039334C">
      <w:pPr>
        <w:keepNext/>
        <w:spacing w:line="276" w:lineRule="auto"/>
        <w:rPr>
          <w:rFonts w:ascii="Palatino Linotype" w:hAnsi="Palatino Linotype"/>
          <w:bCs/>
          <w:i/>
        </w:rPr>
      </w:pPr>
      <w:r w:rsidRPr="00010331">
        <w:rPr>
          <w:rFonts w:ascii="Palatino Linotype" w:hAnsi="Palatino Linotype"/>
          <w:bCs/>
          <w:i/>
        </w:rPr>
        <w:t>Singular value decomposition of (difference) electron density maps</w:t>
      </w:r>
    </w:p>
    <w:p w14:paraId="0ED28096" w14:textId="77777777" w:rsidR="0039334C" w:rsidRDefault="0039334C" w:rsidP="0039334C">
      <w:pPr>
        <w:spacing w:line="276" w:lineRule="auto"/>
        <w:rPr>
          <w:rFonts w:ascii="Palatino Linotype" w:hAnsi="Palatino Linotype"/>
        </w:rPr>
      </w:pPr>
      <w:r>
        <w:rPr>
          <w:rFonts w:ascii="Palatino Linotype" w:hAnsi="Palatino Linotype"/>
        </w:rPr>
        <w:t xml:space="preserve">An electron density map, particularly a difference map as emphasized here, consists of density values on an array of grid points within a mask of interest.  All </w:t>
      </w:r>
      <w:r w:rsidRPr="005D077C">
        <w:rPr>
          <w:rFonts w:ascii="Palatino Linotype" w:hAnsi="Palatino Linotype"/>
          <w:i/>
        </w:rPr>
        <w:t>M</w:t>
      </w:r>
      <w:r>
        <w:rPr>
          <w:rFonts w:ascii="Palatino Linotype" w:hAnsi="Palatino Linotype"/>
        </w:rPr>
        <w:t xml:space="preserve"> grid points in a three-dimensional map can be serialized into a one-dimensional sequence of density values according to a specific protocol.  It is not important what the protocol is </w:t>
      </w:r>
      <w:proofErr w:type="gramStart"/>
      <w:r>
        <w:rPr>
          <w:rFonts w:ascii="Palatino Linotype" w:hAnsi="Palatino Linotype"/>
        </w:rPr>
        <w:t>as long as</w:t>
      </w:r>
      <w:proofErr w:type="gramEnd"/>
      <w:r>
        <w:rPr>
          <w:rFonts w:ascii="Palatino Linotype" w:hAnsi="Palatino Linotype"/>
        </w:rPr>
        <w:t xml:space="preserve"> a consistent protocol is used to serialize all maps of the same grid setting and size, and a reverse protocol is available to erect a three-dimensional map from a sequence of </w:t>
      </w:r>
      <w:r w:rsidRPr="005D077C">
        <w:rPr>
          <w:rFonts w:ascii="Palatino Linotype" w:hAnsi="Palatino Linotype"/>
          <w:i/>
        </w:rPr>
        <w:lastRenderedPageBreak/>
        <w:t>M</w:t>
      </w:r>
      <w:r>
        <w:rPr>
          <w:rFonts w:ascii="Palatino Linotype" w:hAnsi="Palatino Linotype"/>
        </w:rPr>
        <w:t xml:space="preserve"> densities.  Therefore, a set of </w:t>
      </w:r>
      <w:r w:rsidRPr="005D077C">
        <w:rPr>
          <w:rFonts w:ascii="Palatino Linotype" w:hAnsi="Palatino Linotype"/>
          <w:i/>
        </w:rPr>
        <w:t>N</w:t>
      </w:r>
      <w:r>
        <w:rPr>
          <w:rFonts w:ascii="Palatino Linotype" w:hAnsi="Palatino Linotype"/>
        </w:rPr>
        <w:t xml:space="preserve"> serialized maps, also known as vectors in linear algebra, can fill the columns of a data matrix </w:t>
      </w:r>
      <w:r w:rsidRPr="005D077C">
        <w:rPr>
          <w:rFonts w:ascii="Palatino Linotype" w:hAnsi="Palatino Linotype"/>
          <w:b/>
        </w:rPr>
        <w:t>A</w:t>
      </w:r>
      <w:r>
        <w:rPr>
          <w:rFonts w:ascii="Palatino Linotype" w:hAnsi="Palatino Linotype"/>
        </w:rPr>
        <w:t xml:space="preserve"> with no specific order, so that the width of </w:t>
      </w:r>
      <w:r w:rsidRPr="005D077C">
        <w:rPr>
          <w:rFonts w:ascii="Palatino Linotype" w:hAnsi="Palatino Linotype"/>
          <w:b/>
        </w:rPr>
        <w:t>A</w:t>
      </w:r>
      <w:r>
        <w:rPr>
          <w:rFonts w:ascii="Palatino Linotype" w:hAnsi="Palatino Linotype"/>
        </w:rPr>
        <w:t xml:space="preserve"> is </w:t>
      </w:r>
      <w:r w:rsidRPr="005D077C">
        <w:rPr>
          <w:rFonts w:ascii="Palatino Linotype" w:hAnsi="Palatino Linotype"/>
          <w:i/>
        </w:rPr>
        <w:t>N</w:t>
      </w:r>
      <w:r>
        <w:rPr>
          <w:rFonts w:ascii="Palatino Linotype" w:hAnsi="Palatino Linotype"/>
        </w:rPr>
        <w:t xml:space="preserve"> columns, and the length is </w:t>
      </w:r>
      <w:r w:rsidRPr="005D077C">
        <w:rPr>
          <w:rFonts w:ascii="Palatino Linotype" w:hAnsi="Palatino Linotype"/>
          <w:i/>
        </w:rPr>
        <w:t>M</w:t>
      </w:r>
      <w:r>
        <w:rPr>
          <w:rFonts w:ascii="Palatino Linotype" w:hAnsi="Palatino Linotype"/>
        </w:rPr>
        <w:t xml:space="preserve"> rows.  Often, </w:t>
      </w:r>
      <w:r w:rsidRPr="00383A96">
        <w:rPr>
          <w:rFonts w:ascii="Palatino Linotype" w:hAnsi="Palatino Linotype"/>
          <w:i/>
        </w:rPr>
        <w:t>M</w:t>
      </w:r>
      <w:r>
        <w:rPr>
          <w:rFonts w:ascii="Palatino Linotype" w:hAnsi="Palatino Linotype"/>
        </w:rPr>
        <w:t xml:space="preserve"> &gt;&gt; </w:t>
      </w:r>
      <w:r w:rsidRPr="00383A96">
        <w:rPr>
          <w:rFonts w:ascii="Palatino Linotype" w:hAnsi="Palatino Linotype"/>
          <w:i/>
        </w:rPr>
        <w:t>N</w:t>
      </w:r>
      <w:r>
        <w:rPr>
          <w:rFonts w:ascii="Palatino Linotype" w:hAnsi="Palatino Linotype"/>
        </w:rPr>
        <w:t xml:space="preserve">, thus </w:t>
      </w:r>
      <w:r w:rsidRPr="00383A96">
        <w:rPr>
          <w:rFonts w:ascii="Palatino Linotype" w:hAnsi="Palatino Linotype"/>
          <w:b/>
        </w:rPr>
        <w:t>A</w:t>
      </w:r>
      <w:r>
        <w:rPr>
          <w:rFonts w:ascii="Palatino Linotype" w:hAnsi="Palatino Linotype"/>
        </w:rPr>
        <w:t xml:space="preserve"> is an elongated matrix.  If a consistent protocol of serialization is used, the corresponding voxel in all </w:t>
      </w:r>
      <w:r w:rsidRPr="00383A96">
        <w:rPr>
          <w:rFonts w:ascii="Palatino Linotype" w:hAnsi="Palatino Linotype"/>
          <w:i/>
        </w:rPr>
        <w:t>N</w:t>
      </w:r>
      <w:r>
        <w:rPr>
          <w:rFonts w:ascii="Palatino Linotype" w:hAnsi="Palatino Linotype"/>
        </w:rPr>
        <w:t xml:space="preserve"> maps occupies a single row of matrix </w:t>
      </w:r>
      <w:r w:rsidRPr="00383A96">
        <w:rPr>
          <w:rFonts w:ascii="Palatino Linotype" w:hAnsi="Palatino Linotype"/>
          <w:b/>
        </w:rPr>
        <w:t>A</w:t>
      </w:r>
      <w:r>
        <w:rPr>
          <w:rFonts w:ascii="Palatino Linotype" w:hAnsi="Palatino Linotype"/>
        </w:rPr>
        <w:t xml:space="preserve">.  This strict correspondence in a row of matrix </w:t>
      </w:r>
      <w:r w:rsidRPr="00383A96">
        <w:rPr>
          <w:rFonts w:ascii="Palatino Linotype" w:hAnsi="Palatino Linotype"/>
          <w:b/>
        </w:rPr>
        <w:t>A</w:t>
      </w:r>
      <w:r>
        <w:rPr>
          <w:rFonts w:ascii="Palatino Linotype" w:hAnsi="Palatino Linotype"/>
        </w:rPr>
        <w:t xml:space="preserve"> is important.  Changes of the density values in a row from one structure to another are due to either signals, systematic errors, or noises.  Although the order of columns in matrix </w:t>
      </w:r>
      <w:r w:rsidRPr="003F212C">
        <w:rPr>
          <w:rFonts w:ascii="Palatino Linotype" w:hAnsi="Palatino Linotype"/>
          <w:b/>
          <w:bCs/>
        </w:rPr>
        <w:t>A</w:t>
      </w:r>
      <w:r>
        <w:rPr>
          <w:rFonts w:ascii="Palatino Linotype" w:hAnsi="Palatino Linotype"/>
        </w:rPr>
        <w:t xml:space="preserve"> is unimportant</w:t>
      </w:r>
      <w:proofErr w:type="gramStart"/>
      <w:r>
        <w:rPr>
          <w:rFonts w:ascii="Palatino Linotype" w:hAnsi="Palatino Linotype"/>
        </w:rPr>
        <w:t>, needless to say, the</w:t>
      </w:r>
      <w:proofErr w:type="gramEnd"/>
      <w:r>
        <w:rPr>
          <w:rFonts w:ascii="Palatino Linotype" w:hAnsi="Palatino Linotype"/>
        </w:rPr>
        <w:t xml:space="preserve"> metadata associated with each column must remain in good bookkeeping.</w:t>
      </w:r>
    </w:p>
    <w:p w14:paraId="3C9BBBC1" w14:textId="77777777" w:rsidR="0039334C" w:rsidRPr="00A81BED" w:rsidRDefault="0039334C" w:rsidP="0039334C">
      <w:pPr>
        <w:spacing w:line="276" w:lineRule="auto"/>
        <w:ind w:firstLine="360"/>
        <w:rPr>
          <w:rFonts w:ascii="Palatino Linotype" w:hAnsi="Palatino Linotype"/>
        </w:rPr>
      </w:pPr>
    </w:p>
    <w:p w14:paraId="3D7EBCF8" w14:textId="77777777" w:rsidR="0039334C" w:rsidRDefault="0039334C" w:rsidP="0039334C">
      <w:pPr>
        <w:spacing w:line="276" w:lineRule="auto"/>
        <w:ind w:firstLine="360"/>
        <w:rPr>
          <w:rFonts w:ascii="Palatino Linotype" w:hAnsi="Palatino Linotype"/>
        </w:rPr>
      </w:pPr>
      <w:r>
        <w:rPr>
          <w:rFonts w:ascii="Palatino Linotype" w:hAnsi="Palatino Linotype"/>
        </w:rPr>
        <w:t>SVD of the</w:t>
      </w:r>
      <w:r w:rsidRPr="00A81BED">
        <w:rPr>
          <w:rFonts w:ascii="Palatino Linotype" w:hAnsi="Palatino Linotype"/>
        </w:rPr>
        <w:t xml:space="preserve"> data matrix </w:t>
      </w:r>
      <w:r w:rsidRPr="00A81BED">
        <w:rPr>
          <w:rFonts w:ascii="Palatino Linotype" w:hAnsi="Palatino Linotype"/>
          <w:b/>
        </w:rPr>
        <w:t>A</w:t>
      </w:r>
      <w:r w:rsidRPr="00A81BED">
        <w:rPr>
          <w:rFonts w:ascii="Palatino Linotype" w:hAnsi="Palatino Linotype"/>
        </w:rPr>
        <w:t xml:space="preserve"> results in </w:t>
      </w:r>
      <m:oMath>
        <m:r>
          <m:rPr>
            <m:sty m:val="b"/>
          </m:rPr>
          <w:rPr>
            <w:rFonts w:ascii="Cambria Math" w:hAnsi="Cambria Math"/>
            <w:lang w:bidi="x-none"/>
          </w:rPr>
          <m:t>A</m:t>
        </m:r>
        <m:r>
          <m:rPr>
            <m:sty m:val="p"/>
          </m:rPr>
          <w:rPr>
            <w:rFonts w:ascii="Cambria Math" w:hAnsi="Cambria Math"/>
            <w:lang w:bidi="x-none"/>
          </w:rPr>
          <m:t>=</m:t>
        </m:r>
        <m:r>
          <m:rPr>
            <m:sty m:val="b"/>
          </m:rPr>
          <w:rPr>
            <w:rFonts w:ascii="Cambria Math" w:hAnsi="Cambria Math"/>
            <w:lang w:bidi="x-none"/>
          </w:rPr>
          <m:t>UW</m:t>
        </m:r>
        <m:sSup>
          <m:sSupPr>
            <m:ctrlPr>
              <w:rPr>
                <w:rFonts w:ascii="Cambria Math" w:hAnsi="Cambria Math"/>
                <w:lang w:bidi="x-none"/>
              </w:rPr>
            </m:ctrlPr>
          </m:sSupPr>
          <m:e>
            <m:r>
              <m:rPr>
                <m:sty m:val="b"/>
              </m:rPr>
              <w:rPr>
                <w:rFonts w:ascii="Cambria Math" w:hAnsi="Cambria Math"/>
                <w:lang w:bidi="x-none"/>
              </w:rPr>
              <m:t>V</m:t>
            </m:r>
          </m:e>
          <m:sup>
            <m:r>
              <m:rPr>
                <m:sty m:val="p"/>
              </m:rPr>
              <w:rPr>
                <w:rFonts w:ascii="Cambria Math" w:hAnsi="Cambria Math"/>
                <w:lang w:bidi="x-none"/>
              </w:rPr>
              <m:t>T</m:t>
            </m:r>
          </m:sup>
        </m:sSup>
      </m:oMath>
      <w:r>
        <w:rPr>
          <w:rFonts w:ascii="Palatino Linotype" w:hAnsi="Palatino Linotype"/>
          <w:lang w:bidi="x-none"/>
        </w:rPr>
        <w:t>, also known as matrix factorization.</w:t>
      </w:r>
      <w:r w:rsidRPr="00A81BED">
        <w:rPr>
          <w:rFonts w:ascii="Palatino Linotype" w:hAnsi="Palatino Linotype"/>
        </w:rPr>
        <w:t xml:space="preserve">  Matrix </w:t>
      </w:r>
      <w:r w:rsidRPr="00A81BED">
        <w:rPr>
          <w:rFonts w:ascii="Palatino Linotype" w:hAnsi="Palatino Linotype"/>
          <w:b/>
        </w:rPr>
        <w:t>U</w:t>
      </w:r>
      <w:r w:rsidRPr="00A81BED">
        <w:rPr>
          <w:rFonts w:ascii="Palatino Linotype" w:hAnsi="Palatino Linotype"/>
        </w:rPr>
        <w:t xml:space="preserve"> </w:t>
      </w:r>
      <w:r>
        <w:rPr>
          <w:rFonts w:ascii="Palatino Linotype" w:hAnsi="Palatino Linotype"/>
        </w:rPr>
        <w:t>has</w:t>
      </w:r>
      <w:r w:rsidRPr="00A81BED">
        <w:rPr>
          <w:rFonts w:ascii="Palatino Linotype" w:hAnsi="Palatino Linotype"/>
        </w:rPr>
        <w:t xml:space="preserve"> the same shape as </w:t>
      </w:r>
      <w:r w:rsidRPr="00A81BED">
        <w:rPr>
          <w:rFonts w:ascii="Palatino Linotype" w:hAnsi="Palatino Linotype"/>
          <w:b/>
        </w:rPr>
        <w:t>A</w:t>
      </w:r>
      <w:r>
        <w:rPr>
          <w:rFonts w:ascii="Palatino Linotype" w:hAnsi="Palatino Linotype"/>
        </w:rPr>
        <w:t xml:space="preserve">, that is, </w:t>
      </w:r>
      <w:r w:rsidRPr="00A81BED">
        <w:rPr>
          <w:rFonts w:ascii="Palatino Linotype" w:hAnsi="Palatino Linotype"/>
          <w:i/>
        </w:rPr>
        <w:t>N</w:t>
      </w:r>
      <w:r>
        <w:rPr>
          <w:rFonts w:ascii="Palatino Linotype" w:hAnsi="Palatino Linotype"/>
        </w:rPr>
        <w:t xml:space="preserve"> columns and </w:t>
      </w:r>
      <w:r w:rsidRPr="00A81BED">
        <w:rPr>
          <w:rFonts w:ascii="Palatino Linotype" w:hAnsi="Palatino Linotype"/>
          <w:i/>
        </w:rPr>
        <w:t>M</w:t>
      </w:r>
      <w:r>
        <w:rPr>
          <w:rFonts w:ascii="Palatino Linotype" w:hAnsi="Palatino Linotype"/>
        </w:rPr>
        <w:t xml:space="preserve"> rows.  The </w:t>
      </w:r>
      <w:r w:rsidRPr="00A81BED">
        <w:rPr>
          <w:rFonts w:ascii="Palatino Linotype" w:hAnsi="Palatino Linotype"/>
          <w:i/>
        </w:rPr>
        <w:t>N</w:t>
      </w:r>
      <w:r w:rsidRPr="00A81BED">
        <w:rPr>
          <w:rFonts w:ascii="Palatino Linotype" w:hAnsi="Palatino Linotype"/>
        </w:rPr>
        <w:t xml:space="preserve"> </w:t>
      </w:r>
      <w:r>
        <w:rPr>
          <w:rFonts w:ascii="Palatino Linotype" w:hAnsi="Palatino Linotype"/>
        </w:rPr>
        <w:t>columns contain</w:t>
      </w:r>
      <w:r w:rsidRPr="00A81BED">
        <w:rPr>
          <w:rFonts w:ascii="Palatino Linotype" w:hAnsi="Palatino Linotype"/>
        </w:rPr>
        <w:t xml:space="preserve"> decomposed </w:t>
      </w:r>
      <w:r>
        <w:rPr>
          <w:rFonts w:ascii="Palatino Linotype" w:hAnsi="Palatino Linotype"/>
        </w:rPr>
        <w:t xml:space="preserve">basis </w:t>
      </w:r>
      <w:r w:rsidRPr="00A81BED">
        <w:rPr>
          <w:rFonts w:ascii="Palatino Linotype" w:hAnsi="Palatino Linotype"/>
        </w:rPr>
        <w:t xml:space="preserve">components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sidRPr="00A81BED">
        <w:rPr>
          <w:rFonts w:ascii="Palatino Linotype" w:hAnsi="Palatino Linotype"/>
        </w:rPr>
        <w:t xml:space="preserve">, known as left singular vectors of </w:t>
      </w:r>
      <w:r w:rsidRPr="00A81BED">
        <w:rPr>
          <w:rFonts w:ascii="Palatino Linotype" w:hAnsi="Palatino Linotype"/>
          <w:i/>
        </w:rPr>
        <w:t>M</w:t>
      </w:r>
      <w:r>
        <w:rPr>
          <w:rFonts w:ascii="Palatino Linotype" w:hAnsi="Palatino Linotype"/>
        </w:rPr>
        <w:t xml:space="preserve"> items, where </w:t>
      </w:r>
      <w:r w:rsidRPr="00A81BED">
        <w:rPr>
          <w:rFonts w:ascii="Palatino Linotype" w:hAnsi="Palatino Linotype"/>
          <w:i/>
        </w:rPr>
        <w:t>k</w:t>
      </w:r>
      <w:r>
        <w:rPr>
          <w:rFonts w:ascii="Palatino Linotype" w:hAnsi="Palatino Linotype"/>
        </w:rPr>
        <w:t xml:space="preserve"> = 1, 2, …, </w:t>
      </w:r>
      <w:r w:rsidRPr="00A81BED">
        <w:rPr>
          <w:rFonts w:ascii="Palatino Linotype" w:hAnsi="Palatino Linotype"/>
          <w:i/>
        </w:rPr>
        <w:t>N</w:t>
      </w:r>
      <w:r>
        <w:rPr>
          <w:rFonts w:ascii="Palatino Linotype" w:hAnsi="Palatino Linotype"/>
        </w:rPr>
        <w:t>.</w:t>
      </w:r>
      <w:r w:rsidRPr="00A81BED">
        <w:rPr>
          <w:rFonts w:ascii="Palatino Linotype" w:hAnsi="Palatino Linotype"/>
        </w:rPr>
        <w:t xml:space="preserve">  </w:t>
      </w:r>
      <w:r>
        <w:rPr>
          <w:rFonts w:ascii="Palatino Linotype" w:hAnsi="Palatino Linotype"/>
        </w:rPr>
        <w:t>Therefore, each component</w:t>
      </w:r>
      <w:r w:rsidRPr="00A81BED">
        <w:rPr>
          <w:rFonts w:ascii="Palatino Linotype" w:hAnsi="Palatino Linotype"/>
        </w:rPr>
        <w:t xml:space="preserve">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can be erected using the reverse protocol to form a three-dimensional map. </w:t>
      </w:r>
      <w:r w:rsidRPr="00A81BED">
        <w:rPr>
          <w:rFonts w:ascii="Palatino Linotype" w:hAnsi="Palatino Linotype"/>
        </w:rPr>
        <w:t xml:space="preserve"> </w:t>
      </w:r>
      <w:r>
        <w:rPr>
          <w:rFonts w:ascii="Palatino Linotype" w:hAnsi="Palatino Linotype"/>
        </w:rPr>
        <w:t xml:space="preserve">This decomposed elemental map can be presented in the same way as the original maps, for example, rendered in molecular graphics software such as Coot and </w:t>
      </w:r>
      <w:proofErr w:type="spellStart"/>
      <w:r>
        <w:rPr>
          <w:rFonts w:ascii="Palatino Linotype" w:hAnsi="Palatino Linotype"/>
        </w:rPr>
        <w:t>PyMol</w:t>
      </w:r>
      <w:proofErr w:type="spellEnd"/>
      <w:r>
        <w:rPr>
          <w:rFonts w:ascii="Palatino Linotype" w:hAnsi="Palatino Linotype"/>
        </w:rPr>
        <w:t xml:space="preserve">.  </w:t>
      </w:r>
      <w:r>
        <w:rPr>
          <w:rFonts w:ascii="Palatino Linotype" w:hAnsi="Palatino Linotype" w:cs="Arial"/>
        </w:rPr>
        <w:t xml:space="preserve">It is worth noting that these </w:t>
      </w:r>
      <w:r>
        <w:rPr>
          <w:rFonts w:ascii="Palatino Linotype" w:hAnsi="Palatino Linotype"/>
        </w:rPr>
        <w:t xml:space="preserve">decomposed elemental maps or map components </w:t>
      </w:r>
      <w:proofErr w:type="spellStart"/>
      <w:r w:rsidRPr="00845B7E">
        <w:rPr>
          <w:rFonts w:ascii="Palatino Linotype" w:hAnsi="Palatino Linotype" w:cs="Arial"/>
          <w:b/>
          <w:i/>
        </w:rPr>
        <w:t>U</w:t>
      </w:r>
      <w:r w:rsidRPr="00845B7E">
        <w:rPr>
          <w:rFonts w:ascii="Palatino Linotype" w:hAnsi="Palatino Linotype" w:cs="Arial"/>
          <w:i/>
          <w:vertAlign w:val="subscript"/>
        </w:rPr>
        <w:t>k</w:t>
      </w:r>
      <w:proofErr w:type="spellEnd"/>
      <w:r w:rsidRPr="00845B7E">
        <w:rPr>
          <w:rFonts w:ascii="Palatino Linotype" w:hAnsi="Palatino Linotype" w:cs="Arial"/>
        </w:rPr>
        <w:t xml:space="preserve"> </w:t>
      </w:r>
      <w:r>
        <w:rPr>
          <w:rFonts w:ascii="Palatino Linotype" w:hAnsi="Palatino Linotype"/>
        </w:rPr>
        <w:t xml:space="preserve">are independent of any metadata.  </w:t>
      </w:r>
      <w:proofErr w:type="gramStart"/>
      <w:r>
        <w:rPr>
          <w:rFonts w:ascii="Palatino Linotype" w:hAnsi="Palatino Linotype"/>
        </w:rPr>
        <w:t>That is to say, these</w:t>
      </w:r>
      <w:proofErr w:type="gramEnd"/>
      <w:r>
        <w:rPr>
          <w:rFonts w:ascii="Palatino Linotype" w:hAnsi="Palatino Linotype"/>
        </w:rPr>
        <w:t xml:space="preserve"> components remain constant when the metadata vary.  </w:t>
      </w:r>
      <w:r w:rsidRPr="00845B7E">
        <w:rPr>
          <w:rFonts w:ascii="Palatino Linotype" w:hAnsi="Palatino Linotype" w:cs="Arial"/>
        </w:rPr>
        <w:t>Since each</w:t>
      </w:r>
      <w:r>
        <w:rPr>
          <w:rFonts w:ascii="Palatino Linotype" w:hAnsi="Palatino Linotype" w:cs="Arial"/>
        </w:rPr>
        <w:t xml:space="preserve"> </w:t>
      </w:r>
      <w:r w:rsidRPr="00A81BED">
        <w:rPr>
          <w:rFonts w:ascii="Palatino Linotype" w:hAnsi="Palatino Linotype"/>
        </w:rPr>
        <w:t xml:space="preserve">left singular vector </w:t>
      </w:r>
      <w:proofErr w:type="spellStart"/>
      <w:r w:rsidRPr="00845B7E">
        <w:rPr>
          <w:rFonts w:ascii="Palatino Linotype" w:hAnsi="Palatino Linotype" w:cs="Arial"/>
          <w:b/>
          <w:i/>
        </w:rPr>
        <w:t>U</w:t>
      </w:r>
      <w:r w:rsidRPr="00845B7E">
        <w:rPr>
          <w:rFonts w:ascii="Palatino Linotype" w:hAnsi="Palatino Linotype" w:cs="Arial"/>
          <w:i/>
          <w:vertAlign w:val="subscript"/>
        </w:rPr>
        <w:t>k</w:t>
      </w:r>
      <w:proofErr w:type="spellEnd"/>
      <w:r w:rsidRPr="00845B7E">
        <w:rPr>
          <w:rFonts w:ascii="Palatino Linotype" w:hAnsi="Palatino Linotype" w:cs="Arial"/>
        </w:rPr>
        <w:t xml:space="preserve"> has a unit length</w:t>
      </w:r>
      <w:r>
        <w:rPr>
          <w:rFonts w:ascii="Palatino Linotype" w:hAnsi="Palatino Linotype" w:cs="Arial"/>
        </w:rPr>
        <w:t xml:space="preserve"> due to the orthonormal property of SVD (see below)</w:t>
      </w:r>
      <w:r w:rsidRPr="00845B7E">
        <w:rPr>
          <w:rFonts w:ascii="Palatino Linotype" w:hAnsi="Palatino Linotype" w:cs="Arial"/>
        </w:rPr>
        <w:t xml:space="preserve">, </w:t>
      </w:r>
      <w:r>
        <w:rPr>
          <w:rFonts w:ascii="Palatino Linotype" w:hAnsi="Palatino Linotype" w:cs="Arial"/>
        </w:rPr>
        <w:t>that is, |</w:t>
      </w:r>
      <w:proofErr w:type="spellStart"/>
      <w:r w:rsidRPr="00845B7E">
        <w:rPr>
          <w:rFonts w:ascii="Palatino Linotype" w:hAnsi="Palatino Linotype" w:cs="Arial"/>
          <w:b/>
          <w:i/>
        </w:rPr>
        <w:t>U</w:t>
      </w:r>
      <w:r w:rsidRPr="00845B7E">
        <w:rPr>
          <w:rFonts w:ascii="Palatino Linotype" w:hAnsi="Palatino Linotype" w:cs="Arial"/>
          <w:i/>
          <w:vertAlign w:val="subscript"/>
        </w:rPr>
        <w:t>k</w:t>
      </w:r>
      <w:proofErr w:type="spellEnd"/>
      <w:r>
        <w:rPr>
          <w:rFonts w:ascii="Palatino Linotype" w:hAnsi="Palatino Linotype" w:cs="Arial"/>
        </w:rPr>
        <w:t>| = 1, the root mean squares (rms) of the items in a left singular vector is</w:t>
      </w:r>
      <w:r w:rsidRPr="00845B7E">
        <w:rPr>
          <w:rFonts w:ascii="Palatino Linotype" w:hAnsi="Palatino Linotype" w:cs="Arial"/>
        </w:rPr>
        <w:t xml:space="preserve"> 1/</w:t>
      </w:r>
      <w:r w:rsidRPr="00845B7E">
        <w:rPr>
          <w:rFonts w:ascii="Palatino Linotype" w:hAnsi="Palatino Linotype" w:cs="Arial"/>
        </w:rPr>
        <w:sym w:font="Symbol" w:char="F0D6"/>
      </w:r>
      <w:r w:rsidRPr="00845B7E">
        <w:rPr>
          <w:rFonts w:ascii="Palatino Linotype" w:hAnsi="Palatino Linotype" w:cs="Arial"/>
          <w:i/>
        </w:rPr>
        <w:t>M</w:t>
      </w:r>
      <w:r>
        <w:rPr>
          <w:rFonts w:ascii="Palatino Linotype" w:hAnsi="Palatino Linotype" w:cs="Arial"/>
        </w:rPr>
        <w:t xml:space="preserve"> that measures the quadratic mean of the items.</w:t>
      </w:r>
    </w:p>
    <w:p w14:paraId="4224587A" w14:textId="77777777" w:rsidR="0039334C" w:rsidRDefault="0039334C" w:rsidP="0039334C">
      <w:pPr>
        <w:spacing w:line="276" w:lineRule="auto"/>
        <w:ind w:firstLine="360"/>
        <w:rPr>
          <w:rFonts w:ascii="Palatino Linotype" w:hAnsi="Palatino Linotype"/>
        </w:rPr>
      </w:pPr>
    </w:p>
    <w:p w14:paraId="076306C2"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The second matrix </w:t>
      </w:r>
      <w:r w:rsidRPr="00A81BED">
        <w:rPr>
          <w:rFonts w:ascii="Palatino Linotype" w:hAnsi="Palatino Linotype"/>
          <w:b/>
        </w:rPr>
        <w:t>W</w:t>
      </w:r>
      <w:r w:rsidRPr="00A81BED">
        <w:rPr>
          <w:rFonts w:ascii="Palatino Linotype" w:hAnsi="Palatino Linotype"/>
        </w:rPr>
        <w:t xml:space="preserve"> </w:t>
      </w:r>
      <w:r>
        <w:rPr>
          <w:rFonts w:ascii="Palatino Linotype" w:hAnsi="Palatino Linotype"/>
        </w:rPr>
        <w:t>is a s</w:t>
      </w:r>
      <w:r w:rsidRPr="00A81BED">
        <w:rPr>
          <w:rFonts w:ascii="Palatino Linotype" w:hAnsi="Palatino Linotype"/>
        </w:rPr>
        <w:t xml:space="preserve">quare matrix </w:t>
      </w:r>
      <w:r>
        <w:rPr>
          <w:rFonts w:ascii="Palatino Linotype" w:hAnsi="Palatino Linotype"/>
        </w:rPr>
        <w:t xml:space="preserve">that </w:t>
      </w:r>
      <w:r w:rsidRPr="00A81BED">
        <w:rPr>
          <w:rFonts w:ascii="Palatino Linotype" w:hAnsi="Palatino Linotype"/>
        </w:rPr>
        <w:t xml:space="preserve">contains all zeros except for </w:t>
      </w:r>
      <w:r w:rsidRPr="00A81BED">
        <w:rPr>
          <w:rFonts w:ascii="Palatino Linotype" w:hAnsi="Palatino Linotype"/>
          <w:i/>
        </w:rPr>
        <w:t>N</w:t>
      </w:r>
      <w:r w:rsidRPr="00A81BED">
        <w:rPr>
          <w:rFonts w:ascii="Palatino Linotype" w:hAnsi="Palatino Linotype"/>
        </w:rPr>
        <w:t xml:space="preserve"> positive values on its major diagonal, known as singular values </w:t>
      </w:r>
      <w:r w:rsidRPr="00A81BED">
        <w:rPr>
          <w:rFonts w:ascii="Palatino Linotype" w:hAnsi="Palatino Linotype"/>
          <w:i/>
        </w:rPr>
        <w:t>w</w:t>
      </w:r>
      <w:r w:rsidRPr="00A81BED">
        <w:rPr>
          <w:rFonts w:ascii="Palatino Linotype" w:hAnsi="Palatino Linotype"/>
          <w:i/>
          <w:vertAlign w:val="subscript"/>
        </w:rPr>
        <w:t>k</w:t>
      </w:r>
      <w:r w:rsidRPr="00A81BED">
        <w:rPr>
          <w:rFonts w:ascii="Palatino Linotype" w:hAnsi="Palatino Linotype"/>
        </w:rPr>
        <w:t xml:space="preserve">.  The magnitude of </w:t>
      </w:r>
      <w:proofErr w:type="spellStart"/>
      <w:r w:rsidRPr="00A81BED">
        <w:rPr>
          <w:rFonts w:ascii="Palatino Linotype" w:hAnsi="Palatino Linotype"/>
          <w:i/>
        </w:rPr>
        <w:t>w</w:t>
      </w:r>
      <w:r w:rsidRPr="00A81BED">
        <w:rPr>
          <w:rFonts w:ascii="Palatino Linotype" w:hAnsi="Palatino Linotype"/>
          <w:i/>
          <w:vertAlign w:val="subscript"/>
        </w:rPr>
        <w:t>k</w:t>
      </w:r>
      <w:proofErr w:type="spellEnd"/>
      <w:r w:rsidRPr="00A81BED">
        <w:rPr>
          <w:rFonts w:ascii="Palatino Linotype" w:hAnsi="Palatino Linotype"/>
        </w:rPr>
        <w:t xml:space="preserve"> is </w:t>
      </w:r>
      <w:r>
        <w:rPr>
          <w:rFonts w:ascii="Palatino Linotype" w:hAnsi="Palatino Linotype"/>
        </w:rPr>
        <w:t xml:space="preserve">considered as </w:t>
      </w:r>
      <w:r w:rsidRPr="00A81BED">
        <w:rPr>
          <w:rFonts w:ascii="Palatino Linotype" w:hAnsi="Palatino Linotype"/>
        </w:rPr>
        <w:t>a weight or significance of its corresponding</w:t>
      </w:r>
      <w:r>
        <w:rPr>
          <w:rFonts w:ascii="Palatino Linotype" w:hAnsi="Palatino Linotype"/>
        </w:rPr>
        <w:t xml:space="preserve"> component</w:t>
      </w:r>
      <w:r w:rsidRPr="00A81BED">
        <w:rPr>
          <w:rFonts w:ascii="Palatino Linotype" w:hAnsi="Palatino Linotype"/>
        </w:rPr>
        <w:t xml:space="preserve">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xml:space="preserve">The third matrix </w:t>
      </w:r>
      <w:r w:rsidRPr="0018496D">
        <w:rPr>
          <w:rFonts w:ascii="Palatino Linotype" w:hAnsi="Palatino Linotype"/>
          <w:b/>
        </w:rPr>
        <w:t>V</w:t>
      </w:r>
      <w:r>
        <w:rPr>
          <w:rFonts w:ascii="Palatino Linotype" w:hAnsi="Palatino Linotype"/>
        </w:rPr>
        <w:t xml:space="preserve"> is also a square matrix of </w:t>
      </w:r>
      <w:r w:rsidRPr="0018496D">
        <w:rPr>
          <w:rFonts w:ascii="Palatino Linotype" w:hAnsi="Palatino Linotype"/>
          <w:i/>
        </w:rPr>
        <w:t>N</w:t>
      </w:r>
      <w:r>
        <w:rPr>
          <w:rFonts w:ascii="Palatino Linotype" w:hAnsi="Palatino Linotype"/>
        </w:rPr>
        <w:t xml:space="preserve"> </w:t>
      </w:r>
      <w:r>
        <w:rPr>
          <w:rFonts w:ascii="Palatino Linotype" w:hAnsi="Palatino Linotype"/>
        </w:rPr>
        <w:sym w:font="Symbol" w:char="F0B4"/>
      </w:r>
      <w:r>
        <w:rPr>
          <w:rFonts w:ascii="Palatino Linotype" w:hAnsi="Palatino Linotype"/>
        </w:rPr>
        <w:t xml:space="preserve"> </w:t>
      </w:r>
      <w:proofErr w:type="spellStart"/>
      <w:r w:rsidRPr="0018496D">
        <w:rPr>
          <w:rFonts w:ascii="Palatino Linotype" w:hAnsi="Palatino Linotype"/>
          <w:i/>
        </w:rPr>
        <w:t>N</w:t>
      </w:r>
      <w:proofErr w:type="spellEnd"/>
      <w:r>
        <w:rPr>
          <w:rFonts w:ascii="Palatino Linotype" w:hAnsi="Palatino Linotype"/>
        </w:rPr>
        <w:t xml:space="preserve">.  </w:t>
      </w:r>
      <w:r w:rsidRPr="00A81BED">
        <w:rPr>
          <w:rFonts w:ascii="Palatino Linotype" w:hAnsi="Palatino Linotype"/>
        </w:rPr>
        <w:t xml:space="preserve">Each column of </w:t>
      </w:r>
      <w:r w:rsidRPr="00A81BED">
        <w:rPr>
          <w:rFonts w:ascii="Palatino Linotype" w:hAnsi="Palatino Linotype"/>
          <w:b/>
        </w:rPr>
        <w:t>V</w:t>
      </w:r>
      <w:r w:rsidRPr="00A81BED">
        <w:rPr>
          <w:rFonts w:ascii="Palatino Linotype" w:hAnsi="Palatino Linotype"/>
        </w:rPr>
        <w:t xml:space="preserve"> or row of </w:t>
      </w:r>
      <w:r>
        <w:rPr>
          <w:rFonts w:ascii="Palatino Linotype" w:hAnsi="Palatino Linotype"/>
        </w:rPr>
        <w:t xml:space="preserve">its transpose </w:t>
      </w:r>
      <m:oMath>
        <m:sSup>
          <m:sSupPr>
            <m:ctrlPr>
              <w:rPr>
                <w:rFonts w:ascii="Cambria Math" w:hAnsi="Cambria Math"/>
                <w:lang w:bidi="x-none"/>
              </w:rPr>
            </m:ctrlPr>
          </m:sSupPr>
          <m:e>
            <m:r>
              <m:rPr>
                <m:sty m:val="b"/>
              </m:rPr>
              <w:rPr>
                <w:rFonts w:ascii="Cambria Math" w:hAnsi="Cambria Math"/>
                <w:lang w:bidi="x-none"/>
              </w:rPr>
              <m:t>V</m:t>
            </m:r>
          </m:e>
          <m:sup>
            <m:r>
              <m:rPr>
                <m:sty m:val="p"/>
              </m:rPr>
              <w:rPr>
                <w:rFonts w:ascii="Cambria Math" w:hAnsi="Cambria Math"/>
                <w:lang w:bidi="x-none"/>
              </w:rPr>
              <m:t>T</m:t>
            </m:r>
          </m:sup>
        </m:sSup>
      </m:oMath>
      <w:r w:rsidRPr="00A81BED">
        <w:rPr>
          <w:rFonts w:ascii="Palatino Linotype" w:hAnsi="Palatino Linotype"/>
        </w:rPr>
        <w:t xml:space="preserve">, known as </w:t>
      </w:r>
      <w:r>
        <w:rPr>
          <w:rFonts w:ascii="Palatino Linotype" w:hAnsi="Palatino Linotype"/>
        </w:rPr>
        <w:t xml:space="preserve">a </w:t>
      </w:r>
      <w:r w:rsidRPr="00A81BED">
        <w:rPr>
          <w:rFonts w:ascii="Palatino Linotype" w:hAnsi="Palatino Linotype"/>
        </w:rPr>
        <w:t>right singular vector</w:t>
      </w:r>
      <w:r>
        <w:rPr>
          <w:rFonts w:ascii="Palatino Linotype" w:hAnsi="Palatino Linotype"/>
        </w:rPr>
        <w:t xml:space="preserve"> </w:t>
      </w:r>
      <w:proofErr w:type="spellStart"/>
      <w:r w:rsidRPr="00A81BED">
        <w:rPr>
          <w:rFonts w:ascii="Palatino Linotype" w:hAnsi="Palatino Linotype"/>
          <w:b/>
          <w:i/>
        </w:rPr>
        <w:t>V</w:t>
      </w:r>
      <w:r w:rsidRPr="00A81BED">
        <w:rPr>
          <w:rFonts w:ascii="Palatino Linotype" w:hAnsi="Palatino Linotype"/>
          <w:i/>
          <w:vertAlign w:val="subscript"/>
        </w:rPr>
        <w:t>k</w:t>
      </w:r>
      <w:proofErr w:type="spellEnd"/>
      <w:r w:rsidRPr="00A81BED">
        <w:rPr>
          <w:rFonts w:ascii="Palatino Linotype" w:hAnsi="Palatino Linotype"/>
        </w:rPr>
        <w:t xml:space="preserve">, contains the relative compositions of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xml:space="preserve">in each of the </w:t>
      </w:r>
      <w:r w:rsidRPr="000745DB">
        <w:rPr>
          <w:rFonts w:ascii="Palatino Linotype" w:hAnsi="Palatino Linotype"/>
          <w:i/>
        </w:rPr>
        <w:t>N</w:t>
      </w:r>
      <w:r>
        <w:rPr>
          <w:rFonts w:ascii="Palatino Linotype" w:hAnsi="Palatino Linotype"/>
        </w:rPr>
        <w:t xml:space="preserve"> original maps.</w:t>
      </w:r>
      <w:r w:rsidRPr="00A81BED">
        <w:rPr>
          <w:rFonts w:ascii="Palatino Linotype" w:hAnsi="Palatino Linotype"/>
        </w:rPr>
        <w:t xml:space="preserve">  </w:t>
      </w:r>
      <w:r>
        <w:rPr>
          <w:rFonts w:ascii="Palatino Linotype" w:hAnsi="Palatino Linotype"/>
        </w:rPr>
        <w:t xml:space="preserve">Therefore, each </w:t>
      </w:r>
      <w:r w:rsidRPr="00A81BED">
        <w:rPr>
          <w:rFonts w:ascii="Palatino Linotype" w:hAnsi="Palatino Linotype"/>
        </w:rPr>
        <w:t>right singular vector</w:t>
      </w:r>
      <w:r>
        <w:rPr>
          <w:rFonts w:ascii="Palatino Linotype" w:hAnsi="Palatino Linotype"/>
        </w:rPr>
        <w:t xml:space="preserve"> </w:t>
      </w:r>
      <w:proofErr w:type="spellStart"/>
      <w:r w:rsidRPr="00A81BED">
        <w:rPr>
          <w:rFonts w:ascii="Palatino Linotype" w:hAnsi="Palatino Linotype"/>
          <w:b/>
          <w:i/>
        </w:rPr>
        <w:t>V</w:t>
      </w:r>
      <w:r w:rsidRPr="00A81BED">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xml:space="preserve">can be considered as a function of the metadata.  Right singular vectors also have the same unit length, that is, </w:t>
      </w:r>
      <w:r>
        <w:rPr>
          <w:rFonts w:ascii="Palatino Linotype" w:hAnsi="Palatino Linotype" w:cs="Arial"/>
        </w:rPr>
        <w:t>|</w:t>
      </w:r>
      <w:proofErr w:type="spellStart"/>
      <w:r>
        <w:rPr>
          <w:rFonts w:ascii="Palatino Linotype" w:hAnsi="Palatino Linotype" w:cs="Arial"/>
          <w:b/>
          <w:i/>
        </w:rPr>
        <w:t>V</w:t>
      </w:r>
      <w:r w:rsidRPr="00845B7E">
        <w:rPr>
          <w:rFonts w:ascii="Palatino Linotype" w:hAnsi="Palatino Linotype" w:cs="Arial"/>
          <w:i/>
          <w:vertAlign w:val="subscript"/>
        </w:rPr>
        <w:t>k</w:t>
      </w:r>
      <w:proofErr w:type="spellEnd"/>
      <w:r>
        <w:rPr>
          <w:rFonts w:ascii="Palatino Linotype" w:hAnsi="Palatino Linotype" w:cs="Arial"/>
        </w:rPr>
        <w:t>| = 1</w:t>
      </w:r>
      <w:r>
        <w:rPr>
          <w:rFonts w:ascii="Palatino Linotype" w:hAnsi="Palatino Linotype"/>
        </w:rPr>
        <w:t>.  Effectively, SVD separates the constant components independent of the metadata from the compositions that depend on the metadata.</w:t>
      </w:r>
    </w:p>
    <w:p w14:paraId="7D06EA0F" w14:textId="77777777" w:rsidR="0039334C" w:rsidRDefault="0039334C" w:rsidP="0039334C">
      <w:pPr>
        <w:spacing w:line="276" w:lineRule="auto"/>
        <w:ind w:firstLine="360"/>
        <w:rPr>
          <w:rFonts w:ascii="Palatino Linotype" w:hAnsi="Palatino Linotype"/>
        </w:rPr>
      </w:pPr>
    </w:p>
    <w:p w14:paraId="0D4E3A63" w14:textId="77777777" w:rsidR="0039334C" w:rsidRDefault="0039334C" w:rsidP="0039334C">
      <w:pPr>
        <w:spacing w:line="276" w:lineRule="auto"/>
        <w:ind w:firstLine="360"/>
        <w:rPr>
          <w:rFonts w:ascii="Palatino Linotype" w:hAnsi="Palatino Linotype"/>
        </w:rPr>
      </w:pPr>
      <w:r w:rsidRPr="00A81BED">
        <w:rPr>
          <w:rFonts w:ascii="Palatino Linotype" w:hAnsi="Palatino Linotype"/>
        </w:rPr>
        <w:lastRenderedPageBreak/>
        <w:t xml:space="preserve">A singular triplet denotes 1) a decomposed component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sidRPr="00A81BED">
        <w:rPr>
          <w:rFonts w:ascii="Palatino Linotype" w:hAnsi="Palatino Linotype"/>
        </w:rPr>
        <w:t xml:space="preserve">, 2) its singular value </w:t>
      </w:r>
      <w:proofErr w:type="spellStart"/>
      <w:r w:rsidRPr="00A81BED">
        <w:rPr>
          <w:rFonts w:ascii="Palatino Linotype" w:hAnsi="Palatino Linotype"/>
          <w:i/>
        </w:rPr>
        <w:t>w</w:t>
      </w:r>
      <w:r w:rsidRPr="00A81BED">
        <w:rPr>
          <w:rFonts w:ascii="Palatino Linotype" w:hAnsi="Palatino Linotype"/>
          <w:i/>
          <w:vertAlign w:val="subscript"/>
        </w:rPr>
        <w:t>k</w:t>
      </w:r>
      <w:proofErr w:type="spellEnd"/>
      <w:r w:rsidRPr="00A81BED">
        <w:rPr>
          <w:rFonts w:ascii="Palatino Linotype" w:hAnsi="Palatino Linotype"/>
        </w:rPr>
        <w:t xml:space="preserve">, and 3) the composition function </w:t>
      </w:r>
      <w:proofErr w:type="spellStart"/>
      <w:r w:rsidRPr="00A81BED">
        <w:rPr>
          <w:rFonts w:ascii="Palatino Linotype" w:hAnsi="Palatino Linotype"/>
          <w:b/>
          <w:i/>
        </w:rPr>
        <w:t>V</w:t>
      </w:r>
      <w:r w:rsidRPr="00A81BED">
        <w:rPr>
          <w:rFonts w:ascii="Palatino Linotype" w:hAnsi="Palatino Linotype"/>
          <w:i/>
          <w:vertAlign w:val="subscript"/>
        </w:rPr>
        <w:t>k</w:t>
      </w:r>
      <w:proofErr w:type="spellEnd"/>
      <w:r w:rsidRPr="00A81BED">
        <w:rPr>
          <w:rFonts w:ascii="Palatino Linotype" w:hAnsi="Palatino Linotype"/>
        </w:rPr>
        <w:t>.  Singular triplets are often sorted in a descending order of their singular values</w:t>
      </w:r>
      <w:r w:rsidRPr="00A81BED">
        <w:rPr>
          <w:rFonts w:ascii="Palatino Linotype" w:hAnsi="Palatino Linotype"/>
          <w:i/>
        </w:rPr>
        <w:t xml:space="preserve"> w</w:t>
      </w:r>
      <w:r w:rsidRPr="00A81BED">
        <w:rPr>
          <w:rFonts w:ascii="Palatino Linotype" w:hAnsi="Palatino Linotype"/>
          <w:i/>
          <w:vertAlign w:val="subscript"/>
        </w:rPr>
        <w:t>k</w:t>
      </w:r>
      <w:r w:rsidRPr="00A81BED">
        <w:rPr>
          <w:rFonts w:ascii="Palatino Linotype" w:hAnsi="Palatino Linotype"/>
        </w:rPr>
        <w:t xml:space="preserve">.  Only a small number of </w:t>
      </w:r>
      <w:r w:rsidRPr="00A81BED">
        <w:rPr>
          <w:rFonts w:ascii="Palatino Linotype" w:hAnsi="Palatino Linotype"/>
          <w:i/>
        </w:rPr>
        <w:t>n</w:t>
      </w:r>
      <w:r w:rsidRPr="00A81BED">
        <w:rPr>
          <w:rFonts w:ascii="Palatino Linotype" w:hAnsi="Palatino Linotype"/>
        </w:rPr>
        <w:t xml:space="preserve"> significant singular triplets identified by the greatest singular values </w:t>
      </w:r>
      <w:r w:rsidRPr="00A81BED">
        <w:rPr>
          <w:rFonts w:ascii="Palatino Linotype" w:hAnsi="Palatino Linotype"/>
          <w:i/>
        </w:rPr>
        <w:t>w</w:t>
      </w:r>
      <w:r w:rsidRPr="00A81BED">
        <w:rPr>
          <w:rFonts w:ascii="Palatino Linotype" w:hAnsi="Palatino Linotype"/>
          <w:vertAlign w:val="subscript"/>
        </w:rPr>
        <w:t>1</w:t>
      </w:r>
      <w:r>
        <w:rPr>
          <w:rFonts w:ascii="Palatino Linotype" w:hAnsi="Palatino Linotype"/>
        </w:rPr>
        <w:t xml:space="preserve"> through</w:t>
      </w:r>
      <w:r w:rsidRPr="00A81BED">
        <w:rPr>
          <w:rFonts w:ascii="Palatino Linotype" w:hAnsi="Palatino Linotype"/>
        </w:rPr>
        <w:t xml:space="preserve"> </w:t>
      </w:r>
      <w:proofErr w:type="spellStart"/>
      <w:r w:rsidRPr="00A81BED">
        <w:rPr>
          <w:rFonts w:ascii="Palatino Linotype" w:hAnsi="Palatino Linotype"/>
          <w:i/>
        </w:rPr>
        <w:t>w</w:t>
      </w:r>
      <w:r w:rsidRPr="00A81BED">
        <w:rPr>
          <w:rFonts w:ascii="Palatino Linotype" w:hAnsi="Palatino Linotype"/>
          <w:i/>
          <w:vertAlign w:val="subscript"/>
        </w:rPr>
        <w:t>n</w:t>
      </w:r>
      <w:proofErr w:type="spellEnd"/>
      <w:r w:rsidRPr="00A81BED">
        <w:rPr>
          <w:rFonts w:ascii="Palatino Linotype" w:hAnsi="Palatino Linotype"/>
        </w:rPr>
        <w:t xml:space="preserve"> can be used in a linear combination to </w:t>
      </w:r>
      <w:r>
        <w:rPr>
          <w:rFonts w:ascii="Palatino Linotype" w:hAnsi="Palatino Linotype"/>
        </w:rPr>
        <w:t>reconstitute</w:t>
      </w:r>
      <w:r w:rsidRPr="00A81BED">
        <w:rPr>
          <w:rFonts w:ascii="Palatino Linotype" w:hAnsi="Palatino Linotype"/>
        </w:rPr>
        <w:t xml:space="preserve"> a </w:t>
      </w:r>
      <w:r>
        <w:rPr>
          <w:rFonts w:ascii="Palatino Linotype" w:hAnsi="Palatino Linotype"/>
        </w:rPr>
        <w:t xml:space="preserve">set of </w:t>
      </w:r>
      <w:r w:rsidRPr="00A81BED">
        <w:rPr>
          <w:rFonts w:ascii="Palatino Linotype" w:hAnsi="Palatino Linotype"/>
        </w:rPr>
        <w:t xml:space="preserve">composite </w:t>
      </w:r>
      <w:r>
        <w:rPr>
          <w:rFonts w:ascii="Palatino Linotype" w:hAnsi="Palatino Linotype"/>
        </w:rPr>
        <w:t>maps that closely resemble</w:t>
      </w:r>
      <w:r w:rsidRPr="00A81BED">
        <w:rPr>
          <w:rFonts w:ascii="Palatino Linotype" w:hAnsi="Palatino Linotype"/>
        </w:rPr>
        <w:t xml:space="preserve"> the original one</w:t>
      </w:r>
      <w:r>
        <w:rPr>
          <w:rFonts w:ascii="Palatino Linotype" w:hAnsi="Palatino Linotype"/>
        </w:rPr>
        <w:t xml:space="preserve">s in matrix </w:t>
      </w:r>
      <w:r w:rsidRPr="00235CF5">
        <w:rPr>
          <w:rFonts w:ascii="Palatino Linotype" w:hAnsi="Palatino Linotype"/>
          <w:b/>
        </w:rPr>
        <w:t>A</w:t>
      </w:r>
      <w:r w:rsidRPr="00A81BED">
        <w:rPr>
          <w:rFonts w:ascii="Palatino Linotype" w:hAnsi="Palatino Linotype"/>
        </w:rPr>
        <w:t xml:space="preserve">, where </w:t>
      </w:r>
      <w:r w:rsidRPr="00A81BED">
        <w:rPr>
          <w:rFonts w:ascii="Palatino Linotype" w:hAnsi="Palatino Linotype"/>
          <w:i/>
        </w:rPr>
        <w:t>n</w:t>
      </w:r>
      <w:r w:rsidRPr="00A81BED">
        <w:rPr>
          <w:rFonts w:ascii="Palatino Linotype" w:hAnsi="Palatino Linotype"/>
        </w:rPr>
        <w:t xml:space="preserve"> &lt; </w:t>
      </w:r>
      <w:r w:rsidRPr="00A81BED">
        <w:rPr>
          <w:rFonts w:ascii="Palatino Linotype" w:hAnsi="Palatino Linotype"/>
          <w:i/>
        </w:rPr>
        <w:t>N</w:t>
      </w:r>
      <w:r w:rsidRPr="00A81BED">
        <w:rPr>
          <w:rFonts w:ascii="Palatino Linotype" w:hAnsi="Palatino Linotype"/>
        </w:rPr>
        <w:t xml:space="preserve">.  </w:t>
      </w:r>
      <w:r>
        <w:rPr>
          <w:rFonts w:ascii="Palatino Linotype" w:hAnsi="Palatino Linotype"/>
        </w:rPr>
        <w:t xml:space="preserve">For example, the original map in the </w:t>
      </w:r>
      <w:proofErr w:type="spellStart"/>
      <w:r w:rsidRPr="007069A9">
        <w:rPr>
          <w:rFonts w:ascii="Palatino Linotype" w:hAnsi="Palatino Linotype"/>
          <w:i/>
        </w:rPr>
        <w:t>i</w:t>
      </w:r>
      <w:r>
        <w:rPr>
          <w:rFonts w:ascii="Palatino Linotype" w:hAnsi="Palatino Linotype"/>
        </w:rPr>
        <w:t>th</w:t>
      </w:r>
      <w:proofErr w:type="spellEnd"/>
      <w:r>
        <w:rPr>
          <w:rFonts w:ascii="Palatino Linotype" w:hAnsi="Palatino Linotype"/>
        </w:rPr>
        <w:t xml:space="preserve"> column of matrix </w:t>
      </w:r>
      <w:r w:rsidRPr="0024107C">
        <w:rPr>
          <w:rFonts w:ascii="Palatino Linotype" w:hAnsi="Palatino Linotype"/>
          <w:b/>
        </w:rPr>
        <w:t>A</w:t>
      </w:r>
      <w:r>
        <w:rPr>
          <w:rFonts w:ascii="Palatino Linotype" w:hAnsi="Palatino Linotype"/>
        </w:rPr>
        <w:t xml:space="preserve"> under a certain experimental condition can be closely represented by the </w:t>
      </w:r>
      <w:proofErr w:type="spellStart"/>
      <w:r w:rsidRPr="007069A9">
        <w:rPr>
          <w:rFonts w:ascii="Palatino Linotype" w:hAnsi="Palatino Linotype"/>
          <w:i/>
        </w:rPr>
        <w:t>i</w:t>
      </w:r>
      <w:r>
        <w:rPr>
          <w:rFonts w:ascii="Palatino Linotype" w:hAnsi="Palatino Linotype"/>
        </w:rPr>
        <w:t>th</w:t>
      </w:r>
      <w:proofErr w:type="spellEnd"/>
      <w:r>
        <w:rPr>
          <w:rFonts w:ascii="Palatino Linotype" w:hAnsi="Palatino Linotype"/>
        </w:rPr>
        <w:t xml:space="preserve"> composite map </w:t>
      </w:r>
      <w:r w:rsidRPr="00A81BED">
        <w:rPr>
          <w:rFonts w:ascii="Palatino Linotype" w:hAnsi="Palatino Linotype"/>
          <w:i/>
        </w:rPr>
        <w:t>w</w:t>
      </w:r>
      <w:r w:rsidRPr="007069A9">
        <w:rPr>
          <w:rFonts w:ascii="Palatino Linotype" w:hAnsi="Palatino Linotype"/>
          <w:vertAlign w:val="subscript"/>
        </w:rPr>
        <w:t>1</w:t>
      </w:r>
      <w:r w:rsidRPr="007069A9">
        <w:rPr>
          <w:rFonts w:ascii="Palatino Linotype" w:hAnsi="Palatino Linotype"/>
          <w:i/>
        </w:rPr>
        <w:t>v</w:t>
      </w:r>
      <w:r w:rsidRPr="007069A9">
        <w:rPr>
          <w:rFonts w:ascii="Palatino Linotype" w:hAnsi="Palatino Linotype"/>
          <w:vertAlign w:val="subscript"/>
        </w:rPr>
        <w:t>1</w:t>
      </w:r>
      <w:r w:rsidRPr="007069A9">
        <w:rPr>
          <w:rFonts w:ascii="Palatino Linotype" w:hAnsi="Palatino Linotype"/>
          <w:i/>
          <w:vertAlign w:val="subscript"/>
        </w:rPr>
        <w:t>i</w:t>
      </w:r>
      <w:r w:rsidRPr="00A81BED">
        <w:rPr>
          <w:rFonts w:ascii="Palatino Linotype" w:hAnsi="Palatino Linotype"/>
          <w:b/>
          <w:i/>
        </w:rPr>
        <w:t>U</w:t>
      </w:r>
      <w:r w:rsidRPr="00951064">
        <w:rPr>
          <w:rFonts w:ascii="Palatino Linotype" w:hAnsi="Palatino Linotype"/>
          <w:vertAlign w:val="subscript"/>
        </w:rPr>
        <w:t>1</w:t>
      </w:r>
      <w:r>
        <w:rPr>
          <w:rFonts w:ascii="Palatino Linotype" w:hAnsi="Palatino Linotype"/>
        </w:rPr>
        <w:t xml:space="preserve"> + </w:t>
      </w:r>
      <w:r w:rsidRPr="00A81BED">
        <w:rPr>
          <w:rFonts w:ascii="Palatino Linotype" w:hAnsi="Palatino Linotype"/>
          <w:i/>
        </w:rPr>
        <w:t>w</w:t>
      </w:r>
      <w:r>
        <w:rPr>
          <w:rFonts w:ascii="Palatino Linotype" w:hAnsi="Palatino Linotype"/>
          <w:vertAlign w:val="subscript"/>
        </w:rPr>
        <w:t>2</w:t>
      </w:r>
      <w:r w:rsidRPr="007069A9">
        <w:rPr>
          <w:rFonts w:ascii="Palatino Linotype" w:hAnsi="Palatino Linotype"/>
          <w:i/>
        </w:rPr>
        <w:t>v</w:t>
      </w:r>
      <w:r>
        <w:rPr>
          <w:rFonts w:ascii="Palatino Linotype" w:hAnsi="Palatino Linotype"/>
          <w:vertAlign w:val="subscript"/>
        </w:rPr>
        <w:t>2</w:t>
      </w:r>
      <w:r w:rsidRPr="007069A9">
        <w:rPr>
          <w:rFonts w:ascii="Palatino Linotype" w:hAnsi="Palatino Linotype"/>
          <w:i/>
          <w:vertAlign w:val="subscript"/>
        </w:rPr>
        <w:t>i</w:t>
      </w:r>
      <w:r w:rsidRPr="00A81BED">
        <w:rPr>
          <w:rFonts w:ascii="Palatino Linotype" w:hAnsi="Palatino Linotype"/>
          <w:b/>
          <w:i/>
        </w:rPr>
        <w:t>U</w:t>
      </w:r>
      <w:r w:rsidRPr="00951064">
        <w:rPr>
          <w:rFonts w:ascii="Palatino Linotype" w:hAnsi="Palatino Linotype"/>
          <w:vertAlign w:val="subscript"/>
        </w:rPr>
        <w:t>2</w:t>
      </w:r>
      <w:r>
        <w:rPr>
          <w:rFonts w:ascii="Palatino Linotype" w:hAnsi="Palatino Linotype"/>
        </w:rPr>
        <w:t xml:space="preserve"> + … + </w:t>
      </w:r>
      <w:proofErr w:type="spellStart"/>
      <w:r w:rsidRPr="00A81BED">
        <w:rPr>
          <w:rFonts w:ascii="Palatino Linotype" w:hAnsi="Palatino Linotype"/>
          <w:i/>
        </w:rPr>
        <w:t>w</w:t>
      </w:r>
      <w:r w:rsidRPr="007069A9">
        <w:rPr>
          <w:rFonts w:ascii="Palatino Linotype" w:hAnsi="Palatino Linotype"/>
          <w:i/>
          <w:vertAlign w:val="subscript"/>
        </w:rPr>
        <w:t>n</w:t>
      </w:r>
      <w:r w:rsidRPr="007069A9">
        <w:rPr>
          <w:rFonts w:ascii="Palatino Linotype" w:hAnsi="Palatino Linotype"/>
          <w:i/>
        </w:rPr>
        <w:t>v</w:t>
      </w:r>
      <w:r w:rsidRPr="007069A9">
        <w:rPr>
          <w:rFonts w:ascii="Palatino Linotype" w:hAnsi="Palatino Linotype"/>
          <w:i/>
          <w:vertAlign w:val="subscript"/>
        </w:rPr>
        <w:t>ni</w:t>
      </w:r>
      <w:r w:rsidRPr="00A81BED">
        <w:rPr>
          <w:rFonts w:ascii="Palatino Linotype" w:hAnsi="Palatino Linotype"/>
          <w:b/>
          <w:i/>
        </w:rPr>
        <w:t>U</w:t>
      </w:r>
      <w:r w:rsidRPr="007069A9">
        <w:rPr>
          <w:rFonts w:ascii="Palatino Linotype" w:hAnsi="Palatino Linotype"/>
          <w:i/>
          <w:vertAlign w:val="subscript"/>
        </w:rPr>
        <w:t>n</w:t>
      </w:r>
      <w:proofErr w:type="spellEnd"/>
      <w:r>
        <w:rPr>
          <w:rFonts w:ascii="Palatino Linotype" w:hAnsi="Palatino Linotype"/>
        </w:rPr>
        <w:t>, where (</w:t>
      </w:r>
      <w:r w:rsidRPr="0019093A">
        <w:rPr>
          <w:rFonts w:ascii="Palatino Linotype" w:hAnsi="Palatino Linotype"/>
          <w:i/>
        </w:rPr>
        <w:t>v</w:t>
      </w:r>
      <w:r w:rsidRPr="0019093A">
        <w:rPr>
          <w:rFonts w:ascii="Palatino Linotype" w:hAnsi="Palatino Linotype"/>
          <w:vertAlign w:val="subscript"/>
        </w:rPr>
        <w:t>1</w:t>
      </w:r>
      <w:r w:rsidRPr="0019093A">
        <w:rPr>
          <w:rFonts w:ascii="Palatino Linotype" w:hAnsi="Palatino Linotype"/>
          <w:i/>
          <w:vertAlign w:val="subscript"/>
        </w:rPr>
        <w:t>i</w:t>
      </w:r>
      <w:r>
        <w:rPr>
          <w:rFonts w:ascii="Palatino Linotype" w:hAnsi="Palatino Linotype"/>
        </w:rPr>
        <w:t xml:space="preserve">, </w:t>
      </w:r>
      <w:r w:rsidRPr="0019093A">
        <w:rPr>
          <w:rFonts w:ascii="Palatino Linotype" w:hAnsi="Palatino Linotype"/>
          <w:i/>
        </w:rPr>
        <w:t>v</w:t>
      </w:r>
      <w:r w:rsidRPr="0019093A">
        <w:rPr>
          <w:rFonts w:ascii="Palatino Linotype" w:hAnsi="Palatino Linotype"/>
          <w:vertAlign w:val="subscript"/>
        </w:rPr>
        <w:t>2</w:t>
      </w:r>
      <w:r w:rsidRPr="0019093A">
        <w:rPr>
          <w:rFonts w:ascii="Palatino Linotype" w:hAnsi="Palatino Linotype"/>
          <w:i/>
          <w:vertAlign w:val="subscript"/>
        </w:rPr>
        <w:t>i</w:t>
      </w:r>
      <w:r>
        <w:rPr>
          <w:rFonts w:ascii="Palatino Linotype" w:hAnsi="Palatino Linotype"/>
        </w:rPr>
        <w:t xml:space="preserve">, …) is from the </w:t>
      </w:r>
      <w:proofErr w:type="spellStart"/>
      <w:r w:rsidRPr="0019093A">
        <w:rPr>
          <w:rFonts w:ascii="Palatino Linotype" w:hAnsi="Palatino Linotype"/>
          <w:i/>
        </w:rPr>
        <w:t>i</w:t>
      </w:r>
      <w:r>
        <w:rPr>
          <w:rFonts w:ascii="Palatino Linotype" w:hAnsi="Palatino Linotype"/>
        </w:rPr>
        <w:t>th</w:t>
      </w:r>
      <w:proofErr w:type="spellEnd"/>
      <w:r>
        <w:rPr>
          <w:rFonts w:ascii="Palatino Linotype" w:hAnsi="Palatino Linotype"/>
        </w:rPr>
        <w:t xml:space="preserve"> row of matrix </w:t>
      </w:r>
      <w:r w:rsidRPr="0019093A">
        <w:rPr>
          <w:rFonts w:ascii="Palatino Linotype" w:hAnsi="Palatino Linotype"/>
          <w:b/>
        </w:rPr>
        <w:t>V</w:t>
      </w:r>
      <w:r>
        <w:rPr>
          <w:rFonts w:ascii="Palatino Linotype" w:hAnsi="Palatino Linotype"/>
        </w:rPr>
        <w:t xml:space="preserve">.  The coefficient set for the linear combination is redefined here as </w:t>
      </w:r>
      <w:proofErr w:type="spellStart"/>
      <w:r w:rsidRPr="00B65B59">
        <w:rPr>
          <w:rFonts w:ascii="Palatino Linotype" w:hAnsi="Palatino Linotype"/>
          <w:i/>
        </w:rPr>
        <w:t>c</w:t>
      </w:r>
      <w:r w:rsidRPr="00B65B59">
        <w:rPr>
          <w:rFonts w:ascii="Palatino Linotype" w:hAnsi="Palatino Linotype"/>
          <w:i/>
          <w:vertAlign w:val="subscript"/>
        </w:rPr>
        <w:t>k</w:t>
      </w:r>
      <w:r>
        <w:rPr>
          <w:rFonts w:ascii="Palatino Linotype" w:hAnsi="Palatino Linotype"/>
          <w:i/>
          <w:vertAlign w:val="subscript"/>
        </w:rPr>
        <w:t>i</w:t>
      </w:r>
      <w:proofErr w:type="spellEnd"/>
      <w:r>
        <w:rPr>
          <w:rFonts w:ascii="Palatino Linotype" w:hAnsi="Palatino Linotype"/>
        </w:rPr>
        <w:t xml:space="preserve"> = </w:t>
      </w:r>
      <w:proofErr w:type="spellStart"/>
      <w:r w:rsidRPr="00A81BED">
        <w:rPr>
          <w:rFonts w:ascii="Palatino Linotype" w:hAnsi="Palatino Linotype"/>
          <w:i/>
        </w:rPr>
        <w:t>w</w:t>
      </w:r>
      <w:r w:rsidRPr="00B65B59">
        <w:rPr>
          <w:rFonts w:ascii="Palatino Linotype" w:hAnsi="Palatino Linotype"/>
          <w:i/>
          <w:vertAlign w:val="subscript"/>
        </w:rPr>
        <w:t>k</w:t>
      </w:r>
      <w:r w:rsidRPr="007069A9">
        <w:rPr>
          <w:rFonts w:ascii="Palatino Linotype" w:hAnsi="Palatino Linotype"/>
          <w:i/>
        </w:rPr>
        <w:t>v</w:t>
      </w:r>
      <w:r w:rsidRPr="00B65B59">
        <w:rPr>
          <w:rFonts w:ascii="Palatino Linotype" w:hAnsi="Palatino Linotype"/>
          <w:i/>
          <w:vertAlign w:val="subscript"/>
        </w:rPr>
        <w:t>k</w:t>
      </w:r>
      <w:r w:rsidRPr="007069A9">
        <w:rPr>
          <w:rFonts w:ascii="Palatino Linotype" w:hAnsi="Palatino Linotype"/>
          <w:i/>
          <w:vertAlign w:val="subscript"/>
        </w:rPr>
        <w:t>i</w:t>
      </w:r>
      <w:proofErr w:type="spellEnd"/>
      <w:r w:rsidRPr="00845B7E">
        <w:rPr>
          <w:rFonts w:ascii="Palatino Linotype" w:hAnsi="Palatino Linotype" w:cs="Arial"/>
        </w:rPr>
        <w:t>/</w:t>
      </w:r>
      <w:r w:rsidRPr="00845B7E">
        <w:rPr>
          <w:rFonts w:ascii="Palatino Linotype" w:hAnsi="Palatino Linotype" w:cs="Arial"/>
        </w:rPr>
        <w:sym w:font="Symbol" w:char="F0D6"/>
      </w:r>
      <w:r w:rsidRPr="00845B7E">
        <w:rPr>
          <w:rFonts w:ascii="Palatino Linotype" w:hAnsi="Palatino Linotype" w:cs="Arial"/>
          <w:i/>
        </w:rPr>
        <w:t>M</w:t>
      </w:r>
      <w:r>
        <w:rPr>
          <w:rFonts w:ascii="Palatino Linotype" w:hAnsi="Palatino Linotype"/>
        </w:rPr>
        <w:t xml:space="preserve">.  The rms of the values in a map component, or the average magnitude measured by the quadratic mean, acts as a constant scale factor </w:t>
      </w:r>
      <w:r>
        <w:rPr>
          <w:rFonts w:ascii="Palatino Linotype" w:hAnsi="Palatino Linotype" w:cs="Arial"/>
        </w:rPr>
        <w:t xml:space="preserve">that resets the modified coefficients </w:t>
      </w:r>
      <w:proofErr w:type="spellStart"/>
      <w:r w:rsidRPr="00B65B59">
        <w:rPr>
          <w:rFonts w:ascii="Palatino Linotype" w:hAnsi="Palatino Linotype"/>
          <w:i/>
        </w:rPr>
        <w:t>c</w:t>
      </w:r>
      <w:r w:rsidRPr="00B65B59">
        <w:rPr>
          <w:rFonts w:ascii="Palatino Linotype" w:hAnsi="Palatino Linotype"/>
          <w:i/>
          <w:vertAlign w:val="subscript"/>
        </w:rPr>
        <w:t>k</w:t>
      </w:r>
      <w:r>
        <w:rPr>
          <w:rFonts w:ascii="Palatino Linotype" w:hAnsi="Palatino Linotype"/>
          <w:i/>
          <w:vertAlign w:val="subscript"/>
        </w:rPr>
        <w:t>i</w:t>
      </w:r>
      <w:proofErr w:type="spellEnd"/>
      <w:r>
        <w:rPr>
          <w:rFonts w:ascii="Palatino Linotype" w:hAnsi="Palatino Linotype"/>
        </w:rPr>
        <w:t xml:space="preserve"> </w:t>
      </w:r>
      <w:r>
        <w:rPr>
          <w:rFonts w:ascii="Palatino Linotype" w:hAnsi="Palatino Linotype" w:cs="Arial"/>
        </w:rPr>
        <w:t xml:space="preserve">back to the original scale of the core data, such as </w:t>
      </w:r>
      <w:r w:rsidRPr="00845B7E">
        <w:rPr>
          <w:rFonts w:ascii="Palatino Linotype" w:hAnsi="Palatino Linotype" w:cs="Arial"/>
        </w:rPr>
        <w:t>Å</w:t>
      </w:r>
      <w:r>
        <w:rPr>
          <w:rFonts w:ascii="Palatino Linotype" w:hAnsi="Palatino Linotype" w:cs="Arial"/>
        </w:rPr>
        <w:t xml:space="preserve"> for distance matrices and e</w:t>
      </w:r>
      <w:r w:rsidRPr="00A71A31">
        <w:rPr>
          <w:rFonts w:ascii="Palatino Linotype" w:hAnsi="Palatino Linotype" w:cs="Arial"/>
          <w:vertAlign w:val="superscript"/>
        </w:rPr>
        <w:t>-</w:t>
      </w:r>
      <w:r>
        <w:rPr>
          <w:rFonts w:ascii="Palatino Linotype" w:hAnsi="Palatino Linotype" w:cs="Arial"/>
        </w:rPr>
        <w:t>/Å</w:t>
      </w:r>
      <w:r w:rsidRPr="00954A46">
        <w:rPr>
          <w:rFonts w:ascii="Palatino Linotype" w:hAnsi="Palatino Linotype" w:cs="Arial"/>
          <w:vertAlign w:val="superscript"/>
        </w:rPr>
        <w:t>3</w:t>
      </w:r>
      <w:r>
        <w:rPr>
          <w:rFonts w:ascii="Palatino Linotype" w:hAnsi="Palatino Linotype" w:cs="Arial"/>
        </w:rPr>
        <w:t xml:space="preserve"> for electron density maps if these units are used in the original matrix </w:t>
      </w:r>
      <w:r w:rsidRPr="00954A46">
        <w:rPr>
          <w:rFonts w:ascii="Palatino Linotype" w:hAnsi="Palatino Linotype" w:cs="Arial"/>
          <w:b/>
          <w:bCs/>
        </w:rPr>
        <w:t>A</w:t>
      </w:r>
      <w:r>
        <w:rPr>
          <w:rFonts w:ascii="Palatino Linotype" w:hAnsi="Palatino Linotype" w:cs="Arial"/>
        </w:rPr>
        <w:t xml:space="preserve">.  Practically, an electron density value usually carries an arbitrary unit without a calibration, which makes this scale factor unnecessary.  </w:t>
      </w:r>
      <w:r>
        <w:rPr>
          <w:rFonts w:ascii="Palatino Linotype" w:hAnsi="Palatino Linotype"/>
        </w:rPr>
        <w:t xml:space="preserve">In the linear combination </w:t>
      </w:r>
      <w:r>
        <w:rPr>
          <w:rFonts w:ascii="Palatino Linotype" w:hAnsi="Palatino Linotype"/>
          <w:i/>
        </w:rPr>
        <w:t>c</w:t>
      </w:r>
      <w:r w:rsidRPr="007069A9">
        <w:rPr>
          <w:rFonts w:ascii="Palatino Linotype" w:hAnsi="Palatino Linotype"/>
          <w:vertAlign w:val="subscript"/>
        </w:rPr>
        <w:t>1</w:t>
      </w:r>
      <w:r w:rsidRPr="007069A9">
        <w:rPr>
          <w:rFonts w:ascii="Palatino Linotype" w:hAnsi="Palatino Linotype"/>
          <w:i/>
          <w:vertAlign w:val="subscript"/>
        </w:rPr>
        <w:t>i</w:t>
      </w:r>
      <w:r w:rsidRPr="00A81BED">
        <w:rPr>
          <w:rFonts w:ascii="Palatino Linotype" w:hAnsi="Palatino Linotype"/>
          <w:b/>
          <w:i/>
        </w:rPr>
        <w:t>U</w:t>
      </w:r>
      <w:r w:rsidRPr="00951064">
        <w:rPr>
          <w:rFonts w:ascii="Palatino Linotype" w:hAnsi="Palatino Linotype"/>
          <w:vertAlign w:val="subscript"/>
        </w:rPr>
        <w:t>1</w:t>
      </w:r>
      <w:r>
        <w:rPr>
          <w:rFonts w:ascii="Palatino Linotype" w:hAnsi="Palatino Linotype"/>
        </w:rPr>
        <w:t xml:space="preserve"> + </w:t>
      </w:r>
      <w:r>
        <w:rPr>
          <w:rFonts w:ascii="Palatino Linotype" w:hAnsi="Palatino Linotype"/>
          <w:i/>
        </w:rPr>
        <w:t>c</w:t>
      </w:r>
      <w:r>
        <w:rPr>
          <w:rFonts w:ascii="Palatino Linotype" w:hAnsi="Palatino Linotype"/>
          <w:vertAlign w:val="subscript"/>
        </w:rPr>
        <w:t>2</w:t>
      </w:r>
      <w:r w:rsidRPr="007069A9">
        <w:rPr>
          <w:rFonts w:ascii="Palatino Linotype" w:hAnsi="Palatino Linotype"/>
          <w:i/>
          <w:vertAlign w:val="subscript"/>
        </w:rPr>
        <w:t>i</w:t>
      </w:r>
      <w:r w:rsidRPr="00A81BED">
        <w:rPr>
          <w:rFonts w:ascii="Palatino Linotype" w:hAnsi="Palatino Linotype"/>
          <w:b/>
          <w:i/>
        </w:rPr>
        <w:t>U</w:t>
      </w:r>
      <w:r w:rsidRPr="00951064">
        <w:rPr>
          <w:rFonts w:ascii="Palatino Linotype" w:hAnsi="Palatino Linotype"/>
          <w:vertAlign w:val="subscript"/>
        </w:rPr>
        <w:t>2</w:t>
      </w:r>
      <w:r>
        <w:rPr>
          <w:rFonts w:ascii="Palatino Linotype" w:hAnsi="Palatino Linotype"/>
        </w:rPr>
        <w:t xml:space="preserve"> + … + </w:t>
      </w:r>
      <w:proofErr w:type="spellStart"/>
      <w:r>
        <w:rPr>
          <w:rFonts w:ascii="Palatino Linotype" w:hAnsi="Palatino Linotype"/>
          <w:i/>
        </w:rPr>
        <w:t>c</w:t>
      </w:r>
      <w:r w:rsidRPr="007069A9">
        <w:rPr>
          <w:rFonts w:ascii="Palatino Linotype" w:hAnsi="Palatino Linotype"/>
          <w:i/>
          <w:vertAlign w:val="subscript"/>
        </w:rPr>
        <w:t>ni</w:t>
      </w:r>
      <w:r w:rsidRPr="00A81BED">
        <w:rPr>
          <w:rFonts w:ascii="Palatino Linotype" w:hAnsi="Palatino Linotype"/>
          <w:b/>
          <w:i/>
        </w:rPr>
        <w:t>U</w:t>
      </w:r>
      <w:r w:rsidRPr="007069A9">
        <w:rPr>
          <w:rFonts w:ascii="Palatino Linotype" w:hAnsi="Palatino Linotype"/>
          <w:i/>
          <w:vertAlign w:val="subscript"/>
        </w:rPr>
        <w:t>n</w:t>
      </w:r>
      <w:proofErr w:type="spellEnd"/>
      <w:r>
        <w:rPr>
          <w:rFonts w:ascii="Palatino Linotype" w:hAnsi="Palatino Linotype"/>
        </w:rPr>
        <w:t xml:space="preserve">, each component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is independent of the metadata while how much of each component is required for the approximation, that is, </w:t>
      </w:r>
      <w:proofErr w:type="spellStart"/>
      <w:r w:rsidRPr="00B65B59">
        <w:rPr>
          <w:rFonts w:ascii="Palatino Linotype" w:hAnsi="Palatino Linotype"/>
          <w:i/>
        </w:rPr>
        <w:t>c</w:t>
      </w:r>
      <w:r w:rsidRPr="00B65B59">
        <w:rPr>
          <w:rFonts w:ascii="Palatino Linotype" w:hAnsi="Palatino Linotype"/>
          <w:i/>
          <w:vertAlign w:val="subscript"/>
        </w:rPr>
        <w:t>k</w:t>
      </w:r>
      <w:r>
        <w:rPr>
          <w:rFonts w:ascii="Palatino Linotype" w:hAnsi="Palatino Linotype"/>
          <w:i/>
          <w:vertAlign w:val="subscript"/>
        </w:rPr>
        <w:t>i</w:t>
      </w:r>
      <w:proofErr w:type="spellEnd"/>
      <w:r>
        <w:rPr>
          <w:rFonts w:ascii="Palatino Linotype" w:hAnsi="Palatino Linotype"/>
        </w:rPr>
        <w:t>, depends on the metadata.</w:t>
      </w:r>
    </w:p>
    <w:p w14:paraId="0D22A20A" w14:textId="77777777" w:rsidR="0039334C" w:rsidRDefault="0039334C" w:rsidP="0039334C">
      <w:pPr>
        <w:spacing w:line="276" w:lineRule="auto"/>
        <w:ind w:firstLine="360"/>
        <w:rPr>
          <w:rFonts w:ascii="Palatino Linotype" w:hAnsi="Palatino Linotype"/>
        </w:rPr>
      </w:pPr>
    </w:p>
    <w:p w14:paraId="04AF0459"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Excluding the components after </w:t>
      </w:r>
      <w:r w:rsidRPr="00A81BED">
        <w:rPr>
          <w:rFonts w:ascii="Palatino Linotype" w:hAnsi="Palatino Linotype"/>
          <w:b/>
          <w:i/>
        </w:rPr>
        <w:t>U</w:t>
      </w:r>
      <w:r w:rsidRPr="007069A9">
        <w:rPr>
          <w:rFonts w:ascii="Palatino Linotype" w:hAnsi="Palatino Linotype"/>
          <w:i/>
          <w:vertAlign w:val="subscript"/>
        </w:rPr>
        <w:t>n</w:t>
      </w:r>
      <w:r>
        <w:rPr>
          <w:rFonts w:ascii="Palatino Linotype" w:hAnsi="Palatino Linotype"/>
        </w:rPr>
        <w:t xml:space="preserve"> in this approximation </w:t>
      </w:r>
      <w:proofErr w:type="gramStart"/>
      <w:r>
        <w:rPr>
          <w:rFonts w:ascii="Palatino Linotype" w:hAnsi="Palatino Linotype"/>
        </w:rPr>
        <w:t>is based on an assumption</w:t>
      </w:r>
      <w:proofErr w:type="gramEnd"/>
      <w:r>
        <w:rPr>
          <w:rFonts w:ascii="Palatino Linotype" w:hAnsi="Palatino Linotype"/>
        </w:rPr>
        <w:t xml:space="preserve"> that the singular values after </w:t>
      </w:r>
      <w:proofErr w:type="spellStart"/>
      <w:r w:rsidRPr="0050417A">
        <w:rPr>
          <w:rFonts w:ascii="Palatino Linotype" w:hAnsi="Palatino Linotype"/>
          <w:i/>
        </w:rPr>
        <w:t>w</w:t>
      </w:r>
      <w:r w:rsidRPr="0050417A">
        <w:rPr>
          <w:rFonts w:ascii="Palatino Linotype" w:hAnsi="Palatino Linotype"/>
          <w:i/>
          <w:vertAlign w:val="subscript"/>
        </w:rPr>
        <w:t>n</w:t>
      </w:r>
      <w:proofErr w:type="spellEnd"/>
      <w:r>
        <w:rPr>
          <w:rFonts w:ascii="Palatino Linotype" w:hAnsi="Palatino Linotype"/>
        </w:rPr>
        <w:t xml:space="preserve"> are very small relative to those from </w:t>
      </w:r>
      <w:r w:rsidRPr="00A81BED">
        <w:rPr>
          <w:rFonts w:ascii="Palatino Linotype" w:hAnsi="Palatino Linotype"/>
          <w:i/>
        </w:rPr>
        <w:t>w</w:t>
      </w:r>
      <w:r w:rsidRPr="00A81BED">
        <w:rPr>
          <w:rFonts w:ascii="Palatino Linotype" w:hAnsi="Palatino Linotype"/>
          <w:vertAlign w:val="subscript"/>
        </w:rPr>
        <w:t>1</w:t>
      </w:r>
      <w:r>
        <w:rPr>
          <w:rFonts w:ascii="Palatino Linotype" w:hAnsi="Palatino Linotype"/>
        </w:rPr>
        <w:t xml:space="preserve"> through</w:t>
      </w:r>
      <w:r w:rsidRPr="00A81BED">
        <w:rPr>
          <w:rFonts w:ascii="Palatino Linotype" w:hAnsi="Palatino Linotype"/>
        </w:rPr>
        <w:t xml:space="preserve"> </w:t>
      </w:r>
      <w:proofErr w:type="spellStart"/>
      <w:r w:rsidRPr="00A81BED">
        <w:rPr>
          <w:rFonts w:ascii="Palatino Linotype" w:hAnsi="Palatino Linotype"/>
          <w:i/>
        </w:rPr>
        <w:t>w</w:t>
      </w:r>
      <w:r w:rsidRPr="00A81BED">
        <w:rPr>
          <w:rFonts w:ascii="Palatino Linotype" w:hAnsi="Palatino Linotype"/>
          <w:i/>
          <w:vertAlign w:val="subscript"/>
        </w:rPr>
        <w:t>n</w:t>
      </w:r>
      <w:proofErr w:type="spellEnd"/>
      <w:r>
        <w:rPr>
          <w:rFonts w:ascii="Palatino Linotype" w:hAnsi="Palatino Linotype"/>
        </w:rPr>
        <w:t xml:space="preserve">.  </w:t>
      </w:r>
      <w:r w:rsidRPr="00A81BED">
        <w:rPr>
          <w:rFonts w:ascii="Palatino Linotype" w:hAnsi="Palatino Linotype"/>
        </w:rPr>
        <w:t xml:space="preserve">As a result, the structural information evenly distributed in all </w:t>
      </w:r>
      <w:r w:rsidRPr="000745DB">
        <w:rPr>
          <w:rFonts w:ascii="Palatino Linotype" w:hAnsi="Palatino Linotype"/>
          <w:i/>
        </w:rPr>
        <w:t>N</w:t>
      </w:r>
      <w:r>
        <w:rPr>
          <w:rFonts w:ascii="Palatino Linotype" w:hAnsi="Palatino Linotype"/>
        </w:rPr>
        <w:t xml:space="preserve"> </w:t>
      </w:r>
      <w:r w:rsidRPr="00A81BED">
        <w:rPr>
          <w:rFonts w:ascii="Palatino Linotype" w:hAnsi="Palatino Linotype"/>
        </w:rPr>
        <w:t xml:space="preserve">original </w:t>
      </w:r>
      <w:r>
        <w:rPr>
          <w:rFonts w:ascii="Palatino Linotype" w:hAnsi="Palatino Linotype"/>
        </w:rPr>
        <w:t>maps</w:t>
      </w:r>
      <w:r w:rsidRPr="00A81BED">
        <w:rPr>
          <w:rFonts w:ascii="Palatino Linotype" w:hAnsi="Palatino Linotype"/>
        </w:rPr>
        <w:t xml:space="preserve"> is effectively concentrated into </w:t>
      </w:r>
      <w:r>
        <w:rPr>
          <w:rFonts w:ascii="Palatino Linotype" w:hAnsi="Palatino Linotype"/>
        </w:rPr>
        <w:t>a far fewer number of</w:t>
      </w:r>
      <w:r w:rsidRPr="00A81BED">
        <w:rPr>
          <w:rFonts w:ascii="Palatino Linotype" w:hAnsi="Palatino Linotype"/>
        </w:rPr>
        <w:t xml:space="preserve"> </w:t>
      </w:r>
      <w:r w:rsidRPr="00A81BED">
        <w:rPr>
          <w:rFonts w:ascii="Palatino Linotype" w:hAnsi="Palatino Linotype"/>
          <w:i/>
        </w:rPr>
        <w:t>n</w:t>
      </w:r>
      <w:r w:rsidRPr="00A81BED">
        <w:rPr>
          <w:rFonts w:ascii="Palatino Linotype" w:hAnsi="Palatino Linotype"/>
        </w:rPr>
        <w:t xml:space="preserve"> significant components</w:t>
      </w:r>
      <w:r>
        <w:rPr>
          <w:rFonts w:ascii="Palatino Linotype" w:hAnsi="Palatino Linotype"/>
        </w:rPr>
        <w:t xml:space="preserve">, known as information concentration or dimension reduction.  On the other hand, the trailing components in matrix </w:t>
      </w:r>
      <w:r w:rsidRPr="009B5ED8">
        <w:rPr>
          <w:rFonts w:ascii="Palatino Linotype" w:hAnsi="Palatino Linotype"/>
          <w:b/>
        </w:rPr>
        <w:t>U</w:t>
      </w:r>
      <w:r>
        <w:rPr>
          <w:rFonts w:ascii="Palatino Linotype" w:hAnsi="Palatino Linotype"/>
        </w:rPr>
        <w:t xml:space="preserve"> contain inconsistent fluctuations and random noises.  Excluding these components effectively rejects noises </w:t>
      </w:r>
      <w:r>
        <w:rPr>
          <w:rFonts w:ascii="Palatino Linotype" w:hAnsi="Palatino Linotype"/>
        </w:rPr>
        <w:fldChar w:fldCharType="begin"/>
      </w:r>
      <w:r>
        <w:rPr>
          <w:rFonts w:ascii="Palatino Linotype" w:hAnsi="Palatino Linotype"/>
        </w:rPr>
        <w:instrText xml:space="preserve"> ADDIN ZOTERO_ITEM CSL_CITATION {"citationID":"z0xVhwXX","properties":{"formattedCitation":"(Schmidt et al., 2003)","plainCitation":"(Schmidt et al., 2003)","noteIndex":0},"citationItems":[{"id":107,"uris":["http://zotero.org/users/local/Med5doT8/items/IGC64A6I"],"uri":["http://zotero.org/users/local/Med5doT8/items/IGC64A6I"],"itemData":{"id":107,"type":"article-journal","abstract":"Singular value decomposition (SVD) is a technique commonly used in the analysis of spectroscopic data that both acts as a noise filter and reduces the dimensionality of subsequent least-squares fits. To establish the applicability of SVD to crystallographic data, we applied SVD to calculated difference Fourier maps simulating those to be obtained in a time-resolved crystallographic study of photoactive yellow protein. The atomic structures of one dark state and three intermediates were used in qualitatively different kinetic mechanisms to generate time-dependent difference maps at specific time points. Random noise of varying levels in the difference structure factor amplitudes, different extents of reaction initiation, and different numbers of time points were all employed to simulate a range of realistic experimental conditions. Our results show that SVD allows for an unbiased differentiation between signal and noise; a small subset of singular values and vectors represents the signal well, reducing the random noise in the data. Due to this, phase information of the difference structure factors can be obtained. After identifying and fitting a kinetic mechanism, the time-independent structures of the intermediates could be recovered. This demonstrates that SVD will be a powerful tool in the analysis of experimental time-resolved crystallographic data.","container-title":"Biophysical Journal","DOI":"10.1016/S0006-3495(03)75018-8","ISSN":"0006-3495","issue":"3","journalAbbreviation":"Biophys. J.","page":"2112-2129","source":"ScienceDirect","title":"Application of singular value decomposition to the analysis of time-resolved macromolecular X-ray data","volume":"84","author":[{"family":"Schmidt","given":"Marius"},{"family":"Rajagopal","given":"Sudarshan"},{"family":"Ren","given":"Zhong"},{"family":"Moffat","given":"Keith"}],"issued":{"date-parts":[["2003",3]]}}}],"schema":"https://github.com/citation-style-language/schema/raw/master/csl-citation.json"} </w:instrText>
      </w:r>
      <w:r>
        <w:rPr>
          <w:rFonts w:ascii="Palatino Linotype" w:hAnsi="Palatino Linotype"/>
        </w:rPr>
        <w:fldChar w:fldCharType="separate"/>
      </w:r>
      <w:r>
        <w:rPr>
          <w:rFonts w:ascii="Palatino Linotype" w:hAnsi="Palatino Linotype"/>
          <w:noProof/>
        </w:rPr>
        <w:t>(Schmidt et al., 2003)</w:t>
      </w:r>
      <w:r>
        <w:rPr>
          <w:rFonts w:ascii="Palatino Linotype" w:hAnsi="Palatino Linotype"/>
        </w:rPr>
        <w:fldChar w:fldCharType="end"/>
      </w:r>
      <w:r>
        <w:rPr>
          <w:rFonts w:ascii="Palatino Linotype" w:hAnsi="Palatino Linotype"/>
        </w:rPr>
        <w:t>.  The least-squares property of SVD guarantees that the rejected trailing components sums up to the least squares of the discrepancies between the original core data and the approximation using the accepted components.</w:t>
      </w:r>
    </w:p>
    <w:p w14:paraId="49466BF9" w14:textId="77777777" w:rsidR="0039334C" w:rsidRDefault="0039334C" w:rsidP="0039334C">
      <w:pPr>
        <w:spacing w:line="276" w:lineRule="auto"/>
        <w:ind w:firstLine="360"/>
        <w:rPr>
          <w:rFonts w:ascii="Palatino Linotype" w:hAnsi="Palatino Linotype"/>
        </w:rPr>
      </w:pPr>
    </w:p>
    <w:p w14:paraId="2DA91EA7" w14:textId="77777777" w:rsidR="0039334C" w:rsidRPr="00A81BED" w:rsidRDefault="0039334C" w:rsidP="0039334C">
      <w:pPr>
        <w:spacing w:line="276" w:lineRule="auto"/>
        <w:ind w:firstLine="360"/>
        <w:rPr>
          <w:rFonts w:ascii="Palatino Linotype" w:hAnsi="Palatino Linotype"/>
        </w:rPr>
      </w:pPr>
      <w:r>
        <w:rPr>
          <w:rFonts w:ascii="Palatino Linotype" w:hAnsi="Palatino Linotype"/>
        </w:rPr>
        <w:t xml:space="preserve">However, no clear boundary is guaranteed between signals, systematic errors, and noises.  Systematic errors could be more significant than the desired signals.  Therefore, excluding some components from 1 through </w:t>
      </w:r>
      <w:r w:rsidRPr="00D877DE">
        <w:rPr>
          <w:rFonts w:ascii="Palatino Linotype" w:hAnsi="Palatino Linotype"/>
          <w:i/>
          <w:iCs/>
        </w:rPr>
        <w:t>n</w:t>
      </w:r>
      <w:r>
        <w:rPr>
          <w:rFonts w:ascii="Palatino Linotype" w:hAnsi="Palatino Linotype"/>
        </w:rPr>
        <w:t xml:space="preserve"> is also possible.  If systematic errors are correctly identified, the reconstituted map without these significant components would no longer carry the systematic errors.</w:t>
      </w:r>
    </w:p>
    <w:p w14:paraId="4C09B56C" w14:textId="77777777" w:rsidR="0039334C" w:rsidRPr="00A81BED" w:rsidRDefault="0039334C" w:rsidP="0039334C">
      <w:pPr>
        <w:spacing w:line="276" w:lineRule="auto"/>
        <w:rPr>
          <w:rFonts w:ascii="Palatino Linotype" w:hAnsi="Palatino Linotype"/>
        </w:rPr>
      </w:pPr>
    </w:p>
    <w:p w14:paraId="2B81D863" w14:textId="77777777" w:rsidR="0039334C" w:rsidRPr="00A11316" w:rsidRDefault="0039334C" w:rsidP="0039334C">
      <w:pPr>
        <w:keepNext/>
        <w:spacing w:line="276" w:lineRule="auto"/>
        <w:rPr>
          <w:rFonts w:ascii="Palatino Linotype" w:hAnsi="Palatino Linotype"/>
          <w:bCs/>
          <w:i/>
        </w:rPr>
      </w:pPr>
      <w:r w:rsidRPr="00A11316">
        <w:rPr>
          <w:rFonts w:ascii="Palatino Linotype" w:hAnsi="Palatino Linotype"/>
          <w:bCs/>
          <w:i/>
        </w:rPr>
        <w:t>The orthonormal property of SVD</w:t>
      </w:r>
    </w:p>
    <w:p w14:paraId="2F5713E0" w14:textId="77777777" w:rsidR="0039334C" w:rsidRDefault="0039334C" w:rsidP="0039334C">
      <w:pPr>
        <w:spacing w:line="276" w:lineRule="auto"/>
        <w:rPr>
          <w:rFonts w:ascii="Palatino Linotype" w:hAnsi="Palatino Linotype"/>
        </w:rPr>
      </w:pPr>
      <w:r>
        <w:rPr>
          <w:rFonts w:ascii="Palatino Linotype" w:hAnsi="Palatino Linotype"/>
        </w:rPr>
        <w:t xml:space="preserve">The solution set of SVD must guarantee that the columns in </w:t>
      </w:r>
      <w:r w:rsidRPr="00B65B59">
        <w:rPr>
          <w:rFonts w:ascii="Palatino Linotype" w:hAnsi="Palatino Linotype"/>
          <w:b/>
        </w:rPr>
        <w:t>U</w:t>
      </w:r>
      <w:r>
        <w:rPr>
          <w:rFonts w:ascii="Palatino Linotype" w:hAnsi="Palatino Linotype"/>
        </w:rPr>
        <w:t xml:space="preserve"> and </w:t>
      </w:r>
      <w:r w:rsidRPr="00B65B59">
        <w:rPr>
          <w:rFonts w:ascii="Palatino Linotype" w:hAnsi="Palatino Linotype"/>
          <w:b/>
        </w:rPr>
        <w:t>V</w:t>
      </w:r>
      <w:r>
        <w:rPr>
          <w:rFonts w:ascii="Palatino Linotype" w:hAnsi="Palatino Linotype"/>
        </w:rPr>
        <w:t xml:space="preserve">, the left and right singular vectors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and</w:t>
      </w:r>
      <w:r w:rsidRPr="00F905B6">
        <w:rPr>
          <w:rFonts w:ascii="Palatino Linotype" w:hAnsi="Palatino Linotype"/>
          <w:b/>
          <w:i/>
        </w:rPr>
        <w:t xml:space="preserve"> </w:t>
      </w:r>
      <w:proofErr w:type="spellStart"/>
      <w:r>
        <w:rPr>
          <w:rFonts w:ascii="Palatino Linotype" w:hAnsi="Palatino Linotype"/>
          <w:b/>
          <w:i/>
        </w:rPr>
        <w:t>V</w:t>
      </w:r>
      <w:r w:rsidRPr="00A81BED">
        <w:rPr>
          <w:rFonts w:ascii="Palatino Linotype" w:hAnsi="Palatino Linotype"/>
          <w:i/>
          <w:vertAlign w:val="subscript"/>
        </w:rPr>
        <w:t>k</w:t>
      </w:r>
      <w:proofErr w:type="spellEnd"/>
      <w:r>
        <w:rPr>
          <w:rFonts w:ascii="Palatino Linotype" w:hAnsi="Palatino Linotype"/>
        </w:rPr>
        <w:t xml:space="preserve">, are orthonormal, that is, </w:t>
      </w:r>
      <w:proofErr w:type="gramStart"/>
      <w:r w:rsidRPr="00A81BED">
        <w:rPr>
          <w:rFonts w:ascii="Palatino Linotype" w:hAnsi="Palatino Linotype"/>
          <w:b/>
          <w:i/>
        </w:rPr>
        <w:t>U</w:t>
      </w:r>
      <w:r>
        <w:rPr>
          <w:rFonts w:ascii="Palatino Linotype" w:hAnsi="Palatino Linotype"/>
          <w:i/>
          <w:vertAlign w:val="subscript"/>
        </w:rPr>
        <w:t>h</w:t>
      </w:r>
      <w:proofErr w:type="gramEnd"/>
      <w:r>
        <w:rPr>
          <w:rFonts w:ascii="Palatino Linotype" w:hAnsi="Palatino Linotype"/>
        </w:rPr>
        <w:sym w:font="Symbol" w:char="F0B7"/>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xml:space="preserve">= </w:t>
      </w:r>
      <w:proofErr w:type="spellStart"/>
      <w:r>
        <w:rPr>
          <w:rFonts w:ascii="Palatino Linotype" w:hAnsi="Palatino Linotype"/>
          <w:b/>
          <w:i/>
        </w:rPr>
        <w:t>V</w:t>
      </w:r>
      <w:r>
        <w:rPr>
          <w:rFonts w:ascii="Palatino Linotype" w:hAnsi="Palatino Linotype"/>
          <w:i/>
          <w:vertAlign w:val="subscript"/>
        </w:rPr>
        <w:t>h</w:t>
      </w:r>
      <w:proofErr w:type="spellEnd"/>
      <w:r>
        <w:rPr>
          <w:rFonts w:ascii="Palatino Linotype" w:hAnsi="Palatino Linotype"/>
        </w:rPr>
        <w:sym w:font="Symbol" w:char="F0B7"/>
      </w:r>
      <w:proofErr w:type="spellStart"/>
      <w:r>
        <w:rPr>
          <w:rFonts w:ascii="Palatino Linotype" w:hAnsi="Palatino Linotype"/>
          <w:b/>
          <w:i/>
        </w:rPr>
        <w:t>V</w:t>
      </w:r>
      <w:r w:rsidRPr="00A81BED">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0 (ortho)</w:t>
      </w:r>
      <w:r w:rsidRPr="00B24F5D">
        <w:rPr>
          <w:rFonts w:ascii="Palatino Linotype" w:hAnsi="Palatino Linotype"/>
        </w:rPr>
        <w:t xml:space="preserve"> </w:t>
      </w:r>
      <w:r>
        <w:rPr>
          <w:rFonts w:ascii="Palatino Linotype" w:hAnsi="Palatino Linotype"/>
        </w:rPr>
        <w:t>and</w:t>
      </w:r>
      <w:r w:rsidRPr="00A81BED">
        <w:rPr>
          <w:rFonts w:ascii="Palatino Linotype" w:hAnsi="Palatino Linotype"/>
          <w:b/>
          <w:i/>
        </w:rPr>
        <w:t xml:space="preserve">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sym w:font="Symbol" w:char="F0B7"/>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 </w:t>
      </w:r>
      <w:proofErr w:type="spellStart"/>
      <w:r>
        <w:rPr>
          <w:rFonts w:ascii="Palatino Linotype" w:hAnsi="Palatino Linotype"/>
          <w:b/>
          <w:i/>
        </w:rPr>
        <w:t>V</w:t>
      </w:r>
      <w:r w:rsidRPr="00A81BED">
        <w:rPr>
          <w:rFonts w:ascii="Palatino Linotype" w:hAnsi="Palatino Linotype"/>
          <w:i/>
          <w:vertAlign w:val="subscript"/>
        </w:rPr>
        <w:t>k</w:t>
      </w:r>
      <w:proofErr w:type="spellEnd"/>
      <w:r>
        <w:rPr>
          <w:rFonts w:ascii="Palatino Linotype" w:hAnsi="Palatino Linotype"/>
        </w:rPr>
        <w:sym w:font="Symbol" w:char="F0B7"/>
      </w:r>
      <w:proofErr w:type="spellStart"/>
      <w:r>
        <w:rPr>
          <w:rFonts w:ascii="Palatino Linotype" w:hAnsi="Palatino Linotype"/>
          <w:b/>
          <w:i/>
        </w:rPr>
        <w:t>V</w:t>
      </w:r>
      <w:r w:rsidRPr="00A81BED">
        <w:rPr>
          <w:rFonts w:ascii="Palatino Linotype" w:hAnsi="Palatino Linotype"/>
          <w:i/>
          <w:vertAlign w:val="subscript"/>
        </w:rPr>
        <w:t>k</w:t>
      </w:r>
      <w:proofErr w:type="spellEnd"/>
      <w:r>
        <w:rPr>
          <w:rFonts w:ascii="Palatino Linotype" w:hAnsi="Palatino Linotype"/>
        </w:rPr>
        <w:t xml:space="preserve"> = 1 (normal), where </w:t>
      </w:r>
      <w:r w:rsidRPr="00846866">
        <w:rPr>
          <w:rFonts w:ascii="Palatino Linotype" w:hAnsi="Palatino Linotype"/>
          <w:i/>
        </w:rPr>
        <w:t>h</w:t>
      </w:r>
      <w:r>
        <w:rPr>
          <w:rFonts w:ascii="Palatino Linotype" w:hAnsi="Palatino Linotype"/>
        </w:rPr>
        <w:t xml:space="preserve"> </w:t>
      </w:r>
      <w:r>
        <w:rPr>
          <w:rFonts w:ascii="Palatino Linotype" w:hAnsi="Palatino Linotype"/>
        </w:rPr>
        <w:sym w:font="Symbol" w:char="F0B9"/>
      </w:r>
      <w:r>
        <w:rPr>
          <w:rFonts w:ascii="Palatino Linotype" w:hAnsi="Palatino Linotype"/>
        </w:rPr>
        <w:t xml:space="preserve"> </w:t>
      </w:r>
      <w:r w:rsidRPr="00846866">
        <w:rPr>
          <w:rFonts w:ascii="Palatino Linotype" w:hAnsi="Palatino Linotype"/>
          <w:i/>
        </w:rPr>
        <w:t>k</w:t>
      </w:r>
      <w:r>
        <w:rPr>
          <w:rFonts w:ascii="Palatino Linotype" w:hAnsi="Palatino Linotype"/>
        </w:rPr>
        <w:t xml:space="preserve"> but both are from 1 to </w:t>
      </w:r>
      <w:r w:rsidRPr="00846866">
        <w:rPr>
          <w:rFonts w:ascii="Palatino Linotype" w:hAnsi="Palatino Linotype"/>
          <w:i/>
        </w:rPr>
        <w:t>N</w:t>
      </w:r>
      <w:r>
        <w:rPr>
          <w:rFonts w:ascii="Palatino Linotype" w:hAnsi="Palatino Linotype"/>
        </w:rPr>
        <w:t xml:space="preserve">.  The orthonormal property also holds for the row vectors.  As a result, each component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is independent of the other components.  In other words, a component cannot be represented by a linear combination of any other components.  However, two physical or chemical parameters in the metadata, such as temperature and pH, may cause different changes to a structure.  These changes are not necessarily</w:t>
      </w:r>
      <w:r w:rsidRPr="00494B15">
        <w:rPr>
          <w:rFonts w:ascii="Palatino Linotype" w:hAnsi="Palatino Linotype"/>
        </w:rPr>
        <w:t xml:space="preserve"> </w:t>
      </w:r>
      <w:r>
        <w:rPr>
          <w:rFonts w:ascii="Palatino Linotype" w:hAnsi="Palatino Linotype"/>
        </w:rPr>
        <w:t xml:space="preserve">orthogonal.  They could exhibit some correlation.  Therefore, the decomposed components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not necessarily represent any physically or chemically meaningful changes (see below).</w:t>
      </w:r>
    </w:p>
    <w:p w14:paraId="3AA23DE9" w14:textId="77777777" w:rsidR="0039334C" w:rsidRDefault="0039334C" w:rsidP="0039334C">
      <w:pPr>
        <w:spacing w:line="276" w:lineRule="auto"/>
        <w:ind w:firstLine="360"/>
        <w:rPr>
          <w:rFonts w:ascii="Palatino Linotype" w:hAnsi="Palatino Linotype"/>
        </w:rPr>
      </w:pPr>
    </w:p>
    <w:p w14:paraId="7D2DDCB2"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Due to the orthonormal property of SVD, an </w:t>
      </w:r>
      <w:r w:rsidRPr="0005656A">
        <w:rPr>
          <w:rFonts w:ascii="Palatino Linotype" w:hAnsi="Palatino Linotype"/>
          <w:i/>
        </w:rPr>
        <w:t>N</w:t>
      </w:r>
      <w:r>
        <w:rPr>
          <w:rFonts w:ascii="Palatino Linotype" w:hAnsi="Palatino Linotype"/>
        </w:rPr>
        <w:t xml:space="preserve">-dimensional Euclidean space is established, and the first </w:t>
      </w:r>
      <w:r w:rsidRPr="00587CC4">
        <w:rPr>
          <w:rFonts w:ascii="Palatino Linotype" w:hAnsi="Palatino Linotype"/>
          <w:i/>
        </w:rPr>
        <w:t>n</w:t>
      </w:r>
      <w:r>
        <w:rPr>
          <w:rFonts w:ascii="Palatino Linotype" w:hAnsi="Palatino Linotype"/>
        </w:rPr>
        <w:t xml:space="preserve"> dimensions define its most significant subspace.  Each coefficient set </w:t>
      </w:r>
      <w:r w:rsidRPr="004F177D">
        <w:rPr>
          <w:rFonts w:ascii="Palatino Linotype" w:hAnsi="Palatino Linotype"/>
          <w:b/>
          <w:bCs/>
          <w:i/>
        </w:rPr>
        <w:t>c</w:t>
      </w:r>
      <w:r>
        <w:rPr>
          <w:rFonts w:ascii="Palatino Linotype" w:hAnsi="Palatino Linotype"/>
          <w:i/>
          <w:vertAlign w:val="subscript"/>
        </w:rPr>
        <w:t>i</w:t>
      </w:r>
      <w:r w:rsidRPr="00A81BED">
        <w:rPr>
          <w:rFonts w:ascii="Palatino Linotype" w:hAnsi="Palatino Linotype"/>
        </w:rPr>
        <w:t xml:space="preserve"> </w:t>
      </w:r>
      <w:r>
        <w:rPr>
          <w:rFonts w:ascii="Palatino Linotype" w:hAnsi="Palatino Linotype"/>
        </w:rPr>
        <w:t>= (</w:t>
      </w:r>
      <w:r w:rsidRPr="004F177D">
        <w:rPr>
          <w:rFonts w:ascii="Palatino Linotype" w:hAnsi="Palatino Linotype"/>
          <w:i/>
          <w:iCs/>
        </w:rPr>
        <w:t>c</w:t>
      </w:r>
      <w:r w:rsidRPr="004F177D">
        <w:rPr>
          <w:rFonts w:ascii="Palatino Linotype" w:hAnsi="Palatino Linotype"/>
          <w:vertAlign w:val="subscript"/>
        </w:rPr>
        <w:t>1</w:t>
      </w:r>
      <w:r w:rsidRPr="004F177D">
        <w:rPr>
          <w:rFonts w:ascii="Palatino Linotype" w:hAnsi="Palatino Linotype"/>
          <w:i/>
          <w:iCs/>
          <w:vertAlign w:val="subscript"/>
        </w:rPr>
        <w:t>i</w:t>
      </w:r>
      <w:r>
        <w:rPr>
          <w:rFonts w:ascii="Palatino Linotype" w:hAnsi="Palatino Linotype"/>
        </w:rPr>
        <w:t xml:space="preserve">, </w:t>
      </w:r>
      <w:r w:rsidRPr="004F177D">
        <w:rPr>
          <w:rFonts w:ascii="Palatino Linotype" w:hAnsi="Palatino Linotype"/>
          <w:i/>
          <w:iCs/>
        </w:rPr>
        <w:t>c</w:t>
      </w:r>
      <w:r w:rsidRPr="004F177D">
        <w:rPr>
          <w:rFonts w:ascii="Palatino Linotype" w:hAnsi="Palatino Linotype"/>
          <w:vertAlign w:val="subscript"/>
        </w:rPr>
        <w:t>2</w:t>
      </w:r>
      <w:r w:rsidRPr="004F177D">
        <w:rPr>
          <w:rFonts w:ascii="Palatino Linotype" w:hAnsi="Palatino Linotype"/>
          <w:i/>
          <w:iCs/>
          <w:vertAlign w:val="subscript"/>
        </w:rPr>
        <w:t>i</w:t>
      </w:r>
      <w:r>
        <w:rPr>
          <w:rFonts w:ascii="Palatino Linotype" w:hAnsi="Palatino Linotype"/>
        </w:rPr>
        <w:t xml:space="preserve">, …, </w:t>
      </w:r>
      <w:proofErr w:type="spellStart"/>
      <w:r w:rsidRPr="004F177D">
        <w:rPr>
          <w:rFonts w:ascii="Palatino Linotype" w:hAnsi="Palatino Linotype"/>
          <w:i/>
          <w:iCs/>
        </w:rPr>
        <w:t>c</w:t>
      </w:r>
      <w:r w:rsidRPr="004F177D">
        <w:rPr>
          <w:rFonts w:ascii="Palatino Linotype" w:hAnsi="Palatino Linotype"/>
          <w:i/>
          <w:iCs/>
          <w:vertAlign w:val="subscript"/>
        </w:rPr>
        <w:t>ni</w:t>
      </w:r>
      <w:proofErr w:type="spellEnd"/>
      <w:r>
        <w:rPr>
          <w:rFonts w:ascii="Palatino Linotype" w:hAnsi="Palatino Linotype"/>
        </w:rPr>
        <w:t xml:space="preserve">) of the </w:t>
      </w:r>
      <w:proofErr w:type="spellStart"/>
      <w:r w:rsidRPr="007069A9">
        <w:rPr>
          <w:rFonts w:ascii="Palatino Linotype" w:hAnsi="Palatino Linotype"/>
          <w:i/>
        </w:rPr>
        <w:t>i</w:t>
      </w:r>
      <w:r>
        <w:rPr>
          <w:rFonts w:ascii="Palatino Linotype" w:hAnsi="Palatino Linotype"/>
        </w:rPr>
        <w:t>th</w:t>
      </w:r>
      <w:proofErr w:type="spellEnd"/>
      <w:r>
        <w:rPr>
          <w:rFonts w:ascii="Palatino Linotype" w:hAnsi="Palatino Linotype"/>
        </w:rPr>
        <w:t xml:space="preserve"> composite map </w:t>
      </w:r>
      <w:proofErr w:type="gramStart"/>
      <w:r>
        <w:rPr>
          <w:rFonts w:ascii="Palatino Linotype" w:hAnsi="Palatino Linotype"/>
        </w:rPr>
        <w:t>is located in</w:t>
      </w:r>
      <w:proofErr w:type="gramEnd"/>
      <w:r>
        <w:rPr>
          <w:rFonts w:ascii="Palatino Linotype" w:hAnsi="Palatino Linotype"/>
        </w:rPr>
        <w:t xml:space="preserve"> this </w:t>
      </w:r>
      <w:r w:rsidRPr="00587CC4">
        <w:rPr>
          <w:rFonts w:ascii="Palatino Linotype" w:hAnsi="Palatino Linotype"/>
          <w:i/>
        </w:rPr>
        <w:t>n</w:t>
      </w:r>
      <w:r>
        <w:rPr>
          <w:rFonts w:ascii="Palatino Linotype" w:hAnsi="Palatino Linotype"/>
        </w:rPr>
        <w:t xml:space="preserve">-dimensional subspace.  All coefficient sets for </w:t>
      </w:r>
      <w:proofErr w:type="spellStart"/>
      <w:r w:rsidRPr="00E63FE8">
        <w:rPr>
          <w:rFonts w:ascii="Palatino Linotype" w:hAnsi="Palatino Linotype"/>
          <w:i/>
        </w:rPr>
        <w:t>i</w:t>
      </w:r>
      <w:proofErr w:type="spellEnd"/>
      <w:r>
        <w:rPr>
          <w:rFonts w:ascii="Palatino Linotype" w:hAnsi="Palatino Linotype"/>
        </w:rPr>
        <w:t xml:space="preserve"> = 1, 2, …, </w:t>
      </w:r>
      <w:r w:rsidRPr="00E63FE8">
        <w:rPr>
          <w:rFonts w:ascii="Palatino Linotype" w:hAnsi="Palatino Linotype"/>
          <w:i/>
        </w:rPr>
        <w:t>N</w:t>
      </w:r>
      <w:r>
        <w:rPr>
          <w:rFonts w:ascii="Palatino Linotype" w:hAnsi="Palatino Linotype"/>
        </w:rPr>
        <w:t xml:space="preserve"> in different linear combinations to approximate the </w:t>
      </w:r>
      <w:r w:rsidRPr="00991AF9">
        <w:rPr>
          <w:rFonts w:ascii="Palatino Linotype" w:hAnsi="Palatino Linotype"/>
          <w:i/>
        </w:rPr>
        <w:t>N</w:t>
      </w:r>
      <w:r>
        <w:rPr>
          <w:rFonts w:ascii="Palatino Linotype" w:hAnsi="Palatino Linotype"/>
        </w:rPr>
        <w:t xml:space="preserve"> original maps in a least-squares sense can be represented by </w:t>
      </w:r>
      <w:r w:rsidRPr="00991AF9">
        <w:rPr>
          <w:rFonts w:ascii="Palatino Linotype" w:hAnsi="Palatino Linotype"/>
          <w:i/>
        </w:rPr>
        <w:t>N</w:t>
      </w:r>
      <w:r>
        <w:rPr>
          <w:rFonts w:ascii="Palatino Linotype" w:hAnsi="Palatino Linotype"/>
        </w:rPr>
        <w:t xml:space="preserve"> points or vectors </w:t>
      </w:r>
      <w:r w:rsidRPr="001F02BD">
        <w:rPr>
          <w:rFonts w:ascii="Palatino Linotype" w:hAnsi="Palatino Linotype"/>
          <w:b/>
          <w:bCs/>
          <w:i/>
          <w:iCs/>
        </w:rPr>
        <w:t>c</w:t>
      </w:r>
      <w:r w:rsidRPr="001F02BD">
        <w:rPr>
          <w:rFonts w:ascii="Palatino Linotype" w:hAnsi="Palatino Linotype"/>
          <w:vertAlign w:val="subscript"/>
        </w:rPr>
        <w:t>1</w:t>
      </w:r>
      <w:r>
        <w:rPr>
          <w:rFonts w:ascii="Palatino Linotype" w:hAnsi="Palatino Linotype"/>
        </w:rPr>
        <w:t xml:space="preserve">, </w:t>
      </w:r>
      <w:r w:rsidRPr="001F02BD">
        <w:rPr>
          <w:rFonts w:ascii="Palatino Linotype" w:hAnsi="Palatino Linotype"/>
          <w:b/>
          <w:bCs/>
          <w:i/>
          <w:iCs/>
        </w:rPr>
        <w:t>c</w:t>
      </w:r>
      <w:r w:rsidRPr="001F02BD">
        <w:rPr>
          <w:rFonts w:ascii="Palatino Linotype" w:hAnsi="Palatino Linotype"/>
          <w:vertAlign w:val="subscript"/>
        </w:rPr>
        <w:t>2</w:t>
      </w:r>
      <w:r>
        <w:rPr>
          <w:rFonts w:ascii="Palatino Linotype" w:hAnsi="Palatino Linotype"/>
        </w:rPr>
        <w:t xml:space="preserve">, …, </w:t>
      </w:r>
      <w:proofErr w:type="spellStart"/>
      <w:r w:rsidRPr="001F02BD">
        <w:rPr>
          <w:rFonts w:ascii="Palatino Linotype" w:hAnsi="Palatino Linotype"/>
          <w:b/>
          <w:bCs/>
          <w:i/>
          <w:iCs/>
        </w:rPr>
        <w:t>c</w:t>
      </w:r>
      <w:r w:rsidRPr="001F02BD">
        <w:rPr>
          <w:rFonts w:ascii="Palatino Linotype" w:hAnsi="Palatino Linotype"/>
          <w:i/>
          <w:iCs/>
          <w:vertAlign w:val="subscript"/>
        </w:rPr>
        <w:t>N</w:t>
      </w:r>
      <w:proofErr w:type="spellEnd"/>
      <w:r>
        <w:rPr>
          <w:rFonts w:ascii="Palatino Linotype" w:hAnsi="Palatino Linotype"/>
        </w:rPr>
        <w:t xml:space="preserve"> in the Euclidean subspace.  This </w:t>
      </w:r>
      <w:r w:rsidRPr="00991AF9">
        <w:rPr>
          <w:rFonts w:ascii="Palatino Linotype" w:hAnsi="Palatino Linotype"/>
          <w:i/>
        </w:rPr>
        <w:t>n</w:t>
      </w:r>
      <w:r>
        <w:rPr>
          <w:rFonts w:ascii="Palatino Linotype" w:hAnsi="Palatino Linotype"/>
        </w:rPr>
        <w:t xml:space="preserve">-dimensional subspace is essentially the conformational space as surveyed by the jointly analyzed core data.  The conformational space is presented as scatter plots with each captured structure represented as a dot located at a position determined by the coefficient set </w:t>
      </w:r>
      <w:r w:rsidRPr="004F177D">
        <w:rPr>
          <w:rFonts w:ascii="Palatino Linotype" w:hAnsi="Palatino Linotype"/>
          <w:b/>
          <w:bCs/>
          <w:i/>
        </w:rPr>
        <w:t>c</w:t>
      </w:r>
      <w:r>
        <w:rPr>
          <w:rFonts w:ascii="Palatino Linotype" w:hAnsi="Palatino Linotype"/>
          <w:i/>
          <w:vertAlign w:val="subscript"/>
        </w:rPr>
        <w:t>i</w:t>
      </w:r>
      <w:r w:rsidRPr="00A81BED">
        <w:rPr>
          <w:rFonts w:ascii="Palatino Linotype" w:hAnsi="Palatino Linotype"/>
        </w:rPr>
        <w:t xml:space="preserve"> </w:t>
      </w:r>
      <w:r>
        <w:rPr>
          <w:rFonts w:ascii="Palatino Linotype" w:hAnsi="Palatino Linotype"/>
        </w:rPr>
        <w:t xml:space="preserve">of the </w:t>
      </w:r>
      <w:proofErr w:type="spellStart"/>
      <w:r w:rsidRPr="007069A9">
        <w:rPr>
          <w:rFonts w:ascii="Palatino Linotype" w:hAnsi="Palatino Linotype"/>
          <w:i/>
        </w:rPr>
        <w:t>i</w:t>
      </w:r>
      <w:r>
        <w:rPr>
          <w:rFonts w:ascii="Palatino Linotype" w:hAnsi="Palatino Linotype"/>
        </w:rPr>
        <w:t>th</w:t>
      </w:r>
      <w:proofErr w:type="spellEnd"/>
      <w:r>
        <w:rPr>
          <w:rFonts w:ascii="Palatino Linotype" w:hAnsi="Palatino Linotype"/>
        </w:rPr>
        <w:t xml:space="preserve"> observed map.  When the subspace has greater dimensionality than two, multiple two-dimensional orthographical projections of the subspace are presented.  These scatter plots are highly informative to reveal the relationship between the (difference) electron density maps and their metadata.</w:t>
      </w:r>
    </w:p>
    <w:p w14:paraId="63789CB0" w14:textId="77777777" w:rsidR="0039334C" w:rsidRDefault="0039334C" w:rsidP="0039334C">
      <w:pPr>
        <w:spacing w:line="276" w:lineRule="auto"/>
        <w:ind w:firstLine="360"/>
        <w:rPr>
          <w:rFonts w:ascii="Palatino Linotype" w:hAnsi="Palatino Linotype"/>
        </w:rPr>
      </w:pPr>
    </w:p>
    <w:p w14:paraId="251FE7E0" w14:textId="77777777" w:rsidR="0039334C" w:rsidRPr="00845B7E" w:rsidRDefault="0039334C" w:rsidP="0039334C">
      <w:pPr>
        <w:spacing w:line="276" w:lineRule="auto"/>
        <w:ind w:firstLine="360"/>
        <w:rPr>
          <w:rFonts w:ascii="Palatino Linotype" w:hAnsi="Palatino Linotype" w:cs="Arial"/>
        </w:rPr>
      </w:pPr>
      <w:r>
        <w:rPr>
          <w:rFonts w:ascii="Palatino Linotype" w:hAnsi="Palatino Linotype" w:cs="Arial"/>
        </w:rPr>
        <w:t xml:space="preserve">If two coefficient sets </w:t>
      </w:r>
      <w:r w:rsidRPr="004F177D">
        <w:rPr>
          <w:rFonts w:ascii="Palatino Linotype" w:hAnsi="Palatino Linotype"/>
          <w:b/>
          <w:bCs/>
          <w:i/>
        </w:rPr>
        <w:t>c</w:t>
      </w:r>
      <w:r>
        <w:rPr>
          <w:rFonts w:ascii="Palatino Linotype" w:hAnsi="Palatino Linotype"/>
          <w:i/>
          <w:vertAlign w:val="subscript"/>
        </w:rPr>
        <w:t>i</w:t>
      </w:r>
      <w:r w:rsidRPr="00A81BED">
        <w:rPr>
          <w:rFonts w:ascii="Palatino Linotype" w:hAnsi="Palatino Linotype"/>
        </w:rPr>
        <w:t xml:space="preserve"> </w:t>
      </w:r>
      <w:r>
        <w:rPr>
          <w:rFonts w:ascii="Palatino Linotype" w:hAnsi="Palatino Linotype"/>
        </w:rPr>
        <w:sym w:font="Symbol" w:char="F0BB"/>
      </w:r>
      <w:r>
        <w:rPr>
          <w:rFonts w:ascii="Palatino Linotype" w:hAnsi="Palatino Linotype"/>
        </w:rPr>
        <w:t xml:space="preserve"> </w:t>
      </w:r>
      <w:proofErr w:type="spellStart"/>
      <w:r w:rsidRPr="004F177D">
        <w:rPr>
          <w:rFonts w:ascii="Palatino Linotype" w:hAnsi="Palatino Linotype"/>
          <w:b/>
          <w:bCs/>
          <w:i/>
        </w:rPr>
        <w:t>c</w:t>
      </w:r>
      <w:r>
        <w:rPr>
          <w:rFonts w:ascii="Palatino Linotype" w:hAnsi="Palatino Linotype"/>
          <w:i/>
          <w:vertAlign w:val="subscript"/>
        </w:rPr>
        <w:t>j</w:t>
      </w:r>
      <w:proofErr w:type="spellEnd"/>
      <w:r>
        <w:rPr>
          <w:rFonts w:ascii="Palatino Linotype" w:hAnsi="Palatino Linotype"/>
        </w:rPr>
        <w:t>,</w:t>
      </w:r>
      <w:r>
        <w:rPr>
          <w:rFonts w:ascii="Palatino Linotype" w:hAnsi="Palatino Linotype" w:cs="Arial"/>
        </w:rPr>
        <w:t xml:space="preserve"> they are located close to each other in the conformational space.  Therefore, these two structures </w:t>
      </w:r>
      <w:proofErr w:type="spellStart"/>
      <w:r w:rsidRPr="0058595E">
        <w:rPr>
          <w:rFonts w:ascii="Palatino Linotype" w:hAnsi="Palatino Linotype" w:cs="Arial"/>
          <w:i/>
          <w:iCs/>
        </w:rPr>
        <w:t>i</w:t>
      </w:r>
      <w:proofErr w:type="spellEnd"/>
      <w:r>
        <w:rPr>
          <w:rFonts w:ascii="Palatino Linotype" w:hAnsi="Palatino Linotype" w:cs="Arial"/>
        </w:rPr>
        <w:t xml:space="preserve"> and </w:t>
      </w:r>
      <w:r w:rsidRPr="0058595E">
        <w:rPr>
          <w:rFonts w:ascii="Palatino Linotype" w:hAnsi="Palatino Linotype" w:cs="Arial"/>
          <w:i/>
          <w:iCs/>
        </w:rPr>
        <w:t>j</w:t>
      </w:r>
      <w:r>
        <w:rPr>
          <w:rFonts w:ascii="Palatino Linotype" w:hAnsi="Palatino Linotype" w:cs="Arial"/>
        </w:rPr>
        <w:t xml:space="preserve"> share two similar conformations.  Two structures located far apart from each other in the conformational space are distinct in their conformations, and distinct in the compositions of the map components.  A reaction trajectory emerges in this conformational space if the temporal order of the core data is experimentally determined (Figs. S4 and S7).  Otherwise, an order could be assigned to these structures based on an assumed smoothness of </w:t>
      </w:r>
      <w:r>
        <w:rPr>
          <w:rFonts w:ascii="Palatino Linotype" w:hAnsi="Palatino Linotype" w:cs="Arial"/>
        </w:rPr>
        <w:lastRenderedPageBreak/>
        <w:t xml:space="preserve">conformational changes along a reaction trajectory </w:t>
      </w:r>
      <w:r>
        <w:rPr>
          <w:rFonts w:ascii="Palatino Linotype" w:hAnsi="Palatino Linotype" w:cs="Arial"/>
        </w:rPr>
        <w:fldChar w:fldCharType="begin"/>
      </w:r>
      <w:r>
        <w:rPr>
          <w:rFonts w:ascii="Palatino Linotype" w:hAnsi="Palatino Linotype" w:cs="Arial"/>
        </w:rPr>
        <w:instrText xml:space="preserve"> ADDIN ZOTERO_ITEM CSL_CITATION {"citationID":"KRaD96p7","properties":{"formattedCitation":"(Ren, 2013a, 2013b, 2016)","plainCitation":"(Ren, 2013a, 2013b, 2016)","noteIndex":0},"citationItems":[{"id":1265,"uris":["http://zotero.org/users/local/Med5doT8/items/KEDRAZTN"],"uri":["http://zotero.org/users/local/Med5doT8/items/KEDRAZTN"],"itemData":{"id":1265,"type":"article-journal","container-title":"PLoS ONE","DOI":"10.1371/journal.pone.0077141","issue":"11","journalAbbreviation":"PLoS ONE","page":"e77141","title":"Reaction trajectory revealed by a joint analysis of Protein Data Bank","volume":"8","author":[{"family":"Ren","given":"Zhong"}],"issued":{"date-parts":[["2013",11,11]]}}},{"id":1262,"uris":["http://zotero.org/users/local/Med5doT8/items/DS8DZ3UC"],"uri":["http://zotero.org/users/local/Med5doT8/items/DS8DZ3UC"],"itemData":{"id":1262,"type":"article-journal","container-title":"PLoS ONE","DOI":"10.1371/journal.pone.0077363","issue":"11","journalAbbreviation":"PLoS ONE","page":"e77363","title":"Reverse engineering the cooperative machinery of human hemoglobin","volume":"8","author":[{"family":"Ren","given":"Zhong"}],"issued":{"date-parts":[["2013",11,27]]}}},{"id":3360,"uris":["http://zotero.org/users/local/Med5doT8/items/FGA6R5AM"],"uri":["http://zotero.org/users/local/Med5doT8/items/FGA6R5AM"],"itemData":{"id":3360,"type":"article-journal","container-title":"Nucleic Acids Research","DOI":"10.1093/nar/gkw555","ISSN":"0305-1048, 1362-4962","issue":"43129","language":"en","page":"1-13","source":"CrossRef","title":"Molecular events during translocation and proofreading extracted from 200 static structures of DNA polymerase","volume":"6","author":[{"family":"Ren","given":"Zhong"}],"issued":{"date-parts":[["2016",6,20]]}}}],"schema":"https://github.com/citation-style-language/schema/raw/master/csl-citation.json"} </w:instrText>
      </w:r>
      <w:r>
        <w:rPr>
          <w:rFonts w:ascii="Palatino Linotype" w:hAnsi="Palatino Linotype" w:cs="Arial"/>
        </w:rPr>
        <w:fldChar w:fldCharType="separate"/>
      </w:r>
      <w:r>
        <w:rPr>
          <w:rFonts w:ascii="Palatino Linotype" w:hAnsi="Palatino Linotype" w:cs="Arial"/>
          <w:noProof/>
        </w:rPr>
        <w:t>(Ren, 2013a, 2013b, 2016)</w:t>
      </w:r>
      <w:r>
        <w:rPr>
          <w:rFonts w:ascii="Palatino Linotype" w:hAnsi="Palatino Linotype" w:cs="Arial"/>
        </w:rPr>
        <w:fldChar w:fldCharType="end"/>
      </w:r>
      <w:r>
        <w:rPr>
          <w:rFonts w:ascii="Palatino Linotype" w:hAnsi="Palatino Linotype" w:cs="Arial"/>
        </w:rPr>
        <w:t xml:space="preserve">.  Causation and consequence of structural motions could be revealed from the order of the structures in a series, which may further lead to structural mechanism.  In addition, an off-trajectory location in the conformational space or a location between two clusters of observed structures represents a structure in a unique conformation that has never been experimentally captured.  Such a hypothetical structure can be refined against a reconstituted distance matrix using molecular distance geometry </w:t>
      </w:r>
      <w:r>
        <w:rPr>
          <w:rFonts w:ascii="Palatino Linotype" w:hAnsi="Palatino Linotype" w:cs="Arial"/>
        </w:rPr>
        <w:fldChar w:fldCharType="begin"/>
      </w:r>
      <w:r>
        <w:rPr>
          <w:rFonts w:ascii="Palatino Linotype" w:hAnsi="Palatino Linotype" w:cs="Arial"/>
        </w:rPr>
        <w:instrText xml:space="preserve"> ADDIN ZOTERO_ITEM CSL_CITATION {"citationID":"h90I2dps","properties":{"formattedCitation":"(Ren, 2013a, 2013b, 2016)","plainCitation":"(Ren, 2013a, 2013b, 2016)","noteIndex":0},"citationItems":[{"id":1265,"uris":["http://zotero.org/users/local/Med5doT8/items/KEDRAZTN"],"uri":["http://zotero.org/users/local/Med5doT8/items/KEDRAZTN"],"itemData":{"id":1265,"type":"article-journal","container-title":"PLoS ONE","DOI":"10.1371/journal.pone.0077141","issue":"11","journalAbbreviation":"PLoS ONE","page":"e77141","title":"Reaction trajectory revealed by a joint analysis of Protein Data Bank","volume":"8","author":[{"family":"Ren","given":"Zhong"}],"issued":{"date-parts":[["2013",11,11]]}}},{"id":1262,"uris":["http://zotero.org/users/local/Med5doT8/items/DS8DZ3UC"],"uri":["http://zotero.org/users/local/Med5doT8/items/DS8DZ3UC"],"itemData":{"id":1262,"type":"article-journal","container-title":"PLoS ONE","DOI":"10.1371/journal.pone.0077363","issue":"11","journalAbbreviation":"PLoS ONE","page":"e77363","title":"Reverse engineering the cooperative machinery of human hemoglobin","volume":"8","author":[{"family":"Ren","given":"Zhong"}],"issued":{"date-parts":[["2013",11,27]]}}},{"id":3360,"uris":["http://zotero.org/users/local/Med5doT8/items/FGA6R5AM"],"uri":["http://zotero.org/users/local/Med5doT8/items/FGA6R5AM"],"itemData":{"id":3360,"type":"article-journal","container-title":"Nucleic Acids Research","DOI":"10.1093/nar/gkw555","ISSN":"0305-1048, 1362-4962","issue":"43129","language":"en","page":"1-13","source":"CrossRef","title":"Molecular events during translocation and proofreading extracted from 200 static structures of DNA polymerase","volume":"6","author":[{"family":"Ren","given":"Zhong"}],"issued":{"date-parts":[["2016",6,20]]}}}],"schema":"https://github.com/citation-style-language/schema/raw/master/csl-citation.json"} </w:instrText>
      </w:r>
      <w:r>
        <w:rPr>
          <w:rFonts w:ascii="Palatino Linotype" w:hAnsi="Palatino Linotype" w:cs="Arial"/>
        </w:rPr>
        <w:fldChar w:fldCharType="separate"/>
      </w:r>
      <w:r>
        <w:rPr>
          <w:rFonts w:ascii="Palatino Linotype" w:hAnsi="Palatino Linotype" w:cs="Arial"/>
          <w:noProof/>
        </w:rPr>
        <w:t>(Ren, 2013a, 2013b, 2016)</w:t>
      </w:r>
      <w:r>
        <w:rPr>
          <w:rFonts w:ascii="Palatino Linotype" w:hAnsi="Palatino Linotype" w:cs="Arial"/>
        </w:rPr>
        <w:fldChar w:fldCharType="end"/>
      </w:r>
      <w:r>
        <w:rPr>
          <w:rFonts w:ascii="Palatino Linotype" w:hAnsi="Palatino Linotype" w:cs="Arial"/>
        </w:rPr>
        <w:t xml:space="preserve"> or a reconstituted electron density map with the method proposed below.</w:t>
      </w:r>
    </w:p>
    <w:p w14:paraId="540F5158" w14:textId="77777777" w:rsidR="0039334C" w:rsidRPr="00F1319D" w:rsidRDefault="0039334C" w:rsidP="0039334C">
      <w:pPr>
        <w:spacing w:line="276" w:lineRule="auto"/>
        <w:rPr>
          <w:rFonts w:ascii="Palatino Linotype" w:hAnsi="Palatino Linotype"/>
        </w:rPr>
      </w:pPr>
    </w:p>
    <w:p w14:paraId="6AB0760E" w14:textId="77777777" w:rsidR="0039334C" w:rsidRPr="003D0471" w:rsidRDefault="0039334C" w:rsidP="0039334C">
      <w:pPr>
        <w:keepNext/>
        <w:spacing w:line="276" w:lineRule="auto"/>
        <w:outlineLvl w:val="0"/>
        <w:rPr>
          <w:rFonts w:ascii="Palatino Linotype" w:hAnsi="Palatino Linotype"/>
          <w:bCs/>
          <w:i/>
        </w:rPr>
      </w:pPr>
      <w:r w:rsidRPr="003D0471">
        <w:rPr>
          <w:rFonts w:ascii="Palatino Linotype" w:hAnsi="Palatino Linotype"/>
          <w:bCs/>
          <w:i/>
        </w:rPr>
        <w:t>Rotation in SVD space</w:t>
      </w:r>
    </w:p>
    <w:p w14:paraId="0EADF62B" w14:textId="77777777" w:rsidR="0039334C" w:rsidRDefault="0039334C" w:rsidP="0039334C">
      <w:pPr>
        <w:spacing w:line="276" w:lineRule="auto"/>
        <w:rPr>
          <w:rFonts w:ascii="Palatino Linotype" w:hAnsi="Palatino Linotype"/>
        </w:rPr>
      </w:pPr>
      <w:r>
        <w:rPr>
          <w:rFonts w:ascii="Palatino Linotype" w:hAnsi="Palatino Linotype"/>
        </w:rPr>
        <w:t xml:space="preserve">Dimension reduction is indeed effective in meta-analysis of protein structures when many datasets are evaluated at the same time.  However, the default solution set of SVD carries complicated physical and chemical meanings that are not immediately obvious.  The interpretation of a basis component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that is, “what-does-it-mean”, requires a clear demonstration of the relationship between the core data and their metadata.  The outcome of SVD does not guarantee any physical meaning in a basis component.  Therefore, SVD alone provides no direct answer to “what-does-it-mean”, thus its usefulness is very limited to merely a mathematical construction.  However, the factorized set of matrices </w:t>
      </w:r>
      <w:r w:rsidRPr="00B65B59">
        <w:rPr>
          <w:rFonts w:ascii="Palatino Linotype" w:hAnsi="Palatino Linotype"/>
          <w:b/>
        </w:rPr>
        <w:t>U</w:t>
      </w:r>
      <w:r>
        <w:rPr>
          <w:rFonts w:ascii="Palatino Linotype" w:hAnsi="Palatino Linotype"/>
        </w:rPr>
        <w:t xml:space="preserve">, </w:t>
      </w:r>
      <w:r w:rsidRPr="00B65B59">
        <w:rPr>
          <w:rFonts w:ascii="Palatino Linotype" w:hAnsi="Palatino Linotype"/>
          <w:b/>
        </w:rPr>
        <w:t>W</w:t>
      </w:r>
      <w:r>
        <w:rPr>
          <w:rFonts w:ascii="Palatino Linotype" w:hAnsi="Palatino Linotype"/>
        </w:rPr>
        <w:t xml:space="preserve">, and </w:t>
      </w:r>
      <w:r w:rsidRPr="00B65B59">
        <w:rPr>
          <w:rFonts w:ascii="Palatino Linotype" w:hAnsi="Palatino Linotype"/>
          <w:b/>
        </w:rPr>
        <w:t>V</w:t>
      </w:r>
      <w:r>
        <w:rPr>
          <w:rFonts w:ascii="Palatino Linotype" w:hAnsi="Palatino Linotype"/>
        </w:rPr>
        <w:t xml:space="preserve"> from SVD is not a unique solution.  </w:t>
      </w:r>
      <w:proofErr w:type="gramStart"/>
      <w:r>
        <w:rPr>
          <w:rFonts w:ascii="Palatino Linotype" w:hAnsi="Palatino Linotype"/>
        </w:rPr>
        <w:t>That is to say, they</w:t>
      </w:r>
      <w:proofErr w:type="gramEnd"/>
      <w:r>
        <w:rPr>
          <w:rFonts w:ascii="Palatino Linotype" w:hAnsi="Palatino Linotype"/>
        </w:rPr>
        <w:t xml:space="preserve"> are not the only solution to factorize matrix </w:t>
      </w:r>
      <w:r w:rsidRPr="00A86C6D">
        <w:rPr>
          <w:rFonts w:ascii="Palatino Linotype" w:hAnsi="Palatino Linotype"/>
          <w:b/>
        </w:rPr>
        <w:t>A</w:t>
      </w:r>
      <w:r>
        <w:rPr>
          <w:rFonts w:ascii="Palatino Linotype" w:hAnsi="Palatino Linotype"/>
        </w:rPr>
        <w:t xml:space="preserve">.  Therefore, it is very important to find one or more alternative solution sets that are physically meaningful to elucidate a structural interpretation.  The concept of a rotation after SVD was introduced by Henry &amp; Hofrichter </w:t>
      </w:r>
      <w:r>
        <w:rPr>
          <w:rFonts w:ascii="Palatino Linotype" w:hAnsi="Palatino Linotype"/>
        </w:rPr>
        <w:fldChar w:fldCharType="begin"/>
      </w:r>
      <w:r>
        <w:rPr>
          <w:rFonts w:ascii="Palatino Linotype" w:hAnsi="Palatino Linotype"/>
        </w:rPr>
        <w:instrText xml:space="preserve"> ADDIN ZOTERO_ITEM CSL_CITATION {"citationID":"G0v3YvPr","properties":{"formattedCitation":"(Henry and Hofrichter, 1992)","plainCitation":"(Henry and Hofrichter, 1992)","noteIndex":0},"citationItems":[{"id":338,"uris":["http://zotero.org/users/local/Med5doT8/items/Z46CUA68"],"uri":["http://zotero.org/users/local/Med5doT8/items/Z46CUA68"],"itemData":{"id":338,"type":"chapter","container-title":"Numerical Computer Methods","ISBN":"0076-6879","page":"129-192","publisher":"Academic Press","source":"ScienceDirect","title":"Singular value decomposition: Application to analysis of experimental data","title-short":"Singular value decomposition","URL":"http://www.sciencedirect.com.proxy.uchicago.edu/science/article/B7CV2-4B5XNKP-1R0/2/f47b300e2f7f0948bc9d3815f870cdb1","volume":"210","author":[{"family":"Henry","given":"E.R."},{"family":"Hofrichter","given":"J."}],"accessed":{"date-parts":[["2010",10,15]]},"issued":{"date-parts":[["1992"]]}}}],"schema":"https://github.com/citation-style-language/schema/raw/master/csl-citation.json"} </w:instrText>
      </w:r>
      <w:r>
        <w:rPr>
          <w:rFonts w:ascii="Palatino Linotype" w:hAnsi="Palatino Linotype"/>
        </w:rPr>
        <w:fldChar w:fldCharType="separate"/>
      </w:r>
      <w:r>
        <w:rPr>
          <w:rFonts w:ascii="Palatino Linotype" w:hAnsi="Palatino Linotype"/>
        </w:rPr>
        <w:t>(Henry and Hofrichter, 1992)</w:t>
      </w:r>
      <w:r>
        <w:rPr>
          <w:rFonts w:ascii="Palatino Linotype" w:hAnsi="Palatino Linotype"/>
        </w:rPr>
        <w:fldChar w:fldCharType="end"/>
      </w:r>
      <w:r>
        <w:rPr>
          <w:rFonts w:ascii="Palatino Linotype" w:hAnsi="Palatino Linotype"/>
        </w:rPr>
        <w:t xml:space="preserve">.  But they suggested a protocol that fails to preserve the orthonormal and least-squares properties of SVD.  The rotation protocol suggested by Ren incorporates the metadata into the analysis and combines with SVD of the core data.  This rotation achieves a numerical deconvolution of multiple physical and chemical factors after a pure mathematical decomposition, and therefore, provides a route to answer the question of “what-does-it-mean” </w:t>
      </w:r>
      <w:r>
        <w:rPr>
          <w:rFonts w:ascii="Palatino Linotype" w:hAnsi="Palatino Linotype"/>
        </w:rPr>
        <w:fldChar w:fldCharType="begin"/>
      </w:r>
      <w:r>
        <w:rPr>
          <w:rFonts w:ascii="Palatino Linotype" w:hAnsi="Palatino Linotype"/>
        </w:rPr>
        <w:instrText xml:space="preserve"> ADDIN ZOTERO_ITEM CSL_CITATION {"citationID":"asjbgmCF","properties":{"formattedCitation":"(Ren, 2019)","plainCitation":"(Ren, 2019)","noteIndex":0},"citationItems":[{"id":5648,"uris":["http://zotero.org/users/local/Med5doT8/items/UJH63CZI"],"uri":["http://zotero.org/users/local/Med5doT8/items/UJH63CZI"],"itemData":{"id":5648,"type":"article-journal","abstract":"Direct visualization of electronic and molecular events during biochemical reactions is essential to mechanistic insights. This Letter presents an in-depth analysis of the serial crystallographic data sets collected by Barends and Schlichting et al. ( Science 2015, 350, 445) that probe the ligand photodissociation in carbonmonoxy myoglobin. This analysis reveals electron density changes caused by the formation of high-spin 3d atomic orbitals of the heme iron upon photolysis and their dynamic behaviors within the first few picoseconds. The heme iron is found popping out of and recoiling back into the heme plane in succession. These findings provide long-awaited visual validations for previous works using ultrafast spectroscopy and molecular dynamics simulations. Electron density variations are also found largely in the solvent during the first period of a low-frequency oscillation. This work demonstrates the importance of the analytical methods in detecting and isolating weak, transient signals of electronic changes arising from chemical reactions.","container-title":"The Journal of Physical Chemistry Letters","DOI":"10.1021/acs.jpclett.9b02375","journalAbbreviation":"J. Phys. Chem. Lett.","page":"7148-7163","source":"ACS Publications","title":"Ultrafast structural changes decomposed from serial crystallographic data","volume":"10","author":[{"family":"Ren","given":"Zhong"}],"issued":{"date-parts":[["2019",10,8]]}}}],"schema":"https://github.com/citation-style-language/schema/raw/master/csl-citation.json"} </w:instrText>
      </w:r>
      <w:r>
        <w:rPr>
          <w:rFonts w:ascii="Palatino Linotype" w:hAnsi="Palatino Linotype"/>
        </w:rPr>
        <w:fldChar w:fldCharType="separate"/>
      </w:r>
      <w:r>
        <w:rPr>
          <w:rFonts w:ascii="Palatino Linotype" w:hAnsi="Palatino Linotype"/>
          <w:noProof/>
        </w:rPr>
        <w:t>(Ren, 2019)</w:t>
      </w:r>
      <w:r>
        <w:rPr>
          <w:rFonts w:ascii="Palatino Linotype" w:hAnsi="Palatino Linotype"/>
        </w:rPr>
        <w:fldChar w:fldCharType="end"/>
      </w:r>
      <w:r>
        <w:rPr>
          <w:rFonts w:ascii="Palatino Linotype" w:hAnsi="Palatino Linotype"/>
        </w:rPr>
        <w:t>.  This rotation shall not be confused with a rotation in the three-dimensional real space, in which a molecular structure resides.</w:t>
      </w:r>
    </w:p>
    <w:p w14:paraId="42C9857F" w14:textId="77777777" w:rsidR="0039334C" w:rsidRDefault="0039334C" w:rsidP="0039334C">
      <w:pPr>
        <w:spacing w:line="276" w:lineRule="auto"/>
        <w:rPr>
          <w:rFonts w:ascii="Palatino Linotype" w:hAnsi="Palatino Linotype"/>
        </w:rPr>
      </w:pPr>
    </w:p>
    <w:p w14:paraId="4813239E"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A rotation in the </w:t>
      </w:r>
      <w:r w:rsidRPr="00991AF9">
        <w:rPr>
          <w:rFonts w:ascii="Palatino Linotype" w:hAnsi="Palatino Linotype"/>
          <w:i/>
        </w:rPr>
        <w:t>n</w:t>
      </w:r>
      <w:r>
        <w:rPr>
          <w:rFonts w:ascii="Palatino Linotype" w:hAnsi="Palatino Linotype"/>
        </w:rPr>
        <w:t xml:space="preserve">-dimensional Euclidean subspace is necessary to change the perspective before a clear relationship emerges to elucidate scientific findings.  It is shown below that two linear combinations are identical before and after a rotation </w:t>
      </w:r>
      <w:r>
        <w:rPr>
          <w:rFonts w:ascii="Palatino Linotype" w:hAnsi="Palatino Linotype"/>
        </w:rPr>
        <w:lastRenderedPageBreak/>
        <w:t xml:space="preserve">applied to both the basis components and their coefficients in a two-dimensional subspace of </w:t>
      </w:r>
      <w:r w:rsidRPr="0098543A">
        <w:rPr>
          <w:rFonts w:ascii="Palatino Linotype" w:hAnsi="Palatino Linotype"/>
          <w:i/>
        </w:rPr>
        <w:t>h</w:t>
      </w:r>
      <w:r>
        <w:rPr>
          <w:rFonts w:ascii="Palatino Linotype" w:hAnsi="Palatino Linotype"/>
        </w:rPr>
        <w:t xml:space="preserve"> and </w:t>
      </w:r>
      <w:r w:rsidRPr="0098543A">
        <w:rPr>
          <w:rFonts w:ascii="Palatino Linotype" w:hAnsi="Palatino Linotype"/>
          <w:i/>
        </w:rPr>
        <w:t>k</w:t>
      </w:r>
      <w:r>
        <w:rPr>
          <w:rFonts w:ascii="Palatino Linotype" w:hAnsi="Palatino Linotype"/>
        </w:rPr>
        <w:t>.  That is,</w:t>
      </w:r>
    </w:p>
    <w:p w14:paraId="214A2D02" w14:textId="77777777" w:rsidR="0039334C" w:rsidRDefault="0039334C" w:rsidP="0039334C">
      <w:pPr>
        <w:spacing w:line="276" w:lineRule="auto"/>
        <w:rPr>
          <w:rFonts w:ascii="Palatino Linotype" w:hAnsi="Palatino Linotype"/>
        </w:rPr>
      </w:pPr>
    </w:p>
    <w:tbl>
      <w:tblPr>
        <w:tblStyle w:val="TableGrid"/>
        <w:tblW w:w="9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44"/>
        <w:gridCol w:w="496"/>
      </w:tblGrid>
      <w:tr w:rsidR="0039334C" w14:paraId="2EF70C28" w14:textId="77777777" w:rsidTr="00DD5ED6">
        <w:tc>
          <w:tcPr>
            <w:tcW w:w="9180" w:type="dxa"/>
          </w:tcPr>
          <w:p w14:paraId="35AD5994" w14:textId="77777777" w:rsidR="0039334C" w:rsidRPr="00E260D3" w:rsidRDefault="0039334C" w:rsidP="00DD5ED6">
            <w:pPr>
              <w:spacing w:line="276" w:lineRule="auto"/>
              <w:jc w:val="center"/>
              <w:rPr>
                <w:rFonts w:ascii="Palatino Linotype" w:hAnsi="Palatino Linotype"/>
              </w:rPr>
            </w:pPr>
            <w:proofErr w:type="spellStart"/>
            <w:r>
              <w:rPr>
                <w:rFonts w:ascii="Palatino Linotype" w:hAnsi="Palatino Linotype"/>
                <w:i/>
              </w:rPr>
              <w:t>c</w:t>
            </w:r>
            <w:r w:rsidRPr="00951064">
              <w:rPr>
                <w:rFonts w:ascii="Palatino Linotype" w:hAnsi="Palatino Linotype"/>
                <w:i/>
                <w:vertAlign w:val="subscript"/>
              </w:rPr>
              <w:t>h</w:t>
            </w:r>
            <w:r w:rsidRPr="00A81BED">
              <w:rPr>
                <w:rFonts w:ascii="Palatino Linotype" w:hAnsi="Palatino Linotype"/>
                <w:b/>
                <w:i/>
              </w:rPr>
              <w:t>U</w:t>
            </w:r>
            <w:r>
              <w:rPr>
                <w:rFonts w:ascii="Palatino Linotype" w:hAnsi="Palatino Linotype"/>
                <w:i/>
                <w:vertAlign w:val="subscript"/>
              </w:rPr>
              <w:t>h</w:t>
            </w:r>
            <w:proofErr w:type="spellEnd"/>
            <w:r>
              <w:rPr>
                <w:rFonts w:ascii="Palatino Linotype" w:hAnsi="Palatino Linotype"/>
              </w:rPr>
              <w:t xml:space="preserve"> + </w:t>
            </w:r>
            <w:proofErr w:type="spellStart"/>
            <w:r>
              <w:rPr>
                <w:rFonts w:ascii="Palatino Linotype" w:hAnsi="Palatino Linotype"/>
                <w:i/>
              </w:rPr>
              <w:t>c</w:t>
            </w:r>
            <w:r w:rsidRPr="00951064">
              <w:rPr>
                <w:rFonts w:ascii="Palatino Linotype" w:hAnsi="Palatino Linotype"/>
                <w:i/>
                <w:vertAlign w:val="subscript"/>
              </w:rPr>
              <w:t>k</w:t>
            </w:r>
            <w:r w:rsidRPr="00A81BED">
              <w:rPr>
                <w:rFonts w:ascii="Palatino Linotype" w:hAnsi="Palatino Linotype"/>
                <w:b/>
                <w:i/>
              </w:rPr>
              <w:t>U</w:t>
            </w:r>
            <w:r>
              <w:rPr>
                <w:rFonts w:ascii="Palatino Linotype" w:hAnsi="Palatino Linotype"/>
                <w:i/>
                <w:vertAlign w:val="subscript"/>
              </w:rPr>
              <w:t>k</w:t>
            </w:r>
            <w:proofErr w:type="spellEnd"/>
            <w:r>
              <w:rPr>
                <w:rFonts w:ascii="Palatino Linotype" w:hAnsi="Palatino Linotype"/>
              </w:rPr>
              <w:t xml:space="preserve"> = </w:t>
            </w:r>
            <w:proofErr w:type="spellStart"/>
            <w:r>
              <w:rPr>
                <w:rFonts w:ascii="Palatino Linotype" w:hAnsi="Palatino Linotype"/>
                <w:i/>
              </w:rPr>
              <w:t>f</w:t>
            </w:r>
            <w:r w:rsidRPr="00951064">
              <w:rPr>
                <w:rFonts w:ascii="Palatino Linotype" w:hAnsi="Palatino Linotype"/>
                <w:i/>
                <w:vertAlign w:val="subscript"/>
              </w:rPr>
              <w:t>h</w:t>
            </w:r>
            <w:r>
              <w:rPr>
                <w:rFonts w:ascii="Palatino Linotype" w:hAnsi="Palatino Linotype"/>
                <w:b/>
                <w:i/>
              </w:rPr>
              <w:t>R</w:t>
            </w:r>
            <w:r>
              <w:rPr>
                <w:rFonts w:ascii="Palatino Linotype" w:hAnsi="Palatino Linotype"/>
                <w:i/>
                <w:vertAlign w:val="subscript"/>
              </w:rPr>
              <w:t>h</w:t>
            </w:r>
            <w:proofErr w:type="spellEnd"/>
            <w:r>
              <w:rPr>
                <w:rFonts w:ascii="Palatino Linotype" w:hAnsi="Palatino Linotype"/>
              </w:rPr>
              <w:t xml:space="preserve"> + </w:t>
            </w:r>
            <w:proofErr w:type="spellStart"/>
            <w:r>
              <w:rPr>
                <w:rFonts w:ascii="Palatino Linotype" w:hAnsi="Palatino Linotype"/>
                <w:i/>
              </w:rPr>
              <w:t>f</w:t>
            </w:r>
            <w:r w:rsidRPr="00951064">
              <w:rPr>
                <w:rFonts w:ascii="Palatino Linotype" w:hAnsi="Palatino Linotype"/>
                <w:i/>
                <w:vertAlign w:val="subscript"/>
              </w:rPr>
              <w:t>k</w:t>
            </w:r>
            <w:r>
              <w:rPr>
                <w:rFonts w:ascii="Palatino Linotype" w:hAnsi="Palatino Linotype"/>
                <w:b/>
                <w:i/>
              </w:rPr>
              <w:t>R</w:t>
            </w:r>
            <w:r>
              <w:rPr>
                <w:rFonts w:ascii="Palatino Linotype" w:hAnsi="Palatino Linotype"/>
                <w:i/>
                <w:vertAlign w:val="subscript"/>
              </w:rPr>
              <w:t>k</w:t>
            </w:r>
            <w:proofErr w:type="spellEnd"/>
            <w:r>
              <w:rPr>
                <w:rFonts w:ascii="Palatino Linotype" w:hAnsi="Palatino Linotype"/>
              </w:rPr>
              <w:t>,</w:t>
            </w:r>
          </w:p>
        </w:tc>
        <w:tc>
          <w:tcPr>
            <w:tcW w:w="360" w:type="dxa"/>
            <w:tcBorders>
              <w:left w:val="nil"/>
            </w:tcBorders>
            <w:vAlign w:val="center"/>
          </w:tcPr>
          <w:p w14:paraId="565250EA" w14:textId="77777777" w:rsidR="0039334C" w:rsidRDefault="0039334C" w:rsidP="00DD5ED6">
            <w:pPr>
              <w:spacing w:line="276" w:lineRule="auto"/>
              <w:jc w:val="right"/>
              <w:rPr>
                <w:rFonts w:ascii="Palatino Linotype" w:hAnsi="Palatino Linotype"/>
              </w:rPr>
            </w:pPr>
            <w:r>
              <w:rPr>
                <w:rFonts w:ascii="Palatino Linotype" w:hAnsi="Palatino Linotype"/>
              </w:rPr>
              <w:t>(1)</w:t>
            </w:r>
          </w:p>
        </w:tc>
      </w:tr>
    </w:tbl>
    <w:p w14:paraId="569A2AA1" w14:textId="77777777" w:rsidR="0039334C" w:rsidRDefault="0039334C" w:rsidP="0039334C">
      <w:pPr>
        <w:spacing w:line="276" w:lineRule="auto"/>
        <w:rPr>
          <w:rFonts w:ascii="Palatino Linotype" w:hAnsi="Palatino Linotype"/>
        </w:rPr>
      </w:pPr>
    </w:p>
    <w:p w14:paraId="736242FE" w14:textId="77777777" w:rsidR="0039334C" w:rsidRDefault="0039334C" w:rsidP="0039334C">
      <w:pPr>
        <w:spacing w:line="276" w:lineRule="auto"/>
        <w:rPr>
          <w:rFonts w:ascii="Palatino Linotype" w:hAnsi="Palatino Linotype"/>
        </w:rPr>
      </w:pPr>
      <w:r>
        <w:rPr>
          <w:rFonts w:ascii="Palatino Linotype" w:hAnsi="Palatino Linotype"/>
        </w:rPr>
        <w:t xml:space="preserve">where </w:t>
      </w:r>
      <w:proofErr w:type="spellStart"/>
      <w:r w:rsidRPr="00B65B59">
        <w:rPr>
          <w:rFonts w:ascii="Palatino Linotype" w:hAnsi="Palatino Linotype"/>
          <w:i/>
        </w:rPr>
        <w:t>c</w:t>
      </w:r>
      <w:r>
        <w:rPr>
          <w:rFonts w:ascii="Palatino Linotype" w:hAnsi="Palatino Linotype"/>
          <w:i/>
          <w:vertAlign w:val="subscript"/>
        </w:rPr>
        <w:t>h</w:t>
      </w:r>
      <w:proofErr w:type="spellEnd"/>
      <w:r w:rsidRPr="00A81BED">
        <w:rPr>
          <w:rFonts w:ascii="Palatino Linotype" w:hAnsi="Palatino Linotype"/>
        </w:rPr>
        <w:t xml:space="preserve"> </w:t>
      </w:r>
      <w:r>
        <w:rPr>
          <w:rFonts w:ascii="Palatino Linotype" w:hAnsi="Palatino Linotype"/>
        </w:rPr>
        <w:t xml:space="preserve">and </w:t>
      </w:r>
      <w:r w:rsidRPr="00B65B59">
        <w:rPr>
          <w:rFonts w:ascii="Palatino Linotype" w:hAnsi="Palatino Linotype"/>
          <w:i/>
        </w:rPr>
        <w:t>c</w:t>
      </w:r>
      <w:r w:rsidRPr="00B65B59">
        <w:rPr>
          <w:rFonts w:ascii="Palatino Linotype" w:hAnsi="Palatino Linotype"/>
          <w:i/>
          <w:vertAlign w:val="subscript"/>
        </w:rPr>
        <w:t>k</w:t>
      </w:r>
      <w:r w:rsidRPr="00A81BED">
        <w:rPr>
          <w:rFonts w:ascii="Palatino Linotype" w:hAnsi="Palatino Linotype"/>
        </w:rPr>
        <w:t xml:space="preserve"> </w:t>
      </w:r>
      <w:r>
        <w:rPr>
          <w:rFonts w:ascii="Palatino Linotype" w:hAnsi="Palatino Linotype"/>
        </w:rPr>
        <w:t xml:space="preserve">are the coefficients of the </w:t>
      </w:r>
      <w:proofErr w:type="spellStart"/>
      <w:r>
        <w:rPr>
          <w:rFonts w:ascii="Palatino Linotype" w:hAnsi="Palatino Linotype"/>
        </w:rPr>
        <w:t>basis</w:t>
      </w:r>
      <w:proofErr w:type="spellEnd"/>
      <w:r>
        <w:rPr>
          <w:rFonts w:ascii="Palatino Linotype" w:hAnsi="Palatino Linotype"/>
        </w:rPr>
        <w:t xml:space="preserve"> components </w:t>
      </w:r>
      <w:r w:rsidRPr="00A81BED">
        <w:rPr>
          <w:rFonts w:ascii="Palatino Linotype" w:hAnsi="Palatino Linotype"/>
          <w:b/>
          <w:i/>
        </w:rPr>
        <w:t>U</w:t>
      </w:r>
      <w:r>
        <w:rPr>
          <w:rFonts w:ascii="Palatino Linotype" w:hAnsi="Palatino Linotype"/>
          <w:i/>
          <w:vertAlign w:val="subscript"/>
        </w:rPr>
        <w:t>h</w:t>
      </w:r>
      <w:r>
        <w:rPr>
          <w:rFonts w:ascii="Palatino Linotype" w:hAnsi="Palatino Linotype"/>
        </w:rPr>
        <w:t xml:space="preserve"> and </w:t>
      </w:r>
      <w:proofErr w:type="spellStart"/>
      <w:r w:rsidRPr="00A81BED">
        <w:rPr>
          <w:rFonts w:ascii="Palatino Linotype" w:hAnsi="Palatino Linotype"/>
          <w:b/>
          <w:i/>
        </w:rPr>
        <w:t>U</w:t>
      </w:r>
      <w:r w:rsidRPr="00A81BED">
        <w:rPr>
          <w:rFonts w:ascii="Palatino Linotype" w:hAnsi="Palatino Linotype"/>
          <w:i/>
          <w:vertAlign w:val="subscript"/>
        </w:rPr>
        <w:t>k</w:t>
      </w:r>
      <w:proofErr w:type="spellEnd"/>
      <w:r>
        <w:rPr>
          <w:rFonts w:ascii="Palatino Linotype" w:hAnsi="Palatino Linotype"/>
        </w:rPr>
        <w:t xml:space="preserve"> before the rotation; and </w:t>
      </w:r>
      <w:proofErr w:type="spellStart"/>
      <w:r>
        <w:rPr>
          <w:rFonts w:ascii="Palatino Linotype" w:hAnsi="Palatino Linotype"/>
          <w:i/>
        </w:rPr>
        <w:t>f</w:t>
      </w:r>
      <w:r>
        <w:rPr>
          <w:rFonts w:ascii="Palatino Linotype" w:hAnsi="Palatino Linotype"/>
          <w:i/>
          <w:vertAlign w:val="subscript"/>
        </w:rPr>
        <w:t>h</w:t>
      </w:r>
      <w:proofErr w:type="spellEnd"/>
      <w:r w:rsidRPr="00A81BED">
        <w:rPr>
          <w:rFonts w:ascii="Palatino Linotype" w:hAnsi="Palatino Linotype"/>
        </w:rPr>
        <w:t xml:space="preserve"> </w:t>
      </w:r>
      <w:r>
        <w:rPr>
          <w:rFonts w:ascii="Palatino Linotype" w:hAnsi="Palatino Linotype"/>
        </w:rPr>
        <w:t xml:space="preserve">and </w:t>
      </w:r>
      <w:proofErr w:type="spellStart"/>
      <w:r>
        <w:rPr>
          <w:rFonts w:ascii="Palatino Linotype" w:hAnsi="Palatino Linotype"/>
          <w:i/>
        </w:rPr>
        <w:t>f</w:t>
      </w:r>
      <w:r w:rsidRPr="00B65B59">
        <w:rPr>
          <w:rFonts w:ascii="Palatino Linotype" w:hAnsi="Palatino Linotype"/>
          <w:i/>
          <w:vertAlign w:val="subscript"/>
        </w:rPr>
        <w:t>k</w:t>
      </w:r>
      <w:proofErr w:type="spellEnd"/>
      <w:r w:rsidRPr="00A81BED">
        <w:rPr>
          <w:rFonts w:ascii="Palatino Linotype" w:hAnsi="Palatino Linotype"/>
        </w:rPr>
        <w:t xml:space="preserve"> </w:t>
      </w:r>
      <w:r>
        <w:rPr>
          <w:rFonts w:ascii="Palatino Linotype" w:hAnsi="Palatino Linotype"/>
        </w:rPr>
        <w:t xml:space="preserve">are the coefficients of the rotated basis components </w:t>
      </w:r>
      <w:r>
        <w:rPr>
          <w:rFonts w:ascii="Palatino Linotype" w:hAnsi="Palatino Linotype"/>
          <w:b/>
          <w:i/>
        </w:rPr>
        <w:t>R</w:t>
      </w:r>
      <w:r>
        <w:rPr>
          <w:rFonts w:ascii="Palatino Linotype" w:hAnsi="Palatino Linotype"/>
          <w:i/>
          <w:vertAlign w:val="subscript"/>
        </w:rPr>
        <w:t>h</w:t>
      </w:r>
      <w:r>
        <w:rPr>
          <w:rFonts w:ascii="Palatino Linotype" w:hAnsi="Palatino Linotype"/>
        </w:rPr>
        <w:t xml:space="preserve"> and </w:t>
      </w:r>
      <w:proofErr w:type="spellStart"/>
      <w:r>
        <w:rPr>
          <w:rFonts w:ascii="Palatino Linotype" w:hAnsi="Palatino Linotype"/>
          <w:b/>
          <w:i/>
        </w:rPr>
        <w:t>R</w:t>
      </w:r>
      <w:r w:rsidRPr="00A81BED">
        <w:rPr>
          <w:rFonts w:ascii="Palatino Linotype" w:hAnsi="Palatino Linotype"/>
          <w:i/>
          <w:vertAlign w:val="subscript"/>
        </w:rPr>
        <w:t>k</w:t>
      </w:r>
      <w:proofErr w:type="spellEnd"/>
      <w:r>
        <w:rPr>
          <w:rFonts w:ascii="Palatino Linotype" w:hAnsi="Palatino Linotype"/>
        </w:rPr>
        <w:t xml:space="preserve">, respectively.  The same Givens rotation of an angle </w:t>
      </w:r>
      <w:r w:rsidRPr="00E13B94">
        <w:rPr>
          <w:rFonts w:ascii="Palatino Linotype" w:hAnsi="Palatino Linotype"/>
          <w:i/>
        </w:rPr>
        <w:sym w:font="Symbol" w:char="F071"/>
      </w:r>
      <w:r>
        <w:rPr>
          <w:rFonts w:ascii="Palatino Linotype" w:hAnsi="Palatino Linotype"/>
        </w:rPr>
        <w:t xml:space="preserve"> is applied to both the components and their coefficients:</w:t>
      </w:r>
    </w:p>
    <w:p w14:paraId="1BB108AE" w14:textId="77777777" w:rsidR="0039334C" w:rsidRPr="00E260D3" w:rsidRDefault="0039334C" w:rsidP="0039334C">
      <w:pPr>
        <w:spacing w:line="276" w:lineRule="auto"/>
        <w:rPr>
          <w:rFonts w:ascii="Palatino Linotype" w:hAnsi="Palatino Linotype"/>
        </w:rPr>
      </w:pPr>
    </w:p>
    <w:tbl>
      <w:tblPr>
        <w:tblStyle w:val="TableGrid"/>
        <w:tblW w:w="9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44"/>
        <w:gridCol w:w="496"/>
      </w:tblGrid>
      <w:tr w:rsidR="0039334C" w14:paraId="2A7EA529" w14:textId="77777777" w:rsidTr="00DD5ED6">
        <w:tc>
          <w:tcPr>
            <w:tcW w:w="9270" w:type="dxa"/>
            <w:vAlign w:val="center"/>
          </w:tcPr>
          <w:p w14:paraId="71A6BF2B" w14:textId="77777777" w:rsidR="0039334C" w:rsidRPr="00E260D3" w:rsidRDefault="0039334C" w:rsidP="00DD5ED6">
            <w:pPr>
              <w:spacing w:line="276" w:lineRule="auto"/>
              <w:jc w:val="center"/>
              <w:rPr>
                <w:rFonts w:ascii="Palatino Linotype" w:hAnsi="Palatino Linotype"/>
              </w:rPr>
            </w:pPr>
            <m:oMathPara>
              <m:oMath>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m:rPr>
                                <m:sty m:val="bi"/>
                              </m:rP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m:rPr>
                                <m:sty m:val="bi"/>
                              </m:rPr>
                              <w:rPr>
                                <w:rFonts w:ascii="Cambria Math" w:hAnsi="Cambria Math"/>
                              </w:rPr>
                              <m:t>U</m:t>
                            </m:r>
                          </m:e>
                          <m:sub>
                            <m:r>
                              <w:rPr>
                                <w:rFonts w:ascii="Cambria Math" w:hAnsi="Cambria Math"/>
                              </w:rPr>
                              <m:t>h</m:t>
                            </m:r>
                          </m:sub>
                        </m:sSub>
                        <m:r>
                          <m:rPr>
                            <m:sty m:val="p"/>
                          </m:rPr>
                          <w:rPr>
                            <w:rFonts w:ascii="Cambria Math" w:hAnsi="Cambria Math"/>
                          </w:rPr>
                          <m:t>cos</m:t>
                        </m:r>
                        <m:r>
                          <w:rPr>
                            <w:rFonts w:ascii="Cambria Math" w:hAnsi="Cambria Math"/>
                          </w:rPr>
                          <m:t>θ-</m:t>
                        </m:r>
                        <m:sSub>
                          <m:sSubPr>
                            <m:ctrlPr>
                              <w:rPr>
                                <w:rFonts w:ascii="Cambria Math" w:hAnsi="Cambria Math"/>
                                <w:i/>
                              </w:rPr>
                            </m:ctrlPr>
                          </m:sSubPr>
                          <m:e>
                            <m:r>
                              <m:rPr>
                                <m:sty m:val="bi"/>
                              </m:rPr>
                              <w:rPr>
                                <w:rFonts w:ascii="Cambria Math" w:hAnsi="Cambria Math"/>
                              </w:rPr>
                              <m:t>U</m:t>
                            </m:r>
                          </m:e>
                          <m:sub>
                            <m:r>
                              <w:rPr>
                                <w:rFonts w:ascii="Cambria Math" w:hAnsi="Cambria Math"/>
                              </w:rPr>
                              <m:t>k</m:t>
                            </m:r>
                          </m:sub>
                        </m:sSub>
                        <m:r>
                          <m:rPr>
                            <m:sty m:val="p"/>
                          </m:rPr>
                          <w:rPr>
                            <w:rFonts w:ascii="Cambria Math" w:hAnsi="Cambria Math"/>
                          </w:rPr>
                          <m:t>sin</m:t>
                        </m:r>
                        <m:r>
                          <w:rPr>
                            <w:rFonts w:ascii="Cambria Math" w:hAnsi="Cambria Math"/>
                          </w:rPr>
                          <m:t>θ</m:t>
                        </m:r>
                        <m:r>
                          <m:rPr>
                            <m:sty m:val="p"/>
                          </m:rPr>
                          <w:rPr>
                            <w:rFonts w:ascii="Cambria Math" w:hAnsi="Cambria Math"/>
                          </w:rPr>
                          <m:t>;</m:t>
                        </m:r>
                      </m:e>
                      <m:e>
                        <m:sSub>
                          <m:sSubPr>
                            <m:ctrlPr>
                              <w:rPr>
                                <w:rFonts w:ascii="Cambria Math" w:hAnsi="Cambria Math"/>
                                <w:i/>
                              </w:rPr>
                            </m:ctrlPr>
                          </m:sSubPr>
                          <m:e>
                            <m:r>
                              <m:rPr>
                                <m:sty m:val="bi"/>
                              </m:rPr>
                              <w:rPr>
                                <w:rFonts w:ascii="Cambria Math" w:hAnsi="Cambria Math"/>
                              </w:rPr>
                              <m:t>R</m:t>
                            </m:r>
                          </m:e>
                          <m:sub>
                            <m:r>
                              <w:rPr>
                                <w:rFonts w:ascii="Cambria Math" w:hAnsi="Cambria Math"/>
                              </w:rPr>
                              <m:t>k</m:t>
                            </m:r>
                          </m:sub>
                        </m:sSub>
                        <m:r>
                          <w:rPr>
                            <w:rFonts w:ascii="Cambria Math" w:hAnsi="Cambria Math"/>
                          </w:rPr>
                          <m:t>=</m:t>
                        </m:r>
                        <m:sSub>
                          <m:sSubPr>
                            <m:ctrlPr>
                              <w:rPr>
                                <w:rFonts w:ascii="Cambria Math" w:hAnsi="Cambria Math"/>
                                <w:i/>
                              </w:rPr>
                            </m:ctrlPr>
                          </m:sSubPr>
                          <m:e>
                            <m:r>
                              <m:rPr>
                                <m:sty m:val="bi"/>
                              </m:rPr>
                              <w:rPr>
                                <w:rFonts w:ascii="Cambria Math" w:hAnsi="Cambria Math"/>
                              </w:rPr>
                              <m:t>U</m:t>
                            </m:r>
                          </m:e>
                          <m:sub>
                            <m:r>
                              <w:rPr>
                                <w:rFonts w:ascii="Cambria Math" w:hAnsi="Cambria Math"/>
                              </w:rPr>
                              <m:t>h</m:t>
                            </m:r>
                          </m:sub>
                        </m:sSub>
                        <m:r>
                          <m:rPr>
                            <m:sty m:val="p"/>
                          </m:rPr>
                          <w:rPr>
                            <w:rFonts w:ascii="Cambria Math" w:hAnsi="Cambria Math"/>
                          </w:rPr>
                          <m:t>sin</m:t>
                        </m:r>
                        <m:r>
                          <w:rPr>
                            <w:rFonts w:ascii="Cambria Math" w:hAnsi="Cambria Math"/>
                          </w:rPr>
                          <m:t>θ+</m:t>
                        </m:r>
                        <m:sSub>
                          <m:sSubPr>
                            <m:ctrlPr>
                              <w:rPr>
                                <w:rFonts w:ascii="Cambria Math" w:hAnsi="Cambria Math"/>
                                <w:i/>
                              </w:rPr>
                            </m:ctrlPr>
                          </m:sSubPr>
                          <m:e>
                            <m:r>
                              <m:rPr>
                                <m:sty m:val="bi"/>
                              </m:rPr>
                              <w:rPr>
                                <w:rFonts w:ascii="Cambria Math" w:hAnsi="Cambria Math"/>
                              </w:rPr>
                              <m:t>U</m:t>
                            </m:r>
                          </m:e>
                          <m:sub>
                            <m:r>
                              <w:rPr>
                                <w:rFonts w:ascii="Cambria Math" w:hAnsi="Cambria Math"/>
                              </w:rPr>
                              <m:t>k</m:t>
                            </m:r>
                          </m:sub>
                        </m:sSub>
                        <m:r>
                          <m:rPr>
                            <m:sty m:val="p"/>
                          </m:rPr>
                          <w:rPr>
                            <w:rFonts w:ascii="Cambria Math" w:hAnsi="Cambria Math"/>
                          </w:rPr>
                          <m:t>cos</m:t>
                        </m:r>
                        <m:r>
                          <w:rPr>
                            <w:rFonts w:ascii="Cambria Math" w:hAnsi="Cambria Math"/>
                          </w:rPr>
                          <m:t>θ</m:t>
                        </m:r>
                        <m:r>
                          <m:rPr>
                            <m:sty m:val="p"/>
                          </m:rPr>
                          <w:rPr>
                            <w:rFonts w:ascii="Cambria Math" w:hAnsi="Cambria Math"/>
                          </w:rPr>
                          <m:t>.</m:t>
                        </m:r>
                      </m:e>
                    </m:eqArr>
                  </m:e>
                </m:d>
              </m:oMath>
            </m:oMathPara>
          </w:p>
        </w:tc>
        <w:tc>
          <w:tcPr>
            <w:tcW w:w="270" w:type="dxa"/>
            <w:vAlign w:val="center"/>
          </w:tcPr>
          <w:p w14:paraId="2500CB29" w14:textId="77777777" w:rsidR="0039334C" w:rsidRDefault="0039334C" w:rsidP="00DD5ED6">
            <w:pPr>
              <w:spacing w:line="276" w:lineRule="auto"/>
              <w:jc w:val="center"/>
              <w:rPr>
                <w:rFonts w:ascii="Palatino Linotype" w:hAnsi="Palatino Linotype"/>
              </w:rPr>
            </w:pPr>
            <w:r>
              <w:rPr>
                <w:rFonts w:ascii="Palatino Linotype" w:hAnsi="Palatino Linotype"/>
              </w:rPr>
              <w:t>(2)</w:t>
            </w:r>
          </w:p>
        </w:tc>
      </w:tr>
    </w:tbl>
    <w:p w14:paraId="5792D163" w14:textId="77777777" w:rsidR="0039334C" w:rsidRDefault="0039334C" w:rsidP="0039334C">
      <w:pPr>
        <w:spacing w:line="276" w:lineRule="auto"/>
        <w:rPr>
          <w:rFonts w:ascii="Palatino Linotype" w:hAnsi="Palatino Linotype"/>
        </w:rPr>
      </w:pPr>
    </w:p>
    <w:p w14:paraId="3677A559" w14:textId="77777777" w:rsidR="0039334C" w:rsidRDefault="0039334C" w:rsidP="0039334C">
      <w:pPr>
        <w:spacing w:line="276" w:lineRule="auto"/>
        <w:rPr>
          <w:rFonts w:ascii="Palatino Linotype" w:hAnsi="Palatino Linotype"/>
        </w:rPr>
      </w:pPr>
      <w:r>
        <w:rPr>
          <w:rFonts w:ascii="Palatino Linotype" w:hAnsi="Palatino Linotype"/>
        </w:rPr>
        <w:t xml:space="preserve">Obviously, the rotated components </w:t>
      </w:r>
      <w:r>
        <w:rPr>
          <w:rFonts w:ascii="Palatino Linotype" w:hAnsi="Palatino Linotype"/>
          <w:b/>
          <w:i/>
        </w:rPr>
        <w:t>R</w:t>
      </w:r>
      <w:r>
        <w:rPr>
          <w:rFonts w:ascii="Palatino Linotype" w:hAnsi="Palatino Linotype"/>
          <w:i/>
          <w:vertAlign w:val="subscript"/>
        </w:rPr>
        <w:t>h</w:t>
      </w:r>
      <w:r>
        <w:rPr>
          <w:rFonts w:ascii="Palatino Linotype" w:hAnsi="Palatino Linotype"/>
        </w:rPr>
        <w:t xml:space="preserve"> and </w:t>
      </w:r>
      <w:proofErr w:type="spellStart"/>
      <w:r>
        <w:rPr>
          <w:rFonts w:ascii="Palatino Linotype" w:hAnsi="Palatino Linotype"/>
          <w:b/>
          <w:i/>
        </w:rPr>
        <w:t>R</w:t>
      </w:r>
      <w:r>
        <w:rPr>
          <w:rFonts w:ascii="Palatino Linotype" w:hAnsi="Palatino Linotype"/>
          <w:i/>
          <w:vertAlign w:val="subscript"/>
        </w:rPr>
        <w:t>k</w:t>
      </w:r>
      <w:proofErr w:type="spellEnd"/>
      <w:r>
        <w:rPr>
          <w:rFonts w:ascii="Palatino Linotype" w:hAnsi="Palatino Linotype"/>
        </w:rPr>
        <w:t xml:space="preserve"> remain mutually orthonormal and orthonormal to other components.  And</w:t>
      </w:r>
    </w:p>
    <w:p w14:paraId="270F0DC4" w14:textId="77777777" w:rsidR="0039334C" w:rsidRDefault="0039334C" w:rsidP="0039334C">
      <w:pPr>
        <w:spacing w:line="276" w:lineRule="auto"/>
        <w:rPr>
          <w:rFonts w:ascii="Palatino Linotype" w:hAnsi="Palatino Linotype"/>
        </w:rPr>
      </w:pPr>
    </w:p>
    <w:tbl>
      <w:tblPr>
        <w:tblStyle w:val="TableGrid"/>
        <w:tblW w:w="9545"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005"/>
        <w:gridCol w:w="540"/>
      </w:tblGrid>
      <w:tr w:rsidR="0039334C" w14:paraId="7C721CF1" w14:textId="77777777" w:rsidTr="00DD5ED6">
        <w:tc>
          <w:tcPr>
            <w:tcW w:w="9005" w:type="dxa"/>
            <w:tcBorders>
              <w:right w:val="nil"/>
            </w:tcBorders>
          </w:tcPr>
          <w:p w14:paraId="078FE828" w14:textId="77777777" w:rsidR="0039334C" w:rsidRPr="00E260D3" w:rsidRDefault="0039334C" w:rsidP="00DD5ED6">
            <w:pPr>
              <w:spacing w:line="276" w:lineRule="auto"/>
              <w:jc w:val="center"/>
              <w:rPr>
                <w:rFonts w:ascii="Palatino Linotype" w:hAnsi="Palatino Linotype"/>
              </w:rPr>
            </w:pPr>
            <m:oMathPara>
              <m:oMath>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h</m:t>
                            </m:r>
                          </m:sub>
                        </m:sSub>
                        <m:sSub>
                          <m:sSubPr>
                            <m:ctrlPr>
                              <w:rPr>
                                <w:rFonts w:ascii="Cambria Math" w:hAnsi="Cambria Math"/>
                                <w:i/>
                              </w:rPr>
                            </m:ctrlPr>
                          </m:sSubPr>
                          <m:e>
                            <m:r>
                              <w:rPr>
                                <w:rFonts w:ascii="Cambria Math" w:hAnsi="Cambria Math"/>
                              </w:rPr>
                              <m:t>t</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h</m:t>
                            </m:r>
                          </m:sub>
                        </m:sSub>
                        <m:r>
                          <m:rPr>
                            <m:sty m:val="p"/>
                          </m:rPr>
                          <w:rPr>
                            <w:rFonts w:ascii="Cambria Math" w:hAnsi="Cambria Math"/>
                          </w:rPr>
                          <m:t>cos</m:t>
                        </m:r>
                        <m:r>
                          <w:rPr>
                            <w:rFonts w:ascii="Cambria Math" w:hAnsi="Cambria Math"/>
                          </w:rPr>
                          <m:t>θ-</m:t>
                        </m:r>
                        <m:sSub>
                          <m:sSubPr>
                            <m:ctrlPr>
                              <w:rPr>
                                <w:rFonts w:ascii="Cambria Math" w:hAnsi="Cambria Math"/>
                                <w:i/>
                              </w:rPr>
                            </m:ctrlPr>
                          </m:sSubPr>
                          <m:e>
                            <m:r>
                              <w:rPr>
                                <w:rFonts w:ascii="Cambria Math" w:hAnsi="Cambria Math"/>
                              </w:rPr>
                              <m:t>c</m:t>
                            </m:r>
                          </m:e>
                          <m:sub>
                            <m:r>
                              <w:rPr>
                                <w:rFonts w:ascii="Cambria Math" w:hAnsi="Cambria Math"/>
                              </w:rPr>
                              <m:t>k</m:t>
                            </m:r>
                          </m:sub>
                        </m:sSub>
                        <m:r>
                          <m:rPr>
                            <m:sty m:val="p"/>
                          </m:rPr>
                          <w:rPr>
                            <w:rFonts w:ascii="Cambria Math" w:hAnsi="Cambria Math"/>
                          </w:rPr>
                          <m:t>sin</m:t>
                        </m:r>
                        <m:r>
                          <w:rPr>
                            <w:rFonts w:ascii="Cambria Math" w:hAnsi="Cambria Math"/>
                          </w:rPr>
                          <m:t>θ</m:t>
                        </m:r>
                        <m:r>
                          <m:rPr>
                            <m:sty m:val="p"/>
                          </m:rPr>
                          <w:rPr>
                            <w:rFonts w:ascii="Cambria Math" w:hAnsi="Cambria Math"/>
                          </w:rPr>
                          <m:t>;</m:t>
                        </m:r>
                      </m:e>
                      <m:e>
                        <m:sSub>
                          <m:sSubPr>
                            <m:ctrlPr>
                              <w:rPr>
                                <w:rFonts w:ascii="Cambria Math" w:hAnsi="Cambria Math"/>
                                <w:i/>
                              </w:rPr>
                            </m:ctrlPr>
                          </m:sSubPr>
                          <m:e>
                            <m:r>
                              <w:rPr>
                                <w:rFonts w:ascii="Cambria Math" w:hAnsi="Cambria Math"/>
                              </w:rPr>
                              <m:t>f</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k</m:t>
                            </m:r>
                          </m:sub>
                        </m:sSub>
                        <m:sSub>
                          <m:sSubPr>
                            <m:ctrlPr>
                              <w:rPr>
                                <w:rFonts w:ascii="Cambria Math" w:hAnsi="Cambria Math"/>
                                <w:i/>
                              </w:rPr>
                            </m:ctrlPr>
                          </m:sSubPr>
                          <m:e>
                            <m:r>
                              <w:rPr>
                                <w:rFonts w:ascii="Cambria Math" w:hAnsi="Cambria Math"/>
                              </w:rPr>
                              <m:t>t</m:t>
                            </m:r>
                          </m:e>
                          <m:sub>
                            <m:r>
                              <w:rPr>
                                <w:rFonts w:ascii="Cambria Math" w:hAnsi="Cambria Math"/>
                              </w:rPr>
                              <m:t>k</m:t>
                            </m:r>
                          </m:sub>
                        </m:sSub>
                        <m:sSub>
                          <m:sSubPr>
                            <m:ctrlPr>
                              <w:rPr>
                                <w:rFonts w:ascii="Cambria Math" w:hAnsi="Cambria Math"/>
                                <w:i/>
                              </w:rPr>
                            </m:ctrlPr>
                          </m:sSubPr>
                          <m:e>
                            <m:r>
                              <w:rPr>
                                <w:rFonts w:ascii="Cambria Math" w:hAnsi="Cambria Math"/>
                              </w:rPr>
                              <m:t>=c</m:t>
                            </m:r>
                          </m:e>
                          <m:sub>
                            <m:r>
                              <w:rPr>
                                <w:rFonts w:ascii="Cambria Math" w:hAnsi="Cambria Math"/>
                              </w:rPr>
                              <m:t>h</m:t>
                            </m:r>
                          </m:sub>
                        </m:sSub>
                        <m:r>
                          <m:rPr>
                            <m:sty m:val="p"/>
                          </m:rPr>
                          <w:rPr>
                            <w:rFonts w:ascii="Cambria Math" w:hAnsi="Cambria Math"/>
                          </w:rPr>
                          <m:t>sin</m:t>
                        </m:r>
                        <m:r>
                          <w:rPr>
                            <w:rFonts w:ascii="Cambria Math" w:hAnsi="Cambria Math"/>
                          </w:rPr>
                          <m:t>θ+</m:t>
                        </m:r>
                        <m:sSub>
                          <m:sSubPr>
                            <m:ctrlPr>
                              <w:rPr>
                                <w:rFonts w:ascii="Cambria Math" w:hAnsi="Cambria Math"/>
                                <w:i/>
                              </w:rPr>
                            </m:ctrlPr>
                          </m:sSubPr>
                          <m:e>
                            <m:r>
                              <w:rPr>
                                <w:rFonts w:ascii="Cambria Math" w:hAnsi="Cambria Math"/>
                              </w:rPr>
                              <m:t>c</m:t>
                            </m:r>
                          </m:e>
                          <m:sub>
                            <m:r>
                              <w:rPr>
                                <w:rFonts w:ascii="Cambria Math" w:hAnsi="Cambria Math"/>
                              </w:rPr>
                              <m:t>k</m:t>
                            </m:r>
                          </m:sub>
                        </m:sSub>
                        <m:r>
                          <m:rPr>
                            <m:sty m:val="p"/>
                          </m:rPr>
                          <w:rPr>
                            <w:rFonts w:ascii="Cambria Math" w:hAnsi="Cambria Math"/>
                          </w:rPr>
                          <m:t>cos</m:t>
                        </m:r>
                        <m:r>
                          <w:rPr>
                            <w:rFonts w:ascii="Cambria Math" w:hAnsi="Cambria Math"/>
                          </w:rPr>
                          <m:t>θ</m:t>
                        </m:r>
                        <m:r>
                          <m:rPr>
                            <m:sty m:val="p"/>
                          </m:rPr>
                          <w:rPr>
                            <w:rFonts w:ascii="Cambria Math" w:hAnsi="Cambria Math"/>
                          </w:rPr>
                          <m:t>.</m:t>
                        </m:r>
                      </m:e>
                    </m:eqArr>
                  </m:e>
                </m:d>
              </m:oMath>
            </m:oMathPara>
          </w:p>
        </w:tc>
        <w:tc>
          <w:tcPr>
            <w:tcW w:w="540" w:type="dxa"/>
            <w:tcBorders>
              <w:top w:val="nil"/>
              <w:left w:val="nil"/>
              <w:bottom w:val="nil"/>
            </w:tcBorders>
            <w:vAlign w:val="center"/>
          </w:tcPr>
          <w:p w14:paraId="36C9F2BD" w14:textId="77777777" w:rsidR="0039334C" w:rsidRDefault="0039334C" w:rsidP="00DD5ED6">
            <w:pPr>
              <w:spacing w:line="276" w:lineRule="auto"/>
              <w:jc w:val="right"/>
              <w:rPr>
                <w:rFonts w:ascii="Palatino Linotype" w:hAnsi="Palatino Linotype"/>
              </w:rPr>
            </w:pPr>
            <w:r>
              <w:rPr>
                <w:rFonts w:ascii="Palatino Linotype" w:hAnsi="Palatino Linotype"/>
              </w:rPr>
              <w:t>(3)</w:t>
            </w:r>
          </w:p>
        </w:tc>
      </w:tr>
    </w:tbl>
    <w:p w14:paraId="40CD330D" w14:textId="77777777" w:rsidR="0039334C" w:rsidRDefault="0039334C" w:rsidP="0039334C">
      <w:pPr>
        <w:spacing w:line="276" w:lineRule="auto"/>
        <w:rPr>
          <w:rFonts w:ascii="Palatino Linotype" w:hAnsi="Palatino Linotype"/>
        </w:rPr>
      </w:pPr>
    </w:p>
    <w:p w14:paraId="1B2C49F9" w14:textId="77777777" w:rsidR="0039334C" w:rsidRDefault="0039334C" w:rsidP="0039334C">
      <w:pPr>
        <w:spacing w:line="276" w:lineRule="auto"/>
        <w:rPr>
          <w:rFonts w:ascii="Palatino Linotype" w:hAnsi="Palatino Linotype"/>
        </w:rPr>
      </w:pPr>
      <w:r>
        <w:rPr>
          <w:rFonts w:ascii="Palatino Linotype" w:hAnsi="Palatino Linotype"/>
        </w:rPr>
        <w:t xml:space="preserve">Here </w:t>
      </w:r>
      <m:oMath>
        <m:sSub>
          <m:sSubPr>
            <m:ctrlPr>
              <w:rPr>
                <w:rFonts w:ascii="Cambria Math" w:hAnsi="Cambria Math"/>
                <w:i/>
              </w:rPr>
            </m:ctrlPr>
          </m:sSubPr>
          <m:e>
            <m:r>
              <w:rPr>
                <w:rFonts w:ascii="Cambria Math" w:hAnsi="Cambria Math"/>
              </w:rPr>
              <m:t>s</m:t>
            </m:r>
          </m:e>
          <m:sub>
            <m:r>
              <w:rPr>
                <w:rFonts w:ascii="Cambria Math" w:hAnsi="Cambria Math"/>
              </w:rPr>
              <m:t>h|k</m:t>
            </m:r>
          </m:sub>
        </m:sSub>
        <m:r>
          <w:rPr>
            <w:rFonts w:ascii="Cambria Math" w:hAnsi="Cambria Math"/>
          </w:rPr>
          <m:t>=</m:t>
        </m:r>
        <m:rad>
          <m:radPr>
            <m:degHide m:val="1"/>
            <m:ctrlPr>
              <w:rPr>
                <w:rFonts w:ascii="Cambria Math" w:hAnsi="Cambria Math"/>
                <w:i/>
              </w:rPr>
            </m:ctrlPr>
          </m:radPr>
          <m:deg/>
          <m:e>
            <m:nary>
              <m:naryPr>
                <m:chr m:val="∑"/>
                <m:limLoc m:val="undOvr"/>
                <m:subHide m:val="1"/>
                <m:supHide m:val="1"/>
                <m:ctrlPr>
                  <w:rPr>
                    <w:rFonts w:ascii="Cambria Math" w:hAnsi="Cambria Math"/>
                    <w:i/>
                  </w:rPr>
                </m:ctrlPr>
              </m:naryPr>
              <m:sub/>
              <m:sup/>
              <m:e>
                <m:sSubSup>
                  <m:sSubSupPr>
                    <m:ctrlPr>
                      <w:rPr>
                        <w:rFonts w:ascii="Cambria Math" w:hAnsi="Cambria Math"/>
                        <w:i/>
                      </w:rPr>
                    </m:ctrlPr>
                  </m:sSubSupPr>
                  <m:e>
                    <m:r>
                      <w:rPr>
                        <w:rFonts w:ascii="Cambria Math" w:hAnsi="Cambria Math"/>
                      </w:rPr>
                      <m:t>f</m:t>
                    </m:r>
                  </m:e>
                  <m:sub>
                    <m:r>
                      <w:rPr>
                        <w:rFonts w:ascii="Cambria Math" w:hAnsi="Cambria Math"/>
                      </w:rPr>
                      <m:t>h|k</m:t>
                    </m:r>
                  </m:sub>
                  <m:sup>
                    <m:r>
                      <w:rPr>
                        <w:rFonts w:ascii="Cambria Math" w:hAnsi="Cambria Math"/>
                      </w:rPr>
                      <m:t>2</m:t>
                    </m:r>
                  </m:sup>
                </m:sSubSup>
              </m:e>
            </m:nary>
          </m:e>
        </m:rad>
      </m:oMath>
      <w:r>
        <w:rPr>
          <w:rFonts w:ascii="Palatino Linotype" w:hAnsi="Palatino Linotype"/>
        </w:rPr>
        <w:t xml:space="preserve"> are the singular values that replace </w:t>
      </w:r>
      <w:proofErr w:type="spellStart"/>
      <w:r w:rsidRPr="0071167C">
        <w:rPr>
          <w:rFonts w:ascii="Palatino Linotype" w:hAnsi="Palatino Linotype"/>
          <w:i/>
        </w:rPr>
        <w:t>w</w:t>
      </w:r>
      <w:r w:rsidRPr="0071167C">
        <w:rPr>
          <w:rFonts w:ascii="Palatino Linotype" w:hAnsi="Palatino Linotype"/>
          <w:i/>
          <w:vertAlign w:val="subscript"/>
        </w:rPr>
        <w:t>h</w:t>
      </w:r>
      <w:proofErr w:type="spellEnd"/>
      <w:r>
        <w:rPr>
          <w:rFonts w:ascii="Palatino Linotype" w:hAnsi="Palatino Linotype"/>
        </w:rPr>
        <w:t xml:space="preserve"> and </w:t>
      </w:r>
      <w:proofErr w:type="spellStart"/>
      <w:r w:rsidRPr="0071167C">
        <w:rPr>
          <w:rFonts w:ascii="Palatino Linotype" w:hAnsi="Palatino Linotype"/>
          <w:i/>
        </w:rPr>
        <w:t>w</w:t>
      </w:r>
      <w:r w:rsidRPr="0071167C">
        <w:rPr>
          <w:rFonts w:ascii="Palatino Linotype" w:hAnsi="Palatino Linotype"/>
          <w:i/>
          <w:vertAlign w:val="subscript"/>
        </w:rPr>
        <w:t>k</w:t>
      </w:r>
      <w:proofErr w:type="spellEnd"/>
      <w:r>
        <w:rPr>
          <w:rFonts w:ascii="Palatino Linotype" w:hAnsi="Palatino Linotype"/>
        </w:rPr>
        <w:t xml:space="preserve">, respectively, after the rotation.  They may increase or decrease compared to the original singular values so that the descending order of the singular values no longer holds.  </w:t>
      </w:r>
      <w:proofErr w:type="spellStart"/>
      <w:r w:rsidRPr="000E21FD">
        <w:rPr>
          <w:rFonts w:ascii="Palatino Linotype" w:hAnsi="Palatino Linotype"/>
          <w:b/>
          <w:i/>
        </w:rPr>
        <w:t>T</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w:t>
      </w:r>
      <w:proofErr w:type="spellEnd"/>
      <w:r>
        <w:rPr>
          <w:rFonts w:ascii="Palatino Linotype" w:hAnsi="Palatino Linotype"/>
        </w:rPr>
        <w:t xml:space="preserve"> = (</w:t>
      </w:r>
      <w:r w:rsidRPr="000E21FD">
        <w:rPr>
          <w:rFonts w:ascii="Palatino Linotype" w:hAnsi="Palatino Linotype"/>
          <w:i/>
        </w:rPr>
        <w:t>t</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w:t>
      </w:r>
      <w:r w:rsidRPr="000E21FD">
        <w:rPr>
          <w:rFonts w:ascii="Palatino Linotype" w:hAnsi="Palatino Linotype"/>
          <w:vertAlign w:val="subscript"/>
        </w:rPr>
        <w:t>1</w:t>
      </w:r>
      <w:r>
        <w:rPr>
          <w:rFonts w:ascii="Palatino Linotype" w:hAnsi="Palatino Linotype"/>
        </w:rPr>
        <w:t xml:space="preserve">, </w:t>
      </w:r>
      <w:r w:rsidRPr="000E21FD">
        <w:rPr>
          <w:rFonts w:ascii="Palatino Linotype" w:hAnsi="Palatino Linotype"/>
          <w:i/>
        </w:rPr>
        <w:t>t</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w:t>
      </w:r>
      <w:r>
        <w:rPr>
          <w:rFonts w:ascii="Palatino Linotype" w:hAnsi="Palatino Linotype"/>
          <w:vertAlign w:val="subscript"/>
        </w:rPr>
        <w:t>2</w:t>
      </w:r>
      <w:r>
        <w:rPr>
          <w:rFonts w:ascii="Palatino Linotype" w:hAnsi="Palatino Linotype"/>
        </w:rPr>
        <w:t xml:space="preserve">, …, </w:t>
      </w:r>
      <w:proofErr w:type="spellStart"/>
      <w:r w:rsidRPr="000E21FD">
        <w:rPr>
          <w:rFonts w:ascii="Palatino Linotype" w:hAnsi="Palatino Linotype"/>
          <w:i/>
        </w:rPr>
        <w:t>t</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kN</w:t>
      </w:r>
      <w:proofErr w:type="spellEnd"/>
      <w:r>
        <w:rPr>
          <w:rFonts w:ascii="Palatino Linotype" w:hAnsi="Palatino Linotype"/>
        </w:rPr>
        <w:t>) = (</w:t>
      </w:r>
      <w:r>
        <w:rPr>
          <w:rFonts w:ascii="Palatino Linotype" w:hAnsi="Palatino Linotype"/>
          <w:i/>
        </w:rPr>
        <w:t>f</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w:t>
      </w:r>
      <w:r w:rsidRPr="000E21FD">
        <w:rPr>
          <w:rFonts w:ascii="Palatino Linotype" w:hAnsi="Palatino Linotype"/>
          <w:vertAlign w:val="subscript"/>
        </w:rPr>
        <w:t>1</w:t>
      </w:r>
      <w:r>
        <w:rPr>
          <w:rFonts w:ascii="Palatino Linotype" w:hAnsi="Palatino Linotype"/>
        </w:rPr>
        <w:t xml:space="preserve">, </w:t>
      </w:r>
      <w:r>
        <w:rPr>
          <w:rFonts w:ascii="Palatino Linotype" w:hAnsi="Palatino Linotype"/>
          <w:i/>
        </w:rPr>
        <w:t>f</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w:t>
      </w:r>
      <w:r>
        <w:rPr>
          <w:rFonts w:ascii="Palatino Linotype" w:hAnsi="Palatino Linotype"/>
          <w:vertAlign w:val="subscript"/>
        </w:rPr>
        <w:t>2</w:t>
      </w:r>
      <w:r>
        <w:rPr>
          <w:rFonts w:ascii="Palatino Linotype" w:hAnsi="Palatino Linotype"/>
        </w:rPr>
        <w:t xml:space="preserve">, …, </w:t>
      </w:r>
      <w:proofErr w:type="spellStart"/>
      <w:r>
        <w:rPr>
          <w:rFonts w:ascii="Palatino Linotype" w:hAnsi="Palatino Linotype"/>
          <w:i/>
        </w:rPr>
        <w:t>f</w:t>
      </w:r>
      <w:r w:rsidRPr="000E21FD">
        <w:rPr>
          <w:rFonts w:ascii="Palatino Linotype" w:hAnsi="Palatino Linotype"/>
          <w:i/>
          <w:vertAlign w:val="subscript"/>
        </w:rPr>
        <w:t>h</w:t>
      </w:r>
      <w:r w:rsidRPr="000E21FD">
        <w:rPr>
          <w:rFonts w:ascii="Palatino Linotype" w:hAnsi="Palatino Linotype"/>
          <w:vertAlign w:val="subscript"/>
        </w:rPr>
        <w:t>|</w:t>
      </w:r>
      <w:r w:rsidRPr="000E21FD">
        <w:rPr>
          <w:rFonts w:ascii="Palatino Linotype" w:hAnsi="Palatino Linotype"/>
          <w:i/>
          <w:vertAlign w:val="subscript"/>
        </w:rPr>
        <w:t>kN</w:t>
      </w:r>
      <w:proofErr w:type="spellEnd"/>
      <w:r>
        <w:rPr>
          <w:rFonts w:ascii="Palatino Linotype" w:hAnsi="Palatino Linotype"/>
        </w:rPr>
        <w:t>)/</w:t>
      </w:r>
      <w:proofErr w:type="spellStart"/>
      <w:r w:rsidRPr="00E176C5">
        <w:rPr>
          <w:rFonts w:ascii="Palatino Linotype" w:hAnsi="Palatino Linotype"/>
          <w:i/>
        </w:rPr>
        <w:t>s</w:t>
      </w:r>
      <w:r w:rsidRPr="00E176C5">
        <w:rPr>
          <w:rFonts w:ascii="Palatino Linotype" w:hAnsi="Palatino Linotype"/>
          <w:i/>
          <w:vertAlign w:val="subscript"/>
        </w:rPr>
        <w:t>h</w:t>
      </w:r>
      <w:r w:rsidRPr="00E176C5">
        <w:rPr>
          <w:rFonts w:ascii="Palatino Linotype" w:hAnsi="Palatino Linotype"/>
          <w:vertAlign w:val="subscript"/>
        </w:rPr>
        <w:t>|</w:t>
      </w:r>
      <w:r w:rsidRPr="00E176C5">
        <w:rPr>
          <w:rFonts w:ascii="Palatino Linotype" w:hAnsi="Palatino Linotype"/>
          <w:i/>
          <w:vertAlign w:val="subscript"/>
        </w:rPr>
        <w:t>k</w:t>
      </w:r>
      <w:proofErr w:type="spellEnd"/>
      <w:r>
        <w:rPr>
          <w:rFonts w:ascii="Palatino Linotype" w:hAnsi="Palatino Linotype"/>
        </w:rPr>
        <w:t xml:space="preserve"> are the right singular vectors that replace </w:t>
      </w:r>
      <w:proofErr w:type="spellStart"/>
      <w:r w:rsidRPr="000E21FD">
        <w:rPr>
          <w:rFonts w:ascii="Palatino Linotype" w:hAnsi="Palatino Linotype"/>
          <w:b/>
          <w:i/>
        </w:rPr>
        <w:t>V</w:t>
      </w:r>
      <w:r w:rsidRPr="000E21FD">
        <w:rPr>
          <w:rFonts w:ascii="Palatino Linotype" w:hAnsi="Palatino Linotype"/>
          <w:i/>
          <w:vertAlign w:val="subscript"/>
        </w:rPr>
        <w:t>h</w:t>
      </w:r>
      <w:proofErr w:type="spellEnd"/>
      <w:r>
        <w:rPr>
          <w:rFonts w:ascii="Palatino Linotype" w:hAnsi="Palatino Linotype"/>
        </w:rPr>
        <w:t xml:space="preserve"> and </w:t>
      </w:r>
      <w:proofErr w:type="spellStart"/>
      <w:r w:rsidRPr="000E21FD">
        <w:rPr>
          <w:rFonts w:ascii="Palatino Linotype" w:hAnsi="Palatino Linotype"/>
          <w:b/>
          <w:i/>
        </w:rPr>
        <w:t>V</w:t>
      </w:r>
      <w:r w:rsidRPr="000E21FD">
        <w:rPr>
          <w:rFonts w:ascii="Palatino Linotype" w:hAnsi="Palatino Linotype"/>
          <w:i/>
          <w:vertAlign w:val="subscript"/>
        </w:rPr>
        <w:t>k</w:t>
      </w:r>
      <w:proofErr w:type="spellEnd"/>
      <w:r>
        <w:rPr>
          <w:rFonts w:ascii="Palatino Linotype" w:hAnsi="Palatino Linotype"/>
        </w:rPr>
        <w:t xml:space="preserve">, respectively.  </w:t>
      </w:r>
      <w:r>
        <w:rPr>
          <w:rFonts w:ascii="Palatino Linotype" w:hAnsi="Palatino Linotype"/>
          <w:b/>
          <w:i/>
        </w:rPr>
        <w:t>T</w:t>
      </w:r>
      <w:r>
        <w:rPr>
          <w:rFonts w:ascii="Palatino Linotype" w:hAnsi="Palatino Linotype"/>
          <w:i/>
          <w:vertAlign w:val="subscript"/>
        </w:rPr>
        <w:t>h</w:t>
      </w:r>
      <w:r>
        <w:rPr>
          <w:rFonts w:ascii="Palatino Linotype" w:hAnsi="Palatino Linotype"/>
        </w:rPr>
        <w:t xml:space="preserve"> and </w:t>
      </w:r>
      <w:r>
        <w:rPr>
          <w:rFonts w:ascii="Palatino Linotype" w:hAnsi="Palatino Linotype"/>
          <w:b/>
          <w:i/>
        </w:rPr>
        <w:t>T</w:t>
      </w:r>
      <w:r>
        <w:rPr>
          <w:rFonts w:ascii="Palatino Linotype" w:hAnsi="Palatino Linotype"/>
          <w:i/>
          <w:vertAlign w:val="subscript"/>
        </w:rPr>
        <w:t>k</w:t>
      </w:r>
      <w:r>
        <w:rPr>
          <w:rFonts w:ascii="Palatino Linotype" w:hAnsi="Palatino Linotype"/>
        </w:rPr>
        <w:t xml:space="preserve"> remain mutually orthonormal after the rotation and orthonormal to other right singular vectors that are not involved in the rotation.</w:t>
      </w:r>
    </w:p>
    <w:p w14:paraId="0D1E9D8B" w14:textId="77777777" w:rsidR="0039334C" w:rsidRDefault="0039334C" w:rsidP="0039334C">
      <w:pPr>
        <w:spacing w:line="276" w:lineRule="auto"/>
        <w:rPr>
          <w:rFonts w:ascii="Palatino Linotype" w:hAnsi="Palatino Linotype"/>
        </w:rPr>
      </w:pPr>
    </w:p>
    <w:p w14:paraId="6A8E86EE"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Eq. 1 holds because the dot product of two vectors does not change after both vectors rotate the same angle.  To prove Eq. 1 in more detail, </w:t>
      </w:r>
      <w:proofErr w:type="spellStart"/>
      <w:r>
        <w:rPr>
          <w:rFonts w:ascii="Palatino Linotype" w:hAnsi="Palatino Linotype"/>
        </w:rPr>
        <w:t>Eqs</w:t>
      </w:r>
      <w:proofErr w:type="spellEnd"/>
      <w:r>
        <w:rPr>
          <w:rFonts w:ascii="Palatino Linotype" w:hAnsi="Palatino Linotype"/>
        </w:rPr>
        <w:t>. 2 and 3 are combined and expanded.  All cross terms of sine and cosine are self-canceled:</w:t>
      </w:r>
    </w:p>
    <w:p w14:paraId="78DB4375" w14:textId="77777777" w:rsidR="0039334C" w:rsidRDefault="0039334C" w:rsidP="0039334C">
      <w:pPr>
        <w:spacing w:line="276" w:lineRule="auto"/>
        <w:rPr>
          <w:rFonts w:ascii="Palatino Linotype" w:hAnsi="Palatino Linotype"/>
        </w:rPr>
      </w:pPr>
    </w:p>
    <w:p w14:paraId="0EB7C808" w14:textId="77777777" w:rsidR="0039334C" w:rsidRPr="006E61C2" w:rsidRDefault="0039334C" w:rsidP="0039334C">
      <w:pPr>
        <w:tabs>
          <w:tab w:val="left" w:pos="1080"/>
        </w:tabs>
        <w:spacing w:line="276" w:lineRule="auto"/>
        <w:rPr>
          <w:rFonts w:ascii="Palatino Linotype" w:hAnsi="Palatino Linotype"/>
          <w:iCs/>
        </w:rPr>
      </w:pPr>
      <w:proofErr w:type="spellStart"/>
      <w:r>
        <w:rPr>
          <w:rFonts w:ascii="Palatino Linotype" w:hAnsi="Palatino Linotype"/>
          <w:i/>
        </w:rPr>
        <w:t>f</w:t>
      </w:r>
      <w:r w:rsidRPr="00951064">
        <w:rPr>
          <w:rFonts w:ascii="Palatino Linotype" w:hAnsi="Palatino Linotype"/>
          <w:i/>
          <w:vertAlign w:val="subscript"/>
        </w:rPr>
        <w:t>h</w:t>
      </w:r>
      <w:r>
        <w:rPr>
          <w:rFonts w:ascii="Palatino Linotype" w:hAnsi="Palatino Linotype"/>
          <w:b/>
          <w:i/>
        </w:rPr>
        <w:t>R</w:t>
      </w:r>
      <w:r>
        <w:rPr>
          <w:rFonts w:ascii="Palatino Linotype" w:hAnsi="Palatino Linotype"/>
          <w:i/>
          <w:vertAlign w:val="subscript"/>
        </w:rPr>
        <w:t>h</w:t>
      </w:r>
      <w:proofErr w:type="spellEnd"/>
      <w:r>
        <w:rPr>
          <w:rFonts w:ascii="Palatino Linotype" w:hAnsi="Palatino Linotype"/>
        </w:rPr>
        <w:t xml:space="preserve"> + </w:t>
      </w:r>
      <w:proofErr w:type="spellStart"/>
      <w:r>
        <w:rPr>
          <w:rFonts w:ascii="Palatino Linotype" w:hAnsi="Palatino Linotype"/>
          <w:i/>
        </w:rPr>
        <w:t>f</w:t>
      </w:r>
      <w:r w:rsidRPr="00951064">
        <w:rPr>
          <w:rFonts w:ascii="Palatino Linotype" w:hAnsi="Palatino Linotype"/>
          <w:i/>
          <w:vertAlign w:val="subscript"/>
        </w:rPr>
        <w:t>k</w:t>
      </w:r>
      <w:r>
        <w:rPr>
          <w:rFonts w:ascii="Palatino Linotype" w:hAnsi="Palatino Linotype"/>
          <w:b/>
          <w:i/>
        </w:rPr>
        <w:t>R</w:t>
      </w:r>
      <w:r w:rsidRPr="005F7873">
        <w:rPr>
          <w:rFonts w:ascii="Palatino Linotype" w:hAnsi="Palatino Linotype"/>
          <w:i/>
          <w:vertAlign w:val="subscript"/>
        </w:rPr>
        <w:t>k</w:t>
      </w:r>
      <w:proofErr w:type="spellEnd"/>
      <w:r>
        <w:rPr>
          <w:rFonts w:ascii="Palatino Linotype" w:hAnsi="Palatino Linotype"/>
          <w:iCs/>
        </w:rPr>
        <w:tab/>
      </w:r>
      <w:r>
        <w:rPr>
          <w:rFonts w:ascii="Palatino Linotype" w:hAnsi="Palatino Linotype"/>
        </w:rPr>
        <w:t>= (</w:t>
      </w:r>
      <w:proofErr w:type="spellStart"/>
      <w:r w:rsidRPr="00E97E53">
        <w:rPr>
          <w:rFonts w:ascii="Palatino Linotype" w:hAnsi="Palatino Linotype"/>
          <w:i/>
          <w:iCs/>
        </w:rPr>
        <w:t>c</w:t>
      </w:r>
      <w:r w:rsidRPr="00E97E53">
        <w:rPr>
          <w:rFonts w:ascii="Palatino Linotype" w:hAnsi="Palatino Linotype"/>
          <w:i/>
          <w:iCs/>
          <w:vertAlign w:val="subscript"/>
        </w:rPr>
        <w:t>h</w:t>
      </w:r>
      <w:r>
        <w:rPr>
          <w:rFonts w:ascii="Palatino Linotype" w:hAnsi="Palatino Linotype"/>
        </w:rPr>
        <w:t>cos</w:t>
      </w:r>
      <w:proofErr w:type="spellEnd"/>
      <w:r w:rsidRPr="00E97E53">
        <w:rPr>
          <w:rFonts w:ascii="Palatino Linotype" w:hAnsi="Palatino Linotype"/>
          <w:i/>
          <w:iCs/>
        </w:rPr>
        <w:sym w:font="Symbol" w:char="F071"/>
      </w:r>
      <w:r>
        <w:rPr>
          <w:rFonts w:ascii="Palatino Linotype" w:hAnsi="Palatino Linotype"/>
        </w:rPr>
        <w:t xml:space="preserve"> – </w:t>
      </w:r>
      <w:proofErr w:type="spellStart"/>
      <w:r w:rsidRPr="00E97E53">
        <w:rPr>
          <w:rFonts w:ascii="Palatino Linotype" w:hAnsi="Palatino Linotype"/>
          <w:i/>
          <w:iCs/>
        </w:rPr>
        <w:t>c</w:t>
      </w:r>
      <w:r>
        <w:rPr>
          <w:rFonts w:ascii="Palatino Linotype" w:hAnsi="Palatino Linotype"/>
          <w:i/>
          <w:iCs/>
          <w:vertAlign w:val="subscript"/>
        </w:rPr>
        <w:t>k</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w:t>
      </w:r>
      <w:proofErr w:type="spellStart"/>
      <w:r w:rsidRPr="00E97E53">
        <w:rPr>
          <w:rFonts w:ascii="Palatino Linotype" w:hAnsi="Palatino Linotype"/>
          <w:b/>
          <w:bCs/>
          <w:i/>
          <w:iCs/>
        </w:rPr>
        <w:t>U</w:t>
      </w:r>
      <w:r w:rsidRPr="00E97E53">
        <w:rPr>
          <w:rFonts w:ascii="Palatino Linotype" w:hAnsi="Palatino Linotype"/>
          <w:i/>
          <w:iCs/>
          <w:vertAlign w:val="subscript"/>
        </w:rPr>
        <w:t>h</w:t>
      </w:r>
      <w:r>
        <w:rPr>
          <w:rFonts w:ascii="Palatino Linotype" w:hAnsi="Palatino Linotype"/>
        </w:rPr>
        <w:t>cos</w:t>
      </w:r>
      <w:proofErr w:type="spellEnd"/>
      <w:r w:rsidRPr="00E97E53">
        <w:rPr>
          <w:rFonts w:ascii="Palatino Linotype" w:hAnsi="Palatino Linotype"/>
          <w:i/>
          <w:iCs/>
        </w:rPr>
        <w:sym w:font="Symbol" w:char="F071"/>
      </w:r>
      <w:r>
        <w:rPr>
          <w:rFonts w:ascii="Palatino Linotype" w:hAnsi="Palatino Linotype"/>
        </w:rPr>
        <w:t xml:space="preserve"> – </w:t>
      </w:r>
      <w:proofErr w:type="spellStart"/>
      <w:r w:rsidRPr="00E97E53">
        <w:rPr>
          <w:rFonts w:ascii="Palatino Linotype" w:hAnsi="Palatino Linotype"/>
          <w:b/>
          <w:bCs/>
          <w:i/>
          <w:iCs/>
        </w:rPr>
        <w:t>U</w:t>
      </w:r>
      <w:r>
        <w:rPr>
          <w:rFonts w:ascii="Palatino Linotype" w:hAnsi="Palatino Linotype"/>
          <w:i/>
          <w:iCs/>
          <w:vertAlign w:val="subscript"/>
        </w:rPr>
        <w:t>k</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 + (</w:t>
      </w:r>
      <w:proofErr w:type="spellStart"/>
      <w:r w:rsidRPr="00E97E53">
        <w:rPr>
          <w:rFonts w:ascii="Palatino Linotype" w:hAnsi="Palatino Linotype"/>
          <w:i/>
          <w:iCs/>
        </w:rPr>
        <w:t>c</w:t>
      </w:r>
      <w:r w:rsidRPr="00E97E53">
        <w:rPr>
          <w:rFonts w:ascii="Palatino Linotype" w:hAnsi="Palatino Linotype"/>
          <w:i/>
          <w:iCs/>
          <w:vertAlign w:val="subscript"/>
        </w:rPr>
        <w:t>h</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 xml:space="preserve"> + </w:t>
      </w:r>
      <w:proofErr w:type="spellStart"/>
      <w:r w:rsidRPr="00E97E53">
        <w:rPr>
          <w:rFonts w:ascii="Palatino Linotype" w:hAnsi="Palatino Linotype"/>
          <w:i/>
          <w:iCs/>
        </w:rPr>
        <w:t>c</w:t>
      </w:r>
      <w:r>
        <w:rPr>
          <w:rFonts w:ascii="Palatino Linotype" w:hAnsi="Palatino Linotype"/>
          <w:i/>
          <w:iCs/>
          <w:vertAlign w:val="subscript"/>
        </w:rPr>
        <w:t>k</w:t>
      </w:r>
      <w:r>
        <w:rPr>
          <w:rFonts w:ascii="Palatino Linotype" w:hAnsi="Palatino Linotype"/>
        </w:rPr>
        <w:t>cos</w:t>
      </w:r>
      <w:proofErr w:type="spellEnd"/>
      <w:r w:rsidRPr="00E97E53">
        <w:rPr>
          <w:rFonts w:ascii="Palatino Linotype" w:hAnsi="Palatino Linotype"/>
          <w:i/>
          <w:iCs/>
        </w:rPr>
        <w:sym w:font="Symbol" w:char="F071"/>
      </w:r>
      <w:r>
        <w:rPr>
          <w:rFonts w:ascii="Palatino Linotype" w:hAnsi="Palatino Linotype"/>
        </w:rPr>
        <w:t>)(</w:t>
      </w:r>
      <w:proofErr w:type="spellStart"/>
      <w:r w:rsidRPr="00E97E53">
        <w:rPr>
          <w:rFonts w:ascii="Palatino Linotype" w:hAnsi="Palatino Linotype"/>
          <w:b/>
          <w:bCs/>
          <w:i/>
          <w:iCs/>
        </w:rPr>
        <w:t>U</w:t>
      </w:r>
      <w:r w:rsidRPr="00E97E53">
        <w:rPr>
          <w:rFonts w:ascii="Palatino Linotype" w:hAnsi="Palatino Linotype"/>
          <w:i/>
          <w:iCs/>
          <w:vertAlign w:val="subscript"/>
        </w:rPr>
        <w:t>h</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 xml:space="preserve"> + </w:t>
      </w:r>
      <w:proofErr w:type="spellStart"/>
      <w:r w:rsidRPr="00E97E53">
        <w:rPr>
          <w:rFonts w:ascii="Palatino Linotype" w:hAnsi="Palatino Linotype"/>
          <w:b/>
          <w:bCs/>
          <w:i/>
          <w:iCs/>
        </w:rPr>
        <w:t>U</w:t>
      </w:r>
      <w:r>
        <w:rPr>
          <w:rFonts w:ascii="Palatino Linotype" w:hAnsi="Palatino Linotype"/>
          <w:i/>
          <w:iCs/>
          <w:vertAlign w:val="subscript"/>
        </w:rPr>
        <w:t>k</w:t>
      </w:r>
      <w:r>
        <w:rPr>
          <w:rFonts w:ascii="Palatino Linotype" w:hAnsi="Palatino Linotype"/>
        </w:rPr>
        <w:t>cos</w:t>
      </w:r>
      <w:proofErr w:type="spellEnd"/>
      <w:r w:rsidRPr="00E97E53">
        <w:rPr>
          <w:rFonts w:ascii="Palatino Linotype" w:hAnsi="Palatino Linotype"/>
          <w:i/>
          <w:iCs/>
        </w:rPr>
        <w:sym w:font="Symbol" w:char="F071"/>
      </w:r>
      <w:r>
        <w:rPr>
          <w:rFonts w:ascii="Palatino Linotype" w:hAnsi="Palatino Linotype"/>
        </w:rPr>
        <w:t>)</w:t>
      </w:r>
    </w:p>
    <w:p w14:paraId="3B819D5E" w14:textId="77777777" w:rsidR="0039334C" w:rsidRDefault="0039334C" w:rsidP="0039334C">
      <w:pPr>
        <w:spacing w:line="276" w:lineRule="auto"/>
        <w:ind w:left="1080"/>
        <w:rPr>
          <w:rFonts w:ascii="Palatino Linotype" w:hAnsi="Palatino Linotype"/>
        </w:rPr>
      </w:pPr>
      <w:r>
        <w:rPr>
          <w:rFonts w:ascii="Palatino Linotype" w:hAnsi="Palatino Linotype"/>
        </w:rPr>
        <w:t xml:space="preserve">= </w:t>
      </w:r>
      <w:r w:rsidRPr="00E97E53">
        <w:rPr>
          <w:rFonts w:ascii="Palatino Linotype" w:hAnsi="Palatino Linotype"/>
          <w:i/>
          <w:iCs/>
        </w:rPr>
        <w:t>c</w:t>
      </w:r>
      <w:r w:rsidRPr="00E97E53">
        <w:rPr>
          <w:rFonts w:ascii="Palatino Linotype" w:hAnsi="Palatino Linotype"/>
          <w:i/>
          <w:iCs/>
          <w:vertAlign w:val="subscript"/>
        </w:rPr>
        <w:t>h</w:t>
      </w:r>
      <w:r w:rsidRPr="00E97E53">
        <w:rPr>
          <w:rFonts w:ascii="Palatino Linotype" w:hAnsi="Palatino Linotype"/>
          <w:b/>
          <w:bCs/>
          <w:i/>
          <w:iCs/>
        </w:rPr>
        <w:t>U</w:t>
      </w:r>
      <w:r w:rsidRPr="00E97E53">
        <w:rPr>
          <w:rFonts w:ascii="Palatino Linotype" w:hAnsi="Palatino Linotype"/>
          <w:i/>
          <w:iCs/>
          <w:vertAlign w:val="subscript"/>
        </w:rPr>
        <w:t>h</w:t>
      </w:r>
      <w:r>
        <w:rPr>
          <w:rFonts w:ascii="Palatino Linotype" w:hAnsi="Palatino Linotype"/>
        </w:rPr>
        <w:t>cos</w:t>
      </w:r>
      <w:r w:rsidRPr="00B10D5D">
        <w:rPr>
          <w:rFonts w:ascii="Palatino Linotype" w:hAnsi="Palatino Linotype"/>
          <w:vertAlign w:val="superscript"/>
        </w:rPr>
        <w:t>2</w:t>
      </w:r>
      <w:r w:rsidRPr="00E97E53">
        <w:rPr>
          <w:rFonts w:ascii="Palatino Linotype" w:hAnsi="Palatino Linotype"/>
          <w:i/>
          <w:iCs/>
        </w:rPr>
        <w:sym w:font="Symbol" w:char="F071"/>
      </w:r>
      <w:r>
        <w:rPr>
          <w:rFonts w:ascii="Palatino Linotype" w:hAnsi="Palatino Linotype"/>
        </w:rPr>
        <w:t xml:space="preserve"> + </w:t>
      </w:r>
      <w:r w:rsidRPr="00E97E53">
        <w:rPr>
          <w:rFonts w:ascii="Palatino Linotype" w:hAnsi="Palatino Linotype"/>
          <w:i/>
          <w:iCs/>
        </w:rPr>
        <w:t>c</w:t>
      </w:r>
      <w:r>
        <w:rPr>
          <w:rFonts w:ascii="Palatino Linotype" w:hAnsi="Palatino Linotype"/>
          <w:i/>
          <w:iCs/>
          <w:vertAlign w:val="subscript"/>
        </w:rPr>
        <w:t>k</w:t>
      </w:r>
      <w:r w:rsidRPr="00E97E53">
        <w:rPr>
          <w:rFonts w:ascii="Palatino Linotype" w:hAnsi="Palatino Linotype"/>
          <w:b/>
          <w:bCs/>
          <w:i/>
          <w:iCs/>
        </w:rPr>
        <w:t>U</w:t>
      </w:r>
      <w:r>
        <w:rPr>
          <w:rFonts w:ascii="Palatino Linotype" w:hAnsi="Palatino Linotype"/>
          <w:i/>
          <w:iCs/>
          <w:vertAlign w:val="subscript"/>
        </w:rPr>
        <w:t>k</w:t>
      </w:r>
      <w:r>
        <w:rPr>
          <w:rFonts w:ascii="Palatino Linotype" w:hAnsi="Palatino Linotype"/>
        </w:rPr>
        <w:t>sin</w:t>
      </w:r>
      <w:r w:rsidRPr="00B10D5D">
        <w:rPr>
          <w:rFonts w:ascii="Palatino Linotype" w:hAnsi="Palatino Linotype"/>
          <w:vertAlign w:val="superscript"/>
        </w:rPr>
        <w:t>2</w:t>
      </w:r>
      <w:r w:rsidRPr="00E97E53">
        <w:rPr>
          <w:rFonts w:ascii="Palatino Linotype" w:hAnsi="Palatino Linotype"/>
          <w:i/>
          <w:iCs/>
        </w:rPr>
        <w:sym w:font="Symbol" w:char="F071"/>
      </w:r>
      <w:r>
        <w:rPr>
          <w:rFonts w:ascii="Palatino Linotype" w:hAnsi="Palatino Linotype"/>
        </w:rPr>
        <w:t xml:space="preserve"> + </w:t>
      </w:r>
      <w:r w:rsidRPr="00E97E53">
        <w:rPr>
          <w:rFonts w:ascii="Palatino Linotype" w:hAnsi="Palatino Linotype"/>
          <w:i/>
          <w:iCs/>
        </w:rPr>
        <w:t>c</w:t>
      </w:r>
      <w:r>
        <w:rPr>
          <w:rFonts w:ascii="Palatino Linotype" w:hAnsi="Palatino Linotype"/>
          <w:i/>
          <w:iCs/>
          <w:vertAlign w:val="subscript"/>
        </w:rPr>
        <w:t>h</w:t>
      </w:r>
      <w:r w:rsidRPr="00E97E53">
        <w:rPr>
          <w:rFonts w:ascii="Palatino Linotype" w:hAnsi="Palatino Linotype"/>
          <w:b/>
          <w:bCs/>
          <w:i/>
          <w:iCs/>
        </w:rPr>
        <w:t>U</w:t>
      </w:r>
      <w:r>
        <w:rPr>
          <w:rFonts w:ascii="Palatino Linotype" w:hAnsi="Palatino Linotype"/>
          <w:i/>
          <w:iCs/>
          <w:vertAlign w:val="subscript"/>
        </w:rPr>
        <w:t>h</w:t>
      </w:r>
      <w:r>
        <w:rPr>
          <w:rFonts w:ascii="Palatino Linotype" w:hAnsi="Palatino Linotype"/>
        </w:rPr>
        <w:t>sin</w:t>
      </w:r>
      <w:r w:rsidRPr="00B10D5D">
        <w:rPr>
          <w:rFonts w:ascii="Palatino Linotype" w:hAnsi="Palatino Linotype"/>
          <w:vertAlign w:val="superscript"/>
        </w:rPr>
        <w:t>2</w:t>
      </w:r>
      <w:r w:rsidRPr="00E97E53">
        <w:rPr>
          <w:rFonts w:ascii="Palatino Linotype" w:hAnsi="Palatino Linotype"/>
          <w:i/>
          <w:iCs/>
        </w:rPr>
        <w:sym w:font="Symbol" w:char="F071"/>
      </w:r>
      <w:r w:rsidRPr="00B10D5D">
        <w:rPr>
          <w:rFonts w:ascii="Palatino Linotype" w:hAnsi="Palatino Linotype"/>
        </w:rPr>
        <w:t xml:space="preserve"> +</w:t>
      </w:r>
      <w:r>
        <w:rPr>
          <w:rFonts w:ascii="Palatino Linotype" w:hAnsi="Palatino Linotype"/>
        </w:rPr>
        <w:t xml:space="preserve"> </w:t>
      </w:r>
      <w:r w:rsidRPr="00E97E53">
        <w:rPr>
          <w:rFonts w:ascii="Palatino Linotype" w:hAnsi="Palatino Linotype"/>
          <w:i/>
          <w:iCs/>
        </w:rPr>
        <w:t>c</w:t>
      </w:r>
      <w:r>
        <w:rPr>
          <w:rFonts w:ascii="Palatino Linotype" w:hAnsi="Palatino Linotype"/>
          <w:i/>
          <w:iCs/>
          <w:vertAlign w:val="subscript"/>
        </w:rPr>
        <w:t>k</w:t>
      </w:r>
      <w:r w:rsidRPr="00E97E53">
        <w:rPr>
          <w:rFonts w:ascii="Palatino Linotype" w:hAnsi="Palatino Linotype"/>
          <w:b/>
          <w:bCs/>
          <w:i/>
          <w:iCs/>
        </w:rPr>
        <w:t>U</w:t>
      </w:r>
      <w:r>
        <w:rPr>
          <w:rFonts w:ascii="Palatino Linotype" w:hAnsi="Palatino Linotype"/>
          <w:i/>
          <w:iCs/>
          <w:vertAlign w:val="subscript"/>
        </w:rPr>
        <w:t>k</w:t>
      </w:r>
      <w:r>
        <w:rPr>
          <w:rFonts w:ascii="Palatino Linotype" w:hAnsi="Palatino Linotype"/>
        </w:rPr>
        <w:t>cos</w:t>
      </w:r>
      <w:r w:rsidRPr="00B10D5D">
        <w:rPr>
          <w:rFonts w:ascii="Palatino Linotype" w:hAnsi="Palatino Linotype"/>
          <w:vertAlign w:val="superscript"/>
        </w:rPr>
        <w:t>2</w:t>
      </w:r>
      <w:r w:rsidRPr="00CE21F9">
        <w:rPr>
          <w:rFonts w:ascii="Palatino Linotype" w:hAnsi="Palatino Linotype"/>
          <w:i/>
          <w:iCs/>
        </w:rPr>
        <w:sym w:font="Symbol" w:char="F071"/>
      </w:r>
      <w:r>
        <w:rPr>
          <w:rFonts w:ascii="Palatino Linotype" w:hAnsi="Palatino Linotype"/>
        </w:rPr>
        <w:t xml:space="preserve"> </w:t>
      </w:r>
      <w:r>
        <w:rPr>
          <w:rFonts w:ascii="Palatino Linotype" w:hAnsi="Palatino Linotype"/>
        </w:rPr>
        <w:sym w:font="Symbol" w:char="F0B1"/>
      </w:r>
      <w:r>
        <w:rPr>
          <w:rFonts w:ascii="Palatino Linotype" w:hAnsi="Palatino Linotype"/>
        </w:rPr>
        <w:t xml:space="preserve"> </w:t>
      </w:r>
      <w:proofErr w:type="spellStart"/>
      <w:r w:rsidRPr="00E97E53">
        <w:rPr>
          <w:rFonts w:ascii="Palatino Linotype" w:hAnsi="Palatino Linotype"/>
          <w:i/>
          <w:iCs/>
        </w:rPr>
        <w:t>c</w:t>
      </w:r>
      <w:r>
        <w:rPr>
          <w:rFonts w:ascii="Palatino Linotype" w:hAnsi="Palatino Linotype"/>
          <w:i/>
          <w:iCs/>
          <w:vertAlign w:val="subscript"/>
        </w:rPr>
        <w:t>h</w:t>
      </w:r>
      <w:r w:rsidRPr="00E97E53">
        <w:rPr>
          <w:rFonts w:ascii="Palatino Linotype" w:hAnsi="Palatino Linotype"/>
          <w:b/>
          <w:bCs/>
          <w:i/>
          <w:iCs/>
        </w:rPr>
        <w:t>U</w:t>
      </w:r>
      <w:r>
        <w:rPr>
          <w:rFonts w:ascii="Palatino Linotype" w:hAnsi="Palatino Linotype"/>
          <w:i/>
          <w:iCs/>
          <w:vertAlign w:val="subscript"/>
        </w:rPr>
        <w:t>k</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cos</w:t>
      </w:r>
      <w:r w:rsidRPr="00E97E53">
        <w:rPr>
          <w:rFonts w:ascii="Palatino Linotype" w:hAnsi="Palatino Linotype"/>
          <w:i/>
          <w:iCs/>
        </w:rPr>
        <w:sym w:font="Symbol" w:char="F071"/>
      </w:r>
      <w:r w:rsidRPr="00B10D5D">
        <w:rPr>
          <w:rFonts w:ascii="Palatino Linotype" w:hAnsi="Palatino Linotype"/>
        </w:rPr>
        <w:t xml:space="preserve"> </w:t>
      </w:r>
      <w:r>
        <w:rPr>
          <w:rFonts w:ascii="Palatino Linotype" w:hAnsi="Palatino Linotype"/>
        </w:rPr>
        <w:sym w:font="Symbol" w:char="F0B1"/>
      </w:r>
      <w:r>
        <w:rPr>
          <w:rFonts w:ascii="Palatino Linotype" w:hAnsi="Palatino Linotype"/>
        </w:rPr>
        <w:t xml:space="preserve"> </w:t>
      </w:r>
      <w:proofErr w:type="spellStart"/>
      <w:r w:rsidRPr="00E97E53">
        <w:rPr>
          <w:rFonts w:ascii="Palatino Linotype" w:hAnsi="Palatino Linotype"/>
          <w:i/>
          <w:iCs/>
        </w:rPr>
        <w:t>c</w:t>
      </w:r>
      <w:r>
        <w:rPr>
          <w:rFonts w:ascii="Palatino Linotype" w:hAnsi="Palatino Linotype"/>
          <w:i/>
          <w:iCs/>
          <w:vertAlign w:val="subscript"/>
        </w:rPr>
        <w:t>k</w:t>
      </w:r>
      <w:r w:rsidRPr="00E97E53">
        <w:rPr>
          <w:rFonts w:ascii="Palatino Linotype" w:hAnsi="Palatino Linotype"/>
          <w:b/>
          <w:bCs/>
          <w:i/>
          <w:iCs/>
        </w:rPr>
        <w:t>U</w:t>
      </w:r>
      <w:r>
        <w:rPr>
          <w:rFonts w:ascii="Palatino Linotype" w:hAnsi="Palatino Linotype"/>
          <w:i/>
          <w:iCs/>
          <w:vertAlign w:val="subscript"/>
        </w:rPr>
        <w:t>h</w:t>
      </w:r>
      <w:r>
        <w:rPr>
          <w:rFonts w:ascii="Palatino Linotype" w:hAnsi="Palatino Linotype"/>
        </w:rPr>
        <w:t>sin</w:t>
      </w:r>
      <w:proofErr w:type="spellEnd"/>
      <w:r w:rsidRPr="00E97E53">
        <w:rPr>
          <w:rFonts w:ascii="Palatino Linotype" w:hAnsi="Palatino Linotype"/>
          <w:i/>
          <w:iCs/>
        </w:rPr>
        <w:sym w:font="Symbol" w:char="F071"/>
      </w:r>
      <w:r>
        <w:rPr>
          <w:rFonts w:ascii="Palatino Linotype" w:hAnsi="Palatino Linotype"/>
        </w:rPr>
        <w:t>cos</w:t>
      </w:r>
      <w:r w:rsidRPr="00CE21F9">
        <w:rPr>
          <w:rFonts w:ascii="Palatino Linotype" w:hAnsi="Palatino Linotype"/>
          <w:i/>
          <w:iCs/>
        </w:rPr>
        <w:sym w:font="Symbol" w:char="F071"/>
      </w:r>
    </w:p>
    <w:p w14:paraId="767EFD68" w14:textId="77777777" w:rsidR="0039334C" w:rsidRDefault="0039334C" w:rsidP="0039334C">
      <w:pPr>
        <w:spacing w:line="276" w:lineRule="auto"/>
        <w:ind w:left="1080"/>
        <w:rPr>
          <w:rFonts w:ascii="Palatino Linotype" w:hAnsi="Palatino Linotype"/>
        </w:rPr>
      </w:pPr>
      <w:r>
        <w:rPr>
          <w:rFonts w:ascii="Palatino Linotype" w:hAnsi="Palatino Linotype"/>
        </w:rPr>
        <w:t xml:space="preserve">= </w:t>
      </w:r>
      <w:proofErr w:type="spellStart"/>
      <w:proofErr w:type="gramStart"/>
      <w:r w:rsidRPr="00E97E53">
        <w:rPr>
          <w:rFonts w:ascii="Palatino Linotype" w:hAnsi="Palatino Linotype"/>
          <w:i/>
          <w:iCs/>
        </w:rPr>
        <w:t>c</w:t>
      </w:r>
      <w:r w:rsidRPr="00E97E53">
        <w:rPr>
          <w:rFonts w:ascii="Palatino Linotype" w:hAnsi="Palatino Linotype"/>
          <w:i/>
          <w:iCs/>
          <w:vertAlign w:val="subscript"/>
        </w:rPr>
        <w:t>h</w:t>
      </w:r>
      <w:r w:rsidRPr="00E97E53">
        <w:rPr>
          <w:rFonts w:ascii="Palatino Linotype" w:hAnsi="Palatino Linotype"/>
          <w:b/>
          <w:bCs/>
          <w:i/>
          <w:iCs/>
        </w:rPr>
        <w:t>U</w:t>
      </w:r>
      <w:r w:rsidRPr="00E97E53">
        <w:rPr>
          <w:rFonts w:ascii="Palatino Linotype" w:hAnsi="Palatino Linotype"/>
          <w:i/>
          <w:iCs/>
          <w:vertAlign w:val="subscript"/>
        </w:rPr>
        <w:t>h</w:t>
      </w:r>
      <w:proofErr w:type="spellEnd"/>
      <w:r w:rsidRPr="00B10D5D">
        <w:rPr>
          <w:rFonts w:ascii="Palatino Linotype" w:hAnsi="Palatino Linotype"/>
        </w:rPr>
        <w:t>(</w:t>
      </w:r>
      <w:proofErr w:type="gramEnd"/>
      <w:r w:rsidRPr="00B10D5D">
        <w:rPr>
          <w:rFonts w:ascii="Palatino Linotype" w:hAnsi="Palatino Linotype"/>
        </w:rPr>
        <w:t>c</w:t>
      </w:r>
      <w:r>
        <w:rPr>
          <w:rFonts w:ascii="Palatino Linotype" w:hAnsi="Palatino Linotype"/>
        </w:rPr>
        <w:t>os</w:t>
      </w:r>
      <w:r w:rsidRPr="00B10D5D">
        <w:rPr>
          <w:rFonts w:ascii="Palatino Linotype" w:hAnsi="Palatino Linotype"/>
          <w:vertAlign w:val="superscript"/>
        </w:rPr>
        <w:t>2</w:t>
      </w:r>
      <w:r w:rsidRPr="00E97E53">
        <w:rPr>
          <w:rFonts w:ascii="Palatino Linotype" w:hAnsi="Palatino Linotype"/>
          <w:i/>
          <w:iCs/>
        </w:rPr>
        <w:sym w:font="Symbol" w:char="F071"/>
      </w:r>
      <w:r>
        <w:rPr>
          <w:rFonts w:ascii="Palatino Linotype" w:hAnsi="Palatino Linotype"/>
        </w:rPr>
        <w:t xml:space="preserve"> + sin</w:t>
      </w:r>
      <w:r w:rsidRPr="00B10D5D">
        <w:rPr>
          <w:rFonts w:ascii="Palatino Linotype" w:hAnsi="Palatino Linotype"/>
          <w:vertAlign w:val="superscript"/>
        </w:rPr>
        <w:t>2</w:t>
      </w:r>
      <w:r w:rsidRPr="00E97E53">
        <w:rPr>
          <w:rFonts w:ascii="Palatino Linotype" w:hAnsi="Palatino Linotype"/>
          <w:i/>
          <w:iCs/>
        </w:rPr>
        <w:sym w:font="Symbol" w:char="F071"/>
      </w:r>
      <w:r>
        <w:rPr>
          <w:rFonts w:ascii="Palatino Linotype" w:hAnsi="Palatino Linotype"/>
        </w:rPr>
        <w:t xml:space="preserve">) + </w:t>
      </w:r>
      <w:proofErr w:type="spellStart"/>
      <w:r w:rsidRPr="00B10D5D">
        <w:rPr>
          <w:rFonts w:ascii="Palatino Linotype" w:hAnsi="Palatino Linotype"/>
          <w:i/>
          <w:iCs/>
        </w:rPr>
        <w:t>c</w:t>
      </w:r>
      <w:r w:rsidRPr="00B10D5D">
        <w:rPr>
          <w:rFonts w:ascii="Palatino Linotype" w:hAnsi="Palatino Linotype"/>
          <w:vertAlign w:val="subscript"/>
        </w:rPr>
        <w:t>k</w:t>
      </w:r>
      <w:r w:rsidRPr="00B10D5D">
        <w:rPr>
          <w:rFonts w:ascii="Palatino Linotype" w:hAnsi="Palatino Linotype"/>
          <w:b/>
          <w:bCs/>
          <w:i/>
          <w:iCs/>
        </w:rPr>
        <w:t>U</w:t>
      </w:r>
      <w:r w:rsidRPr="00B10D5D">
        <w:rPr>
          <w:rFonts w:ascii="Palatino Linotype" w:hAnsi="Palatino Linotype"/>
          <w:vertAlign w:val="subscript"/>
        </w:rPr>
        <w:t>k</w:t>
      </w:r>
      <w:proofErr w:type="spellEnd"/>
      <w:r>
        <w:rPr>
          <w:rFonts w:ascii="Palatino Linotype" w:hAnsi="Palatino Linotype"/>
        </w:rPr>
        <w:t>(</w:t>
      </w:r>
      <w:r w:rsidRPr="00B10D5D">
        <w:rPr>
          <w:rFonts w:ascii="Palatino Linotype" w:hAnsi="Palatino Linotype"/>
        </w:rPr>
        <w:t>sin</w:t>
      </w:r>
      <w:r w:rsidRPr="00B10D5D">
        <w:rPr>
          <w:rFonts w:ascii="Palatino Linotype" w:hAnsi="Palatino Linotype"/>
          <w:vertAlign w:val="superscript"/>
        </w:rPr>
        <w:t>2</w:t>
      </w:r>
      <w:r w:rsidRPr="00E97E53">
        <w:rPr>
          <w:rFonts w:ascii="Palatino Linotype" w:hAnsi="Palatino Linotype"/>
          <w:i/>
          <w:iCs/>
        </w:rPr>
        <w:sym w:font="Symbol" w:char="F071"/>
      </w:r>
      <w:r w:rsidRPr="00B10D5D">
        <w:rPr>
          <w:rFonts w:ascii="Palatino Linotype" w:hAnsi="Palatino Linotype"/>
        </w:rPr>
        <w:t xml:space="preserve"> +</w:t>
      </w:r>
      <w:r>
        <w:rPr>
          <w:rFonts w:ascii="Palatino Linotype" w:hAnsi="Palatino Linotype"/>
        </w:rPr>
        <w:t xml:space="preserve"> cos</w:t>
      </w:r>
      <w:r w:rsidRPr="00B10D5D">
        <w:rPr>
          <w:rFonts w:ascii="Palatino Linotype" w:hAnsi="Palatino Linotype"/>
          <w:vertAlign w:val="superscript"/>
        </w:rPr>
        <w:t>2</w:t>
      </w:r>
      <w:r w:rsidRPr="00E97E53">
        <w:rPr>
          <w:rFonts w:ascii="Palatino Linotype" w:hAnsi="Palatino Linotype"/>
          <w:i/>
          <w:iCs/>
        </w:rPr>
        <w:sym w:font="Symbol" w:char="F071"/>
      </w:r>
      <w:r w:rsidRPr="00B10D5D">
        <w:rPr>
          <w:rFonts w:ascii="Palatino Linotype" w:hAnsi="Palatino Linotype"/>
        </w:rPr>
        <w:t>)</w:t>
      </w:r>
    </w:p>
    <w:p w14:paraId="00CC6BF5" w14:textId="77777777" w:rsidR="0039334C" w:rsidRDefault="0039334C" w:rsidP="0039334C">
      <w:pPr>
        <w:spacing w:line="276" w:lineRule="auto"/>
        <w:ind w:left="1080"/>
        <w:rPr>
          <w:rFonts w:ascii="Palatino Linotype" w:hAnsi="Palatino Linotype"/>
        </w:rPr>
      </w:pPr>
      <w:r>
        <w:rPr>
          <w:rFonts w:ascii="Palatino Linotype" w:hAnsi="Palatino Linotype"/>
        </w:rPr>
        <w:t xml:space="preserve">= </w:t>
      </w:r>
      <w:proofErr w:type="spellStart"/>
      <w:r>
        <w:rPr>
          <w:rFonts w:ascii="Palatino Linotype" w:hAnsi="Palatino Linotype"/>
          <w:i/>
        </w:rPr>
        <w:t>c</w:t>
      </w:r>
      <w:r w:rsidRPr="00951064">
        <w:rPr>
          <w:rFonts w:ascii="Palatino Linotype" w:hAnsi="Palatino Linotype"/>
          <w:i/>
          <w:vertAlign w:val="subscript"/>
        </w:rPr>
        <w:t>h</w:t>
      </w:r>
      <w:r w:rsidRPr="00A81BED">
        <w:rPr>
          <w:rFonts w:ascii="Palatino Linotype" w:hAnsi="Palatino Linotype"/>
          <w:b/>
          <w:i/>
        </w:rPr>
        <w:t>U</w:t>
      </w:r>
      <w:r>
        <w:rPr>
          <w:rFonts w:ascii="Palatino Linotype" w:hAnsi="Palatino Linotype"/>
          <w:i/>
          <w:vertAlign w:val="subscript"/>
        </w:rPr>
        <w:t>h</w:t>
      </w:r>
      <w:proofErr w:type="spellEnd"/>
      <w:r>
        <w:rPr>
          <w:rFonts w:ascii="Palatino Linotype" w:hAnsi="Palatino Linotype"/>
        </w:rPr>
        <w:t xml:space="preserve"> + </w:t>
      </w:r>
      <w:proofErr w:type="spellStart"/>
      <w:r>
        <w:rPr>
          <w:rFonts w:ascii="Palatino Linotype" w:hAnsi="Palatino Linotype"/>
          <w:i/>
        </w:rPr>
        <w:t>c</w:t>
      </w:r>
      <w:r w:rsidRPr="00951064">
        <w:rPr>
          <w:rFonts w:ascii="Palatino Linotype" w:hAnsi="Palatino Linotype"/>
          <w:i/>
          <w:vertAlign w:val="subscript"/>
        </w:rPr>
        <w:t>k</w:t>
      </w:r>
      <w:r w:rsidRPr="00A81BED">
        <w:rPr>
          <w:rFonts w:ascii="Palatino Linotype" w:hAnsi="Palatino Linotype"/>
          <w:b/>
          <w:i/>
        </w:rPr>
        <w:t>U</w:t>
      </w:r>
      <w:r>
        <w:rPr>
          <w:rFonts w:ascii="Palatino Linotype" w:hAnsi="Palatino Linotype"/>
          <w:i/>
          <w:vertAlign w:val="subscript"/>
        </w:rPr>
        <w:t>k</w:t>
      </w:r>
      <w:proofErr w:type="spellEnd"/>
    </w:p>
    <w:p w14:paraId="3D563C25" w14:textId="77777777" w:rsidR="0039334C" w:rsidRDefault="0039334C" w:rsidP="0039334C">
      <w:pPr>
        <w:spacing w:line="276" w:lineRule="auto"/>
        <w:ind w:firstLine="360"/>
        <w:rPr>
          <w:rFonts w:ascii="Palatino Linotype" w:hAnsi="Palatino Linotype"/>
        </w:rPr>
      </w:pPr>
    </w:p>
    <w:p w14:paraId="304E1C61" w14:textId="77777777" w:rsidR="0039334C" w:rsidRDefault="0039334C" w:rsidP="0039334C">
      <w:pPr>
        <w:spacing w:line="276" w:lineRule="auto"/>
        <w:ind w:firstLine="360"/>
        <w:rPr>
          <w:rFonts w:ascii="Palatino Linotype" w:hAnsi="Palatino Linotype"/>
        </w:rPr>
      </w:pPr>
      <w:r>
        <w:rPr>
          <w:rFonts w:ascii="Palatino Linotype" w:hAnsi="Palatino Linotype"/>
        </w:rPr>
        <w:lastRenderedPageBreak/>
        <w:t xml:space="preserve">A rotation in two-dimensional subspace of </w:t>
      </w:r>
      <w:r w:rsidRPr="00434EEB">
        <w:rPr>
          <w:rFonts w:ascii="Palatino Linotype" w:hAnsi="Palatino Linotype"/>
          <w:i/>
        </w:rPr>
        <w:t>h</w:t>
      </w:r>
      <w:r>
        <w:rPr>
          <w:rFonts w:ascii="Palatino Linotype" w:hAnsi="Palatino Linotype"/>
        </w:rPr>
        <w:t xml:space="preserve"> and </w:t>
      </w:r>
      <w:r w:rsidRPr="00434EEB">
        <w:rPr>
          <w:rFonts w:ascii="Palatino Linotype" w:hAnsi="Palatino Linotype"/>
          <w:i/>
        </w:rPr>
        <w:t>k</w:t>
      </w:r>
      <w:r>
        <w:rPr>
          <w:rFonts w:ascii="Palatino Linotype" w:hAnsi="Palatino Linotype"/>
        </w:rPr>
        <w:t xml:space="preserve"> has no effect in other dimensions, as the orthonormal property of SVD guarantees.  Multiple steps of rotations can be carried out in many two-dimensional subspaces consecutively to achieve a multi-dimensional rotation.  A new solution set derived from a rotation retains the orthonormal property of SVD.</w:t>
      </w:r>
      <w:r w:rsidRPr="003B2320">
        <w:rPr>
          <w:rFonts w:ascii="Palatino Linotype" w:hAnsi="Palatino Linotype"/>
        </w:rPr>
        <w:t xml:space="preserve"> </w:t>
      </w:r>
      <w:r>
        <w:rPr>
          <w:rFonts w:ascii="Palatino Linotype" w:hAnsi="Palatino Linotype"/>
        </w:rPr>
        <w:t xml:space="preserve"> </w:t>
      </w:r>
      <w:r w:rsidRPr="003D58EC">
        <w:rPr>
          <w:rFonts w:ascii="Palatino Linotype" w:hAnsi="Palatino Linotype"/>
        </w:rPr>
        <w:t xml:space="preserve">The rotation </w:t>
      </w:r>
      <w:r>
        <w:rPr>
          <w:rFonts w:ascii="Palatino Linotype" w:hAnsi="Palatino Linotype"/>
        </w:rPr>
        <w:t xml:space="preserve">in the Euclidean subspace established by SVD </w:t>
      </w:r>
      <w:r w:rsidRPr="003D58EC">
        <w:rPr>
          <w:rFonts w:ascii="Palatino Linotype" w:hAnsi="Palatino Linotype"/>
        </w:rPr>
        <w:t xml:space="preserve">does not change the </w:t>
      </w:r>
      <w:r>
        <w:rPr>
          <w:rFonts w:ascii="Palatino Linotype" w:hAnsi="Palatino Linotype"/>
        </w:rPr>
        <w:t xml:space="preserve">comparison among the core data of protein structures. </w:t>
      </w:r>
      <w:r w:rsidRPr="003D58EC">
        <w:rPr>
          <w:rFonts w:ascii="Palatino Linotype" w:hAnsi="Palatino Linotype"/>
        </w:rPr>
        <w:t xml:space="preserve"> </w:t>
      </w:r>
      <w:r>
        <w:rPr>
          <w:rFonts w:ascii="Palatino Linotype" w:hAnsi="Palatino Linotype"/>
        </w:rPr>
        <w:t xml:space="preserve">Rather it converts one solution set </w:t>
      </w:r>
      <m:oMath>
        <m:r>
          <m:rPr>
            <m:sty m:val="b"/>
          </m:rPr>
          <w:rPr>
            <w:rFonts w:ascii="Cambria Math" w:hAnsi="Cambria Math"/>
            <w:lang w:bidi="x-none"/>
          </w:rPr>
          <m:t>A</m:t>
        </m:r>
        <m:r>
          <m:rPr>
            <m:sty m:val="p"/>
          </m:rPr>
          <w:rPr>
            <w:rFonts w:ascii="Cambria Math" w:hAnsi="Cambria Math"/>
            <w:lang w:bidi="x-none"/>
          </w:rPr>
          <m:t>=</m:t>
        </m:r>
        <m:r>
          <m:rPr>
            <m:sty m:val="b"/>
          </m:rPr>
          <w:rPr>
            <w:rFonts w:ascii="Cambria Math" w:hAnsi="Cambria Math"/>
            <w:lang w:bidi="x-none"/>
          </w:rPr>
          <m:t>UW</m:t>
        </m:r>
        <m:sSup>
          <m:sSupPr>
            <m:ctrlPr>
              <w:rPr>
                <w:rFonts w:ascii="Cambria Math" w:hAnsi="Cambria Math"/>
                <w:lang w:bidi="x-none"/>
              </w:rPr>
            </m:ctrlPr>
          </m:sSupPr>
          <m:e>
            <m:r>
              <m:rPr>
                <m:sty m:val="b"/>
              </m:rPr>
              <w:rPr>
                <w:rFonts w:ascii="Cambria Math" w:hAnsi="Cambria Math"/>
                <w:lang w:bidi="x-none"/>
              </w:rPr>
              <m:t>V</m:t>
            </m:r>
          </m:e>
          <m:sup>
            <m:r>
              <m:rPr>
                <m:sty m:val="p"/>
              </m:rPr>
              <w:rPr>
                <w:rFonts w:ascii="Cambria Math" w:hAnsi="Cambria Math"/>
                <w:lang w:bidi="x-none"/>
              </w:rPr>
              <m:t>T</m:t>
            </m:r>
          </m:sup>
        </m:sSup>
      </m:oMath>
      <w:r>
        <w:rPr>
          <w:rFonts w:ascii="Palatino Linotype" w:hAnsi="Palatino Linotype"/>
          <w:lang w:bidi="x-none"/>
        </w:rPr>
        <w:t xml:space="preserve"> </w:t>
      </w:r>
      <w:r>
        <w:rPr>
          <w:rFonts w:ascii="Palatino Linotype" w:hAnsi="Palatino Linotype"/>
        </w:rPr>
        <w:t xml:space="preserve">to other alternative solutions </w:t>
      </w:r>
      <m:oMath>
        <m:r>
          <m:rPr>
            <m:sty m:val="b"/>
          </m:rPr>
          <w:rPr>
            <w:rFonts w:ascii="Cambria Math" w:hAnsi="Cambria Math"/>
            <w:lang w:bidi="x-none"/>
          </w:rPr>
          <m:t>A</m:t>
        </m:r>
        <m:r>
          <m:rPr>
            <m:sty m:val="p"/>
          </m:rPr>
          <w:rPr>
            <w:rFonts w:ascii="Cambria Math" w:hAnsi="Cambria Math"/>
            <w:lang w:bidi="x-none"/>
          </w:rPr>
          <m:t>=</m:t>
        </m:r>
        <m:r>
          <m:rPr>
            <m:sty m:val="b"/>
          </m:rPr>
          <w:rPr>
            <w:rFonts w:ascii="Cambria Math" w:hAnsi="Cambria Math"/>
            <w:lang w:bidi="x-none"/>
          </w:rPr>
          <m:t>RS</m:t>
        </m:r>
        <m:sSup>
          <m:sSupPr>
            <m:ctrlPr>
              <w:rPr>
                <w:rFonts w:ascii="Cambria Math" w:hAnsi="Cambria Math"/>
                <w:lang w:bidi="x-none"/>
              </w:rPr>
            </m:ctrlPr>
          </m:sSupPr>
          <m:e>
            <m:r>
              <m:rPr>
                <m:sty m:val="b"/>
              </m:rPr>
              <w:rPr>
                <w:rFonts w:ascii="Cambria Math" w:hAnsi="Cambria Math"/>
                <w:lang w:bidi="x-none"/>
              </w:rPr>
              <m:t>T</m:t>
            </m:r>
          </m:e>
          <m:sup>
            <m:r>
              <m:rPr>
                <m:sty m:val="p"/>
              </m:rPr>
              <w:rPr>
                <w:rFonts w:ascii="Cambria Math" w:hAnsi="Cambria Math"/>
                <w:lang w:bidi="x-none"/>
              </w:rPr>
              <m:t>T</m:t>
            </m:r>
          </m:sup>
        </m:sSup>
      </m:oMath>
      <w:r>
        <w:rPr>
          <w:rFonts w:ascii="Palatino Linotype" w:hAnsi="Palatino Linotype"/>
          <w:lang w:bidi="x-none"/>
        </w:rPr>
        <w:t xml:space="preserve"> </w:t>
      </w:r>
      <w:r>
        <w:rPr>
          <w:rFonts w:ascii="Palatino Linotype" w:hAnsi="Palatino Linotype"/>
        </w:rPr>
        <w:t>so that an appropriate perspective can be found to elucidate the relationship between the core data and metadata clearly and concisely.</w:t>
      </w:r>
    </w:p>
    <w:p w14:paraId="3FA37860" w14:textId="77777777" w:rsidR="0039334C" w:rsidRDefault="0039334C" w:rsidP="0039334C">
      <w:pPr>
        <w:spacing w:line="276" w:lineRule="auto"/>
        <w:ind w:firstLine="360"/>
        <w:rPr>
          <w:rFonts w:ascii="Palatino Linotype" w:hAnsi="Palatino Linotype"/>
        </w:rPr>
      </w:pPr>
    </w:p>
    <w:p w14:paraId="7D4DCB1F"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For example, if one physical parameter could be reoriented along a single dimension </w:t>
      </w:r>
      <w:r w:rsidRPr="001416F4">
        <w:rPr>
          <w:rFonts w:ascii="Palatino Linotype" w:hAnsi="Palatino Linotype"/>
          <w:i/>
          <w:iCs/>
        </w:rPr>
        <w:t>k</w:t>
      </w:r>
      <w:r>
        <w:rPr>
          <w:rFonts w:ascii="Palatino Linotype" w:hAnsi="Palatino Linotype"/>
        </w:rPr>
        <w:t xml:space="preserve"> but not involving other dimensions by a rotation, it would be convincing to show that the left singular vector </w:t>
      </w:r>
      <w:proofErr w:type="spellStart"/>
      <w:r w:rsidRPr="001416F4">
        <w:rPr>
          <w:rFonts w:ascii="Palatino Linotype" w:hAnsi="Palatino Linotype"/>
          <w:b/>
          <w:bCs/>
          <w:i/>
          <w:iCs/>
        </w:rPr>
        <w:t>U</w:t>
      </w:r>
      <w:r w:rsidRPr="001416F4">
        <w:rPr>
          <w:rFonts w:ascii="Palatino Linotype" w:hAnsi="Palatino Linotype"/>
          <w:i/>
          <w:iCs/>
          <w:vertAlign w:val="subscript"/>
        </w:rPr>
        <w:t>k</w:t>
      </w:r>
      <w:proofErr w:type="spellEnd"/>
      <w:r>
        <w:rPr>
          <w:rFonts w:ascii="Palatino Linotype" w:hAnsi="Palatino Linotype"/>
        </w:rPr>
        <w:t xml:space="preserve"> of this dimension illustrates the structural impact by this physical parameter.  Before this rotation, the same physical parameter may appear to cause structural variations along several dimensions, which leads to a difficult interpretation.  Would a proper rotation establish a one-on-one correspondence from all physical or chemical parameters to all the dimensions?  It depends on whether each parameter induces an orthogonal structural change, that is, whether structural responses to different parameters are independent or correlated among one another.  If structural changes are indeed orthogonal, it should be possible to find a proper rotation to cleanly separate them in different dimensions.  Otherwise, two different rotations are necessary to isolate two correlated responses, but one at a time.</w:t>
      </w:r>
    </w:p>
    <w:p w14:paraId="2C7652B5" w14:textId="77777777" w:rsidR="0039334C" w:rsidRDefault="0039334C" w:rsidP="0039334C">
      <w:pPr>
        <w:spacing w:line="276" w:lineRule="auto"/>
        <w:ind w:firstLine="360"/>
        <w:rPr>
          <w:rFonts w:ascii="Palatino Linotype" w:hAnsi="Palatino Linotype"/>
        </w:rPr>
      </w:pPr>
    </w:p>
    <w:p w14:paraId="524FB9B4"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For another example, if the observed core datasets form two clusters in the conformational space, a rotation would be desirable to separate these clusters along a single dimension </w:t>
      </w:r>
      <w:r w:rsidRPr="001416F4">
        <w:rPr>
          <w:rFonts w:ascii="Palatino Linotype" w:hAnsi="Palatino Linotype"/>
          <w:i/>
          <w:iCs/>
        </w:rPr>
        <w:t>k</w:t>
      </w:r>
      <w:r>
        <w:rPr>
          <w:rFonts w:ascii="Palatino Linotype" w:hAnsi="Palatino Linotype"/>
        </w:rPr>
        <w:t xml:space="preserve"> but to align these clusters along other dimensions.  Therefore, the component </w:t>
      </w:r>
      <w:proofErr w:type="spellStart"/>
      <w:r w:rsidRPr="001416F4">
        <w:rPr>
          <w:rFonts w:ascii="Palatino Linotype" w:hAnsi="Palatino Linotype"/>
          <w:b/>
          <w:bCs/>
          <w:i/>
          <w:iCs/>
        </w:rPr>
        <w:t>U</w:t>
      </w:r>
      <w:r w:rsidRPr="001416F4">
        <w:rPr>
          <w:rFonts w:ascii="Palatino Linotype" w:hAnsi="Palatino Linotype"/>
          <w:i/>
          <w:iCs/>
          <w:vertAlign w:val="subscript"/>
        </w:rPr>
        <w:t>k</w:t>
      </w:r>
      <w:proofErr w:type="spellEnd"/>
      <w:r>
        <w:rPr>
          <w:rFonts w:ascii="Palatino Linotype" w:hAnsi="Palatino Linotype"/>
        </w:rPr>
        <w:t xml:space="preserve"> is clearly due to the structural transition from one cluster to the other.  Without a proper rotation, the difference between these clusters could be complicated with multiple dimensions involved.  A deterministic solution depends on whether a clear correlation exists between the core data and metadata.  A proper rotation may require a user decision.  A wrong choice of rotation may select a viewpoint that hinders a concise conclusion.  However, it would not alter the shape of the reaction trajectory, nor create or eliminate an intrinsic structural feature.</w:t>
      </w:r>
      <w:r w:rsidRPr="00867DB0">
        <w:rPr>
          <w:rFonts w:ascii="Palatino Linotype" w:hAnsi="Palatino Linotype"/>
        </w:rPr>
        <w:t xml:space="preserve"> </w:t>
      </w:r>
      <w:r>
        <w:rPr>
          <w:rFonts w:ascii="Palatino Linotype" w:hAnsi="Palatino Linotype"/>
        </w:rPr>
        <w:t xml:space="preserve"> A wrong choice of rotation cannot eliminate the fact that a large gap exists between two clusters of observed core datasets </w:t>
      </w:r>
      <w:r>
        <w:rPr>
          <w:rFonts w:ascii="Palatino Linotype" w:hAnsi="Palatino Linotype"/>
        </w:rPr>
        <w:lastRenderedPageBreak/>
        <w:t xml:space="preserve">except that these clusters are not obvious from that viewpoint.  A different rotation may reorient the perspective along another direction.  But the structural conclusion would be equivalent.  See example of before and after a rotation in </w:t>
      </w:r>
      <w:r>
        <w:rPr>
          <w:rFonts w:ascii="Palatino Linotype" w:hAnsi="Palatino Linotype"/>
        </w:rPr>
        <w:fldChar w:fldCharType="begin"/>
      </w:r>
      <w:r>
        <w:rPr>
          <w:rFonts w:ascii="Palatino Linotype" w:hAnsi="Palatino Linotype"/>
        </w:rPr>
        <w:instrText xml:space="preserve"> ADDIN ZOTERO_ITEM CSL_CITATION {"citationID":"Y7XeJKRw","properties":{"formattedCitation":"(Ren, 2016)","plainCitation":"(Ren, 2016)","noteIndex":0},"citationItems":[{"id":3360,"uris":["http://zotero.org/users/local/Med5doT8/items/FGA6R5AM"],"uri":["http://zotero.org/users/local/Med5doT8/items/FGA6R5AM"],"itemData":{"id":3360,"type":"article-journal","container-title":"Nucleic Acids Research","DOI":"10.1093/nar/gkw555","ISSN":"0305-1048, 1362-4962","issue":"43129","language":"en","page":"1-13","source":"CrossRef","title":"Molecular events during translocation and proofreading extracted from 200 static structures of DNA polymerase","volume":"6","author":[{"family":"Ren","given":"Zhong"}],"issued":{"date-parts":[["2016",6,20]]}}}],"schema":"https://github.com/citation-style-language/schema/raw/master/csl-citation.json"} </w:instrText>
      </w:r>
      <w:r>
        <w:rPr>
          <w:rFonts w:ascii="Palatino Linotype" w:hAnsi="Palatino Linotype"/>
        </w:rPr>
        <w:fldChar w:fldCharType="separate"/>
      </w:r>
      <w:r>
        <w:rPr>
          <w:rFonts w:ascii="Palatino Linotype" w:hAnsi="Palatino Linotype"/>
          <w:noProof/>
        </w:rPr>
        <w:t>(Ren, 2016)</w:t>
      </w:r>
      <w:r>
        <w:rPr>
          <w:rFonts w:ascii="Palatino Linotype" w:hAnsi="Palatino Linotype"/>
        </w:rPr>
        <w:fldChar w:fldCharType="end"/>
      </w:r>
      <w:r>
        <w:rPr>
          <w:rFonts w:ascii="Palatino Linotype" w:hAnsi="Palatino Linotype"/>
        </w:rPr>
        <w:t>.</w:t>
      </w:r>
    </w:p>
    <w:p w14:paraId="579400F6" w14:textId="77777777" w:rsidR="0039334C" w:rsidRDefault="0039334C" w:rsidP="0039334C">
      <w:pPr>
        <w:spacing w:line="276" w:lineRule="auto"/>
        <w:ind w:firstLine="360"/>
        <w:rPr>
          <w:rFonts w:ascii="Palatino Linotype" w:hAnsi="Palatino Linotype"/>
        </w:rPr>
      </w:pPr>
    </w:p>
    <w:p w14:paraId="63F5BDA6" w14:textId="77777777" w:rsidR="0039334C" w:rsidRPr="003D58EC" w:rsidRDefault="0039334C" w:rsidP="0039334C">
      <w:pPr>
        <w:spacing w:line="276" w:lineRule="auto"/>
        <w:ind w:firstLine="360"/>
        <w:rPr>
          <w:rFonts w:ascii="Palatino Linotype" w:hAnsi="Palatino Linotype"/>
        </w:rPr>
      </w:pPr>
      <w:r>
        <w:rPr>
          <w:rFonts w:ascii="Palatino Linotype" w:hAnsi="Palatino Linotype"/>
        </w:rPr>
        <w:t>T</w:t>
      </w:r>
      <w:r w:rsidRPr="003D58EC">
        <w:rPr>
          <w:rFonts w:ascii="Palatino Linotype" w:hAnsi="Palatino Linotype"/>
        </w:rPr>
        <w:t xml:space="preserve">his rotation </w:t>
      </w:r>
      <w:r>
        <w:rPr>
          <w:rFonts w:ascii="Palatino Linotype" w:hAnsi="Palatino Linotype"/>
        </w:rPr>
        <w:t xml:space="preserve">procedure </w:t>
      </w:r>
      <w:r w:rsidRPr="003D58EC">
        <w:rPr>
          <w:rFonts w:ascii="Palatino Linotype" w:hAnsi="Palatino Linotype"/>
        </w:rPr>
        <w:t>finally connects the core crystallographic data</w:t>
      </w:r>
      <w:r>
        <w:rPr>
          <w:rFonts w:ascii="Palatino Linotype" w:hAnsi="Palatino Linotype"/>
        </w:rPr>
        <w:t>sets</w:t>
      </w:r>
      <w:r w:rsidRPr="003D58EC">
        <w:rPr>
          <w:rFonts w:ascii="Palatino Linotype" w:hAnsi="Palatino Linotype"/>
        </w:rPr>
        <w:t xml:space="preserve"> to the metadata of experimental conditions</w:t>
      </w:r>
      <w:r>
        <w:rPr>
          <w:rFonts w:ascii="Palatino Linotype" w:hAnsi="Palatino Linotype"/>
        </w:rPr>
        <w:t xml:space="preserve"> and</w:t>
      </w:r>
      <w:r w:rsidRPr="003D58EC">
        <w:rPr>
          <w:rFonts w:ascii="Palatino Linotype" w:hAnsi="Palatino Linotype"/>
        </w:rPr>
        <w:t xml:space="preserve"> accomplishes the deconvolution of physical or chemical factors </w:t>
      </w:r>
      <w:r>
        <w:rPr>
          <w:rFonts w:ascii="Palatino Linotype" w:hAnsi="Palatino Linotype"/>
        </w:rPr>
        <w:t>that are not always orthogonal to one another</w:t>
      </w:r>
      <w:r w:rsidRPr="003D58EC">
        <w:rPr>
          <w:rFonts w:ascii="Palatino Linotype" w:hAnsi="Palatino Linotype"/>
        </w:rPr>
        <w:t xml:space="preserve"> after </w:t>
      </w:r>
      <w:r>
        <w:rPr>
          <w:rFonts w:ascii="Palatino Linotype" w:hAnsi="Palatino Linotype"/>
        </w:rPr>
        <w:t xml:space="preserve">a mathematical </w:t>
      </w:r>
      <w:r w:rsidRPr="003D58EC">
        <w:rPr>
          <w:rFonts w:ascii="Palatino Linotype" w:hAnsi="Palatino Linotype"/>
        </w:rPr>
        <w:t>decomposition</w:t>
      </w:r>
      <w:r>
        <w:rPr>
          <w:rFonts w:ascii="Palatino Linotype" w:hAnsi="Palatino Linotype"/>
        </w:rPr>
        <w:t>.  SVD analysis presented in this paper employs rotations extensively except that no distinction is made in the symbols of components and coefficients before and after a rotation except in this section.  This method is widely</w:t>
      </w:r>
      <w:r w:rsidRPr="003D58EC">
        <w:rPr>
          <w:rFonts w:ascii="Palatino Linotype" w:hAnsi="Palatino Linotype"/>
        </w:rPr>
        <w:t xml:space="preserve"> </w:t>
      </w:r>
      <w:r>
        <w:rPr>
          <w:rFonts w:ascii="Palatino Linotype" w:hAnsi="Palatino Linotype"/>
        </w:rPr>
        <w:t>applicable in</w:t>
      </w:r>
      <w:r w:rsidRPr="003D58EC">
        <w:rPr>
          <w:rFonts w:ascii="Palatino Linotype" w:hAnsi="Palatino Linotype"/>
        </w:rPr>
        <w:t xml:space="preserve"> </w:t>
      </w:r>
      <w:r>
        <w:rPr>
          <w:rFonts w:ascii="Palatino Linotype" w:hAnsi="Palatino Linotype"/>
        </w:rPr>
        <w:t>large-scale</w:t>
      </w:r>
      <w:r w:rsidRPr="003D58EC">
        <w:rPr>
          <w:rFonts w:ascii="Palatino Linotype" w:hAnsi="Palatino Linotype"/>
        </w:rPr>
        <w:t xml:space="preserve"> structur</w:t>
      </w:r>
      <w:r>
        <w:rPr>
          <w:rFonts w:ascii="Palatino Linotype" w:hAnsi="Palatino Linotype"/>
        </w:rPr>
        <w:t>al</w:t>
      </w:r>
      <w:r w:rsidRPr="003D58EC">
        <w:rPr>
          <w:rFonts w:ascii="Palatino Linotype" w:hAnsi="Palatino Linotype"/>
        </w:rPr>
        <w:t xml:space="preserve"> comparisons.</w:t>
      </w:r>
      <w:r>
        <w:rPr>
          <w:rFonts w:ascii="Palatino Linotype" w:hAnsi="Palatino Linotype"/>
        </w:rPr>
        <w:t xml:space="preserve"> </w:t>
      </w:r>
      <w:r w:rsidRPr="003D58EC">
        <w:rPr>
          <w:rFonts w:ascii="Palatino Linotype" w:hAnsi="Palatino Linotype"/>
        </w:rPr>
        <w:t xml:space="preserve"> </w:t>
      </w:r>
      <w:r>
        <w:rPr>
          <w:rFonts w:ascii="Palatino Linotype" w:hAnsi="Palatino Linotype"/>
        </w:rPr>
        <w:t>Furthermore, Ren rotation</w:t>
      </w:r>
      <w:r w:rsidRPr="003D58EC">
        <w:rPr>
          <w:rFonts w:ascii="Palatino Linotype" w:hAnsi="Palatino Linotype"/>
        </w:rPr>
        <w:t xml:space="preserve"> </w:t>
      </w:r>
      <w:r>
        <w:rPr>
          <w:rFonts w:ascii="Palatino Linotype" w:hAnsi="Palatino Linotype"/>
        </w:rPr>
        <w:t xml:space="preserve">after SVD </w:t>
      </w:r>
      <w:r w:rsidRPr="003D58EC">
        <w:rPr>
          <w:rFonts w:ascii="Palatino Linotype" w:hAnsi="Palatino Linotype"/>
        </w:rPr>
        <w:t>is not limited to crystallography</w:t>
      </w:r>
      <w:r>
        <w:rPr>
          <w:rFonts w:ascii="Palatino Linotype" w:hAnsi="Palatino Linotype"/>
        </w:rPr>
        <w:t xml:space="preserve"> and may</w:t>
      </w:r>
      <w:r w:rsidRPr="003D58EC">
        <w:rPr>
          <w:rFonts w:ascii="Palatino Linotype" w:hAnsi="Palatino Linotype"/>
        </w:rPr>
        <w:t xml:space="preserve"> impact other fields </w:t>
      </w:r>
      <w:r>
        <w:rPr>
          <w:rFonts w:ascii="Palatino Linotype" w:hAnsi="Palatino Linotype"/>
        </w:rPr>
        <w:t>wherever</w:t>
      </w:r>
      <w:r w:rsidRPr="003D58EC">
        <w:rPr>
          <w:rFonts w:ascii="Palatino Linotype" w:hAnsi="Palatino Linotype"/>
        </w:rPr>
        <w:t xml:space="preserve"> SVD</w:t>
      </w:r>
      <w:r>
        <w:rPr>
          <w:rFonts w:ascii="Palatino Linotype" w:hAnsi="Palatino Linotype"/>
        </w:rPr>
        <w:t xml:space="preserve"> is used</w:t>
      </w:r>
      <w:r w:rsidRPr="003D58EC">
        <w:rPr>
          <w:rFonts w:ascii="Palatino Linotype" w:hAnsi="Palatino Linotype"/>
        </w:rPr>
        <w:t>.</w:t>
      </w:r>
      <w:r>
        <w:rPr>
          <w:rFonts w:ascii="Palatino Linotype" w:hAnsi="Palatino Linotype"/>
        </w:rPr>
        <w:t xml:space="preserve">  For example, SVD is frequently applied to spectroscopic data, images, and genetic sequence data.</w:t>
      </w:r>
    </w:p>
    <w:p w14:paraId="657972CD" w14:textId="77777777" w:rsidR="0039334C" w:rsidRDefault="0039334C" w:rsidP="0039334C">
      <w:pPr>
        <w:spacing w:line="276" w:lineRule="auto"/>
        <w:rPr>
          <w:rFonts w:ascii="Palatino Linotype" w:hAnsi="Palatino Linotype"/>
        </w:rPr>
      </w:pPr>
    </w:p>
    <w:p w14:paraId="7F361915"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A preliminary analysis of SVD involving all difference maps (Table S1) shows that the short and long delays are in two different subspaces (Fig. S15).  </w:t>
      </w:r>
      <w:proofErr w:type="gramStart"/>
      <w:r>
        <w:rPr>
          <w:rFonts w:ascii="Palatino Linotype" w:hAnsi="Palatino Linotype"/>
        </w:rPr>
        <w:t>That is to say, difference</w:t>
      </w:r>
      <w:proofErr w:type="gramEnd"/>
      <w:r>
        <w:rPr>
          <w:rFonts w:ascii="Palatino Linotype" w:hAnsi="Palatino Linotype"/>
        </w:rPr>
        <w:t xml:space="preserve"> maps in the time regimes before 10 </w:t>
      </w:r>
      <w:proofErr w:type="spellStart"/>
      <w:r>
        <w:rPr>
          <w:rFonts w:ascii="Palatino Linotype" w:hAnsi="Palatino Linotype"/>
        </w:rPr>
        <w:t>ps</w:t>
      </w:r>
      <w:proofErr w:type="spellEnd"/>
      <w:r>
        <w:rPr>
          <w:rFonts w:ascii="Palatino Linotype" w:hAnsi="Palatino Linotype"/>
        </w:rPr>
        <w:t xml:space="preserve"> and after 10 ns share no common features.  This conclusion cannot be reached without a proper rotation of the components.  The separation between the short and long delays into different subspaces can only be viewed clearly from this specific perspective shown in Fig. S15.  Therefore, these time regimes are analyzed separately.</w:t>
      </w:r>
    </w:p>
    <w:p w14:paraId="596D2912" w14:textId="77777777" w:rsidR="0039334C" w:rsidRDefault="0039334C" w:rsidP="0039334C">
      <w:pPr>
        <w:spacing w:line="276" w:lineRule="auto"/>
        <w:rPr>
          <w:rFonts w:ascii="Palatino Linotype" w:hAnsi="Palatino Linotype"/>
        </w:rPr>
      </w:pPr>
    </w:p>
    <w:p w14:paraId="4BCD8DDA" w14:textId="77777777" w:rsidR="0039334C" w:rsidRPr="00F70161" w:rsidRDefault="0039334C" w:rsidP="0039334C">
      <w:pPr>
        <w:keepNext/>
        <w:spacing w:line="276" w:lineRule="auto"/>
        <w:rPr>
          <w:rFonts w:ascii="Palatino Linotype" w:hAnsi="Palatino Linotype"/>
          <w:i/>
          <w:iCs/>
        </w:rPr>
      </w:pPr>
      <w:r w:rsidRPr="00F70161">
        <w:rPr>
          <w:rFonts w:ascii="Palatino Linotype" w:hAnsi="Palatino Linotype"/>
          <w:i/>
          <w:iCs/>
        </w:rPr>
        <w:t>Exponential fitting of SVD coefficients</w:t>
      </w:r>
    </w:p>
    <w:p w14:paraId="27C7B6C5" w14:textId="77777777" w:rsidR="0039334C" w:rsidRDefault="0039334C" w:rsidP="0039334C">
      <w:pPr>
        <w:spacing w:line="276" w:lineRule="auto"/>
        <w:rPr>
          <w:rFonts w:ascii="Palatino Linotype" w:hAnsi="Palatino Linotype"/>
        </w:rPr>
      </w:pPr>
      <w:r>
        <w:rPr>
          <w:rFonts w:ascii="Palatino Linotype" w:hAnsi="Palatino Linotype"/>
        </w:rPr>
        <w:t xml:space="preserve">The time dependencies of the SVD coefficients </w:t>
      </w:r>
      <w:r w:rsidRPr="007A6CC1">
        <w:rPr>
          <w:rFonts w:ascii="Palatino Linotype" w:hAnsi="Palatino Linotype"/>
          <w:i/>
          <w:iCs/>
        </w:rPr>
        <w:t>c</w:t>
      </w:r>
      <w:r w:rsidRPr="007A6CC1">
        <w:rPr>
          <w:rFonts w:ascii="Palatino Linotype" w:hAnsi="Palatino Linotype"/>
          <w:vertAlign w:val="subscript"/>
        </w:rPr>
        <w:t>1</w:t>
      </w:r>
      <w:r>
        <w:rPr>
          <w:rFonts w:ascii="Palatino Linotype" w:hAnsi="Palatino Linotype"/>
        </w:rPr>
        <w:t>(</w:t>
      </w:r>
      <w:r w:rsidRPr="00303A61">
        <w:rPr>
          <w:rFonts w:ascii="Palatino Linotype" w:hAnsi="Palatino Linotype"/>
          <w:i/>
          <w:iCs/>
        </w:rPr>
        <w:t>t</w:t>
      </w:r>
      <w:r>
        <w:rPr>
          <w:rFonts w:ascii="Palatino Linotype" w:hAnsi="Palatino Linotype"/>
        </w:rPr>
        <w:t xml:space="preserve">), </w:t>
      </w:r>
      <w:r w:rsidRPr="007A6CC1">
        <w:rPr>
          <w:rFonts w:ascii="Palatino Linotype" w:hAnsi="Palatino Linotype"/>
          <w:i/>
          <w:iCs/>
        </w:rPr>
        <w:t>c</w:t>
      </w:r>
      <w:r w:rsidRPr="007A6CC1">
        <w:rPr>
          <w:rFonts w:ascii="Palatino Linotype" w:hAnsi="Palatino Linotype"/>
          <w:vertAlign w:val="subscript"/>
        </w:rPr>
        <w:t>3</w:t>
      </w:r>
      <w:r>
        <w:rPr>
          <w:rFonts w:ascii="Palatino Linotype" w:hAnsi="Palatino Linotype"/>
        </w:rPr>
        <w:t>(</w:t>
      </w:r>
      <w:r w:rsidRPr="00303A61">
        <w:rPr>
          <w:rFonts w:ascii="Palatino Linotype" w:hAnsi="Palatino Linotype"/>
          <w:i/>
          <w:iCs/>
        </w:rPr>
        <w:t>t</w:t>
      </w:r>
      <w:r>
        <w:rPr>
          <w:rFonts w:ascii="Palatino Linotype" w:hAnsi="Palatino Linotype"/>
        </w:rPr>
        <w:t xml:space="preserve">), and </w:t>
      </w:r>
      <w:r w:rsidRPr="007A6CC1">
        <w:rPr>
          <w:rFonts w:ascii="Palatino Linotype" w:hAnsi="Palatino Linotype"/>
          <w:i/>
          <w:iCs/>
        </w:rPr>
        <w:t>c</w:t>
      </w:r>
      <w:r w:rsidRPr="007A6CC1">
        <w:rPr>
          <w:rFonts w:ascii="Palatino Linotype" w:hAnsi="Palatino Linotype"/>
          <w:vertAlign w:val="subscript"/>
        </w:rPr>
        <w:t>6</w:t>
      </w:r>
      <w:r>
        <w:rPr>
          <w:rFonts w:ascii="Palatino Linotype" w:hAnsi="Palatino Linotype"/>
        </w:rPr>
        <w:t>(</w:t>
      </w:r>
      <w:r w:rsidRPr="00303A61">
        <w:rPr>
          <w:rFonts w:ascii="Palatino Linotype" w:hAnsi="Palatino Linotype"/>
          <w:i/>
          <w:iCs/>
        </w:rPr>
        <w:t>t</w:t>
      </w:r>
      <w:r>
        <w:rPr>
          <w:rFonts w:ascii="Palatino Linotype" w:hAnsi="Palatino Linotype"/>
        </w:rPr>
        <w:t>) for the long delays &gt; 10 ns are modeled with exponential functions (Fig. S7).  Each time-dependent coefficient</w:t>
      </w:r>
    </w:p>
    <w:p w14:paraId="33BB5D7D" w14:textId="77777777" w:rsidR="0039334C" w:rsidRDefault="0039334C" w:rsidP="0039334C">
      <w:pPr>
        <w:spacing w:line="276" w:lineRule="auto"/>
        <w:rPr>
          <w:rFonts w:ascii="Palatino Linotype" w:hAnsi="Palatino Linotype"/>
        </w:rPr>
      </w:pPr>
    </w:p>
    <w:tbl>
      <w:tblPr>
        <w:tblStyle w:val="TableGrid"/>
        <w:tblW w:w="9545"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005"/>
        <w:gridCol w:w="540"/>
      </w:tblGrid>
      <w:tr w:rsidR="0039334C" w14:paraId="128A7842" w14:textId="77777777" w:rsidTr="00DD5ED6">
        <w:tc>
          <w:tcPr>
            <w:tcW w:w="9005" w:type="dxa"/>
            <w:tcBorders>
              <w:right w:val="nil"/>
            </w:tcBorders>
          </w:tcPr>
          <w:p w14:paraId="35FE478C" w14:textId="77777777" w:rsidR="0039334C" w:rsidRPr="00E260D3" w:rsidRDefault="0039334C" w:rsidP="00DD5ED6">
            <w:pPr>
              <w:spacing w:line="276" w:lineRule="auto"/>
              <w:jc w:val="center"/>
              <w:rPr>
                <w:rFonts w:ascii="Palatino Linotype" w:hAnsi="Palatino Linotype"/>
              </w:rPr>
            </w:pPr>
            <m:oMathPara>
              <m:oMath>
                <m:sSub>
                  <m:sSubPr>
                    <m:ctrlPr>
                      <w:rPr>
                        <w:rFonts w:ascii="Cambria Math" w:hAnsi="Cambria Math"/>
                        <w:i/>
                      </w:rPr>
                    </m:ctrlPr>
                  </m:sSubPr>
                  <m:e>
                    <m:r>
                      <w:rPr>
                        <w:rFonts w:ascii="Cambria Math" w:hAnsi="Cambria Math"/>
                      </w:rPr>
                      <m:t>c</m:t>
                    </m:r>
                  </m:e>
                  <m:sub>
                    <m:r>
                      <w:rPr>
                        <w:rFonts w:ascii="Cambria Math" w:hAnsi="Cambria Math"/>
                      </w:rPr>
                      <m:t>k</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k</m:t>
                    </m:r>
                  </m:sub>
                </m:sSub>
                <m:func>
                  <m:funcPr>
                    <m:ctrlPr>
                      <w:rPr>
                        <w:rFonts w:ascii="Cambria Math" w:hAnsi="Cambria Math"/>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1</m:t>
                                </m:r>
                              </m:sub>
                            </m:sSub>
                          </m:den>
                        </m:f>
                      </m:e>
                    </m:d>
                  </m:e>
                </m:func>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k</m:t>
                    </m:r>
                  </m:sub>
                </m:sSub>
                <m:func>
                  <m:funcPr>
                    <m:ctrlPr>
                      <w:rPr>
                        <w:rFonts w:ascii="Cambria Math" w:hAnsi="Cambria Math"/>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3</m:t>
                                </m:r>
                              </m:sub>
                            </m:sSub>
                          </m:den>
                        </m:f>
                      </m:e>
                    </m:d>
                  </m:e>
                </m:func>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k</m:t>
                    </m:r>
                  </m:sub>
                </m:sSub>
                <m:func>
                  <m:funcPr>
                    <m:ctrlPr>
                      <w:rPr>
                        <w:rFonts w:ascii="Cambria Math" w:hAnsi="Cambria Math"/>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6</m:t>
                                </m:r>
                              </m:sub>
                            </m:sSub>
                          </m:den>
                        </m:f>
                      </m:e>
                    </m:d>
                  </m:e>
                </m:func>
              </m:oMath>
            </m:oMathPara>
          </w:p>
        </w:tc>
        <w:tc>
          <w:tcPr>
            <w:tcW w:w="540" w:type="dxa"/>
            <w:tcBorders>
              <w:top w:val="nil"/>
              <w:left w:val="nil"/>
              <w:bottom w:val="nil"/>
            </w:tcBorders>
            <w:vAlign w:val="center"/>
          </w:tcPr>
          <w:p w14:paraId="770B961B" w14:textId="77777777" w:rsidR="0039334C" w:rsidRDefault="0039334C" w:rsidP="00DD5ED6">
            <w:pPr>
              <w:spacing w:line="276" w:lineRule="auto"/>
              <w:jc w:val="right"/>
              <w:rPr>
                <w:rFonts w:ascii="Palatino Linotype" w:hAnsi="Palatino Linotype"/>
              </w:rPr>
            </w:pPr>
            <w:r>
              <w:rPr>
                <w:rFonts w:ascii="Palatino Linotype" w:hAnsi="Palatino Linotype"/>
              </w:rPr>
              <w:t>(4)</w:t>
            </w:r>
          </w:p>
        </w:tc>
      </w:tr>
    </w:tbl>
    <w:p w14:paraId="6534258F" w14:textId="77777777" w:rsidR="0039334C" w:rsidRDefault="0039334C" w:rsidP="0039334C">
      <w:pPr>
        <w:spacing w:line="276" w:lineRule="auto"/>
        <w:rPr>
          <w:rFonts w:ascii="Palatino Linotype" w:hAnsi="Palatino Linotype"/>
        </w:rPr>
      </w:pPr>
    </w:p>
    <w:p w14:paraId="1C91D7E3" w14:textId="77777777" w:rsidR="0039334C" w:rsidRDefault="0039334C" w:rsidP="0039334C">
      <w:pPr>
        <w:spacing w:line="276" w:lineRule="auto"/>
        <w:rPr>
          <w:rFonts w:ascii="Palatino Linotype" w:hAnsi="Palatino Linotype"/>
        </w:rPr>
      </w:pPr>
      <w:r>
        <w:rPr>
          <w:rFonts w:ascii="Palatino Linotype" w:hAnsi="Palatino Linotype"/>
        </w:rPr>
        <w:t xml:space="preserve">where </w:t>
      </w:r>
      <w:r w:rsidRPr="00FC412D">
        <w:rPr>
          <w:rFonts w:ascii="Palatino Linotype" w:hAnsi="Palatino Linotype"/>
          <w:i/>
          <w:iCs/>
        </w:rPr>
        <w:t>k</w:t>
      </w:r>
      <w:r>
        <w:rPr>
          <w:rFonts w:ascii="Palatino Linotype" w:hAnsi="Palatino Linotype"/>
        </w:rPr>
        <w:t xml:space="preserve"> = 1, 3, or 6.  The time constant </w:t>
      </w:r>
      <w:r w:rsidRPr="00FC412D">
        <w:rPr>
          <w:rFonts w:ascii="Palatino Linotype" w:hAnsi="Palatino Linotype"/>
          <w:i/>
          <w:iCs/>
        </w:rPr>
        <w:sym w:font="Symbol" w:char="F074"/>
      </w:r>
      <w:r w:rsidRPr="00FC412D">
        <w:rPr>
          <w:rFonts w:ascii="Palatino Linotype" w:hAnsi="Palatino Linotype"/>
          <w:i/>
          <w:iCs/>
          <w:vertAlign w:val="subscript"/>
        </w:rPr>
        <w:t>k</w:t>
      </w:r>
      <w:r>
        <w:rPr>
          <w:rFonts w:ascii="Palatino Linotype" w:hAnsi="Palatino Linotype"/>
        </w:rPr>
        <w:t xml:space="preserve"> associated with the major change in each coefficient models each step in the reaction scheme K </w:t>
      </w:r>
      <w:r w:rsidRPr="0061192E">
        <w:rPr>
          <w:rFonts w:ascii="Palatino Linotype" w:hAnsi="Palatino Linotype"/>
        </w:rPr>
        <w:sym w:font="Wingdings" w:char="F0E0"/>
      </w:r>
      <w:r>
        <w:rPr>
          <w:rFonts w:ascii="Palatino Linotype" w:hAnsi="Palatino Linotype"/>
        </w:rPr>
        <w:t xml:space="preserve"> L </w:t>
      </w:r>
      <w:r w:rsidRPr="0061192E">
        <w:rPr>
          <w:rFonts w:ascii="Palatino Linotype" w:hAnsi="Palatino Linotype"/>
        </w:rPr>
        <w:sym w:font="Wingdings" w:char="F0E0"/>
      </w:r>
      <w:r>
        <w:rPr>
          <w:rFonts w:ascii="Palatino Linotype" w:hAnsi="Palatino Linotype"/>
        </w:rPr>
        <w:t xml:space="preserve"> M</w:t>
      </w:r>
      <w:r w:rsidRPr="0061192E">
        <w:rPr>
          <w:rFonts w:ascii="Palatino Linotype" w:hAnsi="Palatino Linotype"/>
          <w:vertAlign w:val="subscript"/>
        </w:rPr>
        <w:t>1</w:t>
      </w:r>
      <w:r>
        <w:rPr>
          <w:rFonts w:ascii="Palatino Linotype" w:hAnsi="Palatino Linotype"/>
        </w:rPr>
        <w:t xml:space="preserve"> </w:t>
      </w:r>
      <w:r w:rsidRPr="0061192E">
        <w:rPr>
          <w:rFonts w:ascii="Palatino Linotype" w:hAnsi="Palatino Linotype"/>
        </w:rPr>
        <w:sym w:font="Wingdings" w:char="F0E0"/>
      </w:r>
      <w:r>
        <w:rPr>
          <w:rFonts w:ascii="Palatino Linotype" w:hAnsi="Palatino Linotype"/>
        </w:rPr>
        <w:t xml:space="preserve"> M</w:t>
      </w:r>
      <w:r w:rsidRPr="0061192E">
        <w:rPr>
          <w:rFonts w:ascii="Palatino Linotype" w:hAnsi="Palatino Linotype"/>
          <w:vertAlign w:val="subscript"/>
        </w:rPr>
        <w:t>2</w:t>
      </w:r>
      <w:r>
        <w:rPr>
          <w:rFonts w:ascii="Palatino Linotype" w:hAnsi="Palatino Linotype"/>
        </w:rPr>
        <w:t>.  Whether the time-dependent coefficients can be successfully fitted with exponentials is also a good test for a proper rotation.  Because the fact that the fractional concentrations of intermediate species can be expressed as exponentials indicate that the reaction follows a regular kinetic scheme.</w:t>
      </w:r>
    </w:p>
    <w:p w14:paraId="2213D963" w14:textId="77777777" w:rsidR="0039334C" w:rsidRDefault="0039334C" w:rsidP="0039334C">
      <w:pPr>
        <w:spacing w:line="276" w:lineRule="auto"/>
        <w:rPr>
          <w:rFonts w:ascii="Palatino Linotype" w:hAnsi="Palatino Linotype"/>
        </w:rPr>
      </w:pPr>
    </w:p>
    <w:p w14:paraId="6E876E19" w14:textId="77777777" w:rsidR="0039334C" w:rsidRPr="004E0706" w:rsidRDefault="0039334C" w:rsidP="0039334C">
      <w:pPr>
        <w:keepNext/>
        <w:spacing w:line="276" w:lineRule="auto"/>
        <w:rPr>
          <w:rFonts w:ascii="Palatino Linotype" w:hAnsi="Palatino Linotype"/>
          <w:i/>
          <w:iCs/>
        </w:rPr>
      </w:pPr>
      <w:r w:rsidRPr="004E0706">
        <w:rPr>
          <w:rFonts w:ascii="Palatino Linotype" w:hAnsi="Palatino Linotype"/>
          <w:i/>
          <w:iCs/>
        </w:rPr>
        <w:t>Structural refinement against reconstituted dataset</w:t>
      </w:r>
    </w:p>
    <w:p w14:paraId="5C97ABB1" w14:textId="77777777" w:rsidR="0039334C" w:rsidRDefault="0039334C" w:rsidP="0039334C">
      <w:pPr>
        <w:spacing w:line="276" w:lineRule="auto"/>
        <w:rPr>
          <w:rFonts w:ascii="Palatino Linotype" w:hAnsi="Palatino Linotype"/>
        </w:rPr>
      </w:pPr>
      <w:r>
        <w:rPr>
          <w:rFonts w:ascii="Palatino Linotype" w:hAnsi="Palatino Linotype"/>
        </w:rPr>
        <w:t xml:space="preserve">The linear combination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w:t>
      </w:r>
      <w:r w:rsidRPr="00DA3229">
        <w:rPr>
          <w:rFonts w:ascii="Palatino Linotype" w:hAnsi="Palatino Linotype"/>
          <w:i/>
          <w:iCs/>
        </w:rPr>
        <w:t>t</w:t>
      </w:r>
      <w:r>
        <w:rPr>
          <w:rFonts w:ascii="Palatino Linotype" w:hAnsi="Palatino Linotype"/>
        </w:rPr>
        <w:t xml:space="preserve">) = </w:t>
      </w:r>
      <w:r>
        <w:rPr>
          <w:rFonts w:ascii="Palatino Linotype" w:hAnsi="Palatino Linotype"/>
          <w:i/>
          <w:iCs/>
        </w:rPr>
        <w:t>f</w:t>
      </w:r>
      <w:r w:rsidRPr="00005047">
        <w:rPr>
          <w:rFonts w:ascii="Palatino Linotype" w:hAnsi="Palatino Linotype"/>
          <w:vertAlign w:val="subscript"/>
        </w:rPr>
        <w:t>1</w:t>
      </w:r>
      <w:r>
        <w:rPr>
          <w:rFonts w:ascii="Palatino Linotype" w:hAnsi="Palatino Linotype"/>
        </w:rPr>
        <w:t>(</w:t>
      </w:r>
      <w:r w:rsidRPr="00005047">
        <w:rPr>
          <w:rFonts w:ascii="Palatino Linotype" w:hAnsi="Palatino Linotype"/>
          <w:i/>
          <w:iCs/>
        </w:rPr>
        <w:t>t</w:t>
      </w:r>
      <w:r>
        <w:rPr>
          <w:rFonts w:ascii="Palatino Linotype" w:hAnsi="Palatino Linotype"/>
        </w:rPr>
        <w:t>)</w:t>
      </w:r>
      <w:r>
        <w:rPr>
          <w:rFonts w:ascii="Palatino Linotype" w:hAnsi="Palatino Linotype"/>
          <w:b/>
          <w:bCs/>
          <w:i/>
          <w:iCs/>
        </w:rPr>
        <w:t>R</w:t>
      </w:r>
      <w:r w:rsidRPr="008B4524">
        <w:rPr>
          <w:rFonts w:ascii="Palatino Linotype" w:hAnsi="Palatino Linotype"/>
          <w:vertAlign w:val="subscript"/>
        </w:rPr>
        <w:t>1</w:t>
      </w:r>
      <w:r>
        <w:rPr>
          <w:rFonts w:ascii="Palatino Linotype" w:hAnsi="Palatino Linotype"/>
        </w:rPr>
        <w:t xml:space="preserve"> + </w:t>
      </w:r>
      <w:r>
        <w:rPr>
          <w:rFonts w:ascii="Palatino Linotype" w:hAnsi="Palatino Linotype"/>
          <w:i/>
          <w:iCs/>
        </w:rPr>
        <w:t>f</w:t>
      </w:r>
      <w:r w:rsidRPr="002F66B7">
        <w:rPr>
          <w:rFonts w:ascii="Palatino Linotype" w:hAnsi="Palatino Linotype"/>
          <w:vertAlign w:val="subscript"/>
        </w:rPr>
        <w:t>2</w:t>
      </w:r>
      <w:r w:rsidRPr="00005047">
        <w:rPr>
          <w:rFonts w:ascii="Palatino Linotype" w:hAnsi="Palatino Linotype"/>
        </w:rPr>
        <w:t>(</w:t>
      </w:r>
      <w:r w:rsidRPr="00005047">
        <w:rPr>
          <w:rFonts w:ascii="Palatino Linotype" w:hAnsi="Palatino Linotype"/>
          <w:i/>
          <w:iCs/>
        </w:rPr>
        <w:t>t</w:t>
      </w:r>
      <w:r w:rsidRPr="00005047">
        <w:rPr>
          <w:rFonts w:ascii="Palatino Linotype" w:hAnsi="Palatino Linotype"/>
        </w:rPr>
        <w:t>)</w:t>
      </w:r>
      <w:r>
        <w:rPr>
          <w:rFonts w:ascii="Palatino Linotype" w:hAnsi="Palatino Linotype"/>
          <w:b/>
          <w:bCs/>
          <w:i/>
          <w:iCs/>
        </w:rPr>
        <w:t>R</w:t>
      </w:r>
      <w:r w:rsidRPr="002F66B7">
        <w:rPr>
          <w:rFonts w:ascii="Palatino Linotype" w:hAnsi="Palatino Linotype"/>
          <w:vertAlign w:val="subscript"/>
        </w:rPr>
        <w:t>2</w:t>
      </w:r>
      <w:r>
        <w:rPr>
          <w:rFonts w:ascii="Palatino Linotype" w:hAnsi="Palatino Linotype"/>
        </w:rPr>
        <w:t xml:space="preserve"> + … + </w:t>
      </w:r>
      <w:proofErr w:type="spellStart"/>
      <w:r>
        <w:rPr>
          <w:rFonts w:ascii="Palatino Linotype" w:hAnsi="Palatino Linotype"/>
          <w:i/>
          <w:iCs/>
        </w:rPr>
        <w:t>f</w:t>
      </w:r>
      <w:r w:rsidRPr="005A1BF9">
        <w:rPr>
          <w:rFonts w:ascii="Palatino Linotype" w:hAnsi="Palatino Linotype"/>
          <w:i/>
          <w:iCs/>
          <w:vertAlign w:val="subscript"/>
        </w:rPr>
        <w:t>n</w:t>
      </w:r>
      <w:proofErr w:type="spellEnd"/>
      <w:r w:rsidRPr="00005047">
        <w:rPr>
          <w:rFonts w:ascii="Palatino Linotype" w:hAnsi="Palatino Linotype"/>
        </w:rPr>
        <w:t>(</w:t>
      </w:r>
      <w:r w:rsidRPr="00005047">
        <w:rPr>
          <w:rFonts w:ascii="Palatino Linotype" w:hAnsi="Palatino Linotype"/>
          <w:i/>
          <w:iCs/>
        </w:rPr>
        <w:t>t</w:t>
      </w:r>
      <w:r w:rsidRPr="00005047">
        <w:rPr>
          <w:rFonts w:ascii="Palatino Linotype" w:hAnsi="Palatino Linotype"/>
        </w:rPr>
        <w:t>)</w:t>
      </w:r>
      <w:r>
        <w:rPr>
          <w:rFonts w:ascii="Palatino Linotype" w:hAnsi="Palatino Linotype"/>
          <w:b/>
          <w:bCs/>
          <w:i/>
          <w:iCs/>
        </w:rPr>
        <w:t>R</w:t>
      </w:r>
      <w:r w:rsidRPr="005A1BF9">
        <w:rPr>
          <w:rFonts w:ascii="Palatino Linotype" w:hAnsi="Palatino Linotype"/>
          <w:i/>
          <w:iCs/>
          <w:vertAlign w:val="subscript"/>
        </w:rPr>
        <w:t>n</w:t>
      </w:r>
      <w:r>
        <w:rPr>
          <w:rFonts w:ascii="Palatino Linotype" w:hAnsi="Palatino Linotype"/>
        </w:rPr>
        <w:t xml:space="preserve"> after a rotation reconstitutes one of the observed difference maps</w:t>
      </w:r>
      <w:r w:rsidRPr="00A1272B">
        <w:rPr>
          <w:rFonts w:ascii="Palatino Linotype" w:hAnsi="Palatino Linotype"/>
        </w:rPr>
        <w:t xml:space="preserve"> </w:t>
      </w:r>
      <w:r>
        <w:rPr>
          <w:rFonts w:ascii="Palatino Linotype" w:hAnsi="Palatino Linotype"/>
        </w:rPr>
        <w:t xml:space="preserve">at a specific time point </w:t>
      </w:r>
      <w:r w:rsidRPr="00E13394">
        <w:rPr>
          <w:rFonts w:ascii="Palatino Linotype" w:hAnsi="Palatino Linotype"/>
          <w:i/>
          <w:iCs/>
        </w:rPr>
        <w:t>t</w:t>
      </w:r>
      <w:r>
        <w:rPr>
          <w:rFonts w:ascii="Palatino Linotype" w:hAnsi="Palatino Linotype"/>
        </w:rPr>
        <w:t xml:space="preserve">.  This time-dependent difference map depicts an ever-evolving mixture of many excited species.  A reconstituted difference map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 xml:space="preserve">(E) for a time-independent, pure, excited species E = intermediate I’, I, J’, and J deconvoluted from many mixtures would take the same form except that only one or very few coefficients remain nonzero if a proper rotation has been found (Table S2).  </w:t>
      </w:r>
      <w:proofErr w:type="gramStart"/>
      <w:r>
        <w:rPr>
          <w:rFonts w:ascii="Palatino Linotype" w:hAnsi="Palatino Linotype"/>
        </w:rPr>
        <w:t>In order to</w:t>
      </w:r>
      <w:proofErr w:type="gramEnd"/>
      <w:r>
        <w:rPr>
          <w:rFonts w:ascii="Palatino Linotype" w:hAnsi="Palatino Linotype"/>
        </w:rPr>
        <w:t xml:space="preserve"> take advantage of the mature refinement software for macromolecular structures with extensive stereochemical restraints, a set of structure factor amplitudes is needed.  Therefore, it is necessary to reconstitute a set of structure factor amplitudes that would produce the target difference map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 xml:space="preserve">(E) based on a known structure at the ground state.  First, an electron density map of the structure at the ground state is calculated.  This calculated map is used as a base map.  Second, this base map of the ground state is combined with the positive and negative densities in the target difference map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 xml:space="preserve">(E) so that the electron densities at the ground state are skewed toward the intermediate state.  Third, structure factors are calculated from the combined map.  Finally, the phase set of the calculated structure factors is discarded, and the amplitudes are used to refine a single conformation of the intermediate species E that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(E) represents.</w:t>
      </w:r>
    </w:p>
    <w:p w14:paraId="41A293D2" w14:textId="77777777" w:rsidR="0039334C" w:rsidRDefault="0039334C" w:rsidP="0039334C">
      <w:pPr>
        <w:spacing w:line="276" w:lineRule="auto"/>
        <w:rPr>
          <w:rFonts w:ascii="Palatino Linotype" w:hAnsi="Palatino Linotype"/>
        </w:rPr>
      </w:pPr>
    </w:p>
    <w:p w14:paraId="150DB60F"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This protocol following the </w:t>
      </w:r>
      <w:proofErr w:type="gramStart"/>
      <w:r>
        <w:rPr>
          <w:rFonts w:ascii="Palatino Linotype" w:hAnsi="Palatino Linotype"/>
        </w:rPr>
        <w:t>SVD</w:t>
      </w:r>
      <w:proofErr w:type="gramEnd"/>
      <w:r>
        <w:rPr>
          <w:rFonts w:ascii="Palatino Linotype" w:hAnsi="Palatino Linotype"/>
        </w:rPr>
        <w:t xml:space="preserve"> and Ren rotation of components achieves a refinement of a pure structural species without the need of alternative conformations.  Several points are noteworthy.  First, the minimization protocol in this refinement is performed against a numerically reconstituted amplitude set that has never been directly measured from a crystal.  This reconstituted dataset could be considered as an extrapolated dataset “on steroids” if compared to the traditional extrapolation of small differences, such as, the Fourier coefficient set to calculate a 3Fo-2Fc map, a technique often used to overcome a partial occupancy of an intermediate structure.  An extrapolation of small differences is not directly observed either but computed by an exaggeration of the observed difference based on an assumption that the intermediate state is partially occupied, such as the doubling of the observed difference in 3Fo-2Fc = </w:t>
      </w:r>
      <w:proofErr w:type="spellStart"/>
      <w:r>
        <w:rPr>
          <w:rFonts w:ascii="Palatino Linotype" w:hAnsi="Palatino Linotype"/>
        </w:rPr>
        <w:t>Fo</w:t>
      </w:r>
      <w:proofErr w:type="spellEnd"/>
      <w:r>
        <w:rPr>
          <w:rFonts w:ascii="Palatino Linotype" w:hAnsi="Palatino Linotype"/>
        </w:rPr>
        <w:t xml:space="preserve"> + 2(</w:t>
      </w:r>
      <w:proofErr w:type="spellStart"/>
      <w:r>
        <w:rPr>
          <w:rFonts w:ascii="Palatino Linotype" w:hAnsi="Palatino Linotype"/>
        </w:rPr>
        <w:t>Fo</w:t>
      </w:r>
      <w:proofErr w:type="spellEnd"/>
      <w:r>
        <w:rPr>
          <w:rFonts w:ascii="Palatino Linotype" w:hAnsi="Palatino Linotype"/>
        </w:rPr>
        <w:t xml:space="preserve">-Fc).  In contrast to the conventional technique of extrapolation, the deconvolution method applied here is an interpolation among many experimental </w:t>
      </w:r>
      <w:r>
        <w:rPr>
          <w:rFonts w:ascii="Palatino Linotype" w:hAnsi="Palatino Linotype"/>
        </w:rPr>
        <w:lastRenderedPageBreak/>
        <w:t xml:space="preserve">datasets rather than an extrapolation.  Secondly, the deconvolution is a simultaneous solution of multiple intermediate states </w:t>
      </w:r>
      <w:proofErr w:type="gramStart"/>
      <w:r>
        <w:rPr>
          <w:rFonts w:ascii="Palatino Linotype" w:hAnsi="Palatino Linotype"/>
        </w:rPr>
        <w:t>mixed together</w:t>
      </w:r>
      <w:proofErr w:type="gramEnd"/>
      <w:r>
        <w:rPr>
          <w:rFonts w:ascii="Palatino Linotype" w:hAnsi="Palatino Linotype"/>
        </w:rPr>
        <w:t xml:space="preserve"> instead of solving a single excited state.</w:t>
      </w:r>
    </w:p>
    <w:p w14:paraId="4A0E1DF6" w14:textId="77777777" w:rsidR="0039334C" w:rsidRDefault="0039334C" w:rsidP="0039334C">
      <w:pPr>
        <w:spacing w:line="276" w:lineRule="auto"/>
        <w:ind w:firstLine="360"/>
        <w:rPr>
          <w:rFonts w:ascii="Palatino Linotype" w:hAnsi="Palatino Linotype"/>
        </w:rPr>
      </w:pPr>
    </w:p>
    <w:p w14:paraId="1AA04F45"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Second, a map calculated from the ground state structure is chosen as the base map instead of an experimental map such as </w:t>
      </w:r>
      <w:proofErr w:type="spellStart"/>
      <w:r>
        <w:rPr>
          <w:rFonts w:ascii="Palatino Linotype" w:hAnsi="Palatino Linotype"/>
        </w:rPr>
        <w:t>Fo</w:t>
      </w:r>
      <w:proofErr w:type="spellEnd"/>
      <w:r>
        <w:rPr>
          <w:rFonts w:ascii="Palatino Linotype" w:hAnsi="Palatino Linotype"/>
        </w:rPr>
        <w:t xml:space="preserve"> or 2Fo-Fc map.  If the second step of the protocol is skipped, that is, no difference map is combined with the ground state map, the refinement would result in an </w:t>
      </w:r>
      <w:r w:rsidRPr="00C15C7E">
        <w:rPr>
          <w:rFonts w:ascii="Palatino Linotype" w:hAnsi="Palatino Linotype"/>
          <w:i/>
          <w:iCs/>
        </w:rPr>
        <w:t>R</w:t>
      </w:r>
      <w:r>
        <w:rPr>
          <w:rFonts w:ascii="Palatino Linotype" w:hAnsi="Palatino Linotype"/>
        </w:rPr>
        <w:t xml:space="preserve"> factor of nearly zero, since the refinement is essentially against the calculated structure factors (</w:t>
      </w:r>
      <w:proofErr w:type="spellStart"/>
      <w:r>
        <w:rPr>
          <w:rFonts w:ascii="Palatino Linotype" w:hAnsi="Palatino Linotype"/>
        </w:rPr>
        <w:t>bR</w:t>
      </w:r>
      <w:proofErr w:type="spellEnd"/>
      <w:r>
        <w:rPr>
          <w:rFonts w:ascii="Palatino Linotype" w:hAnsi="Palatino Linotype"/>
        </w:rPr>
        <w:t xml:space="preserve"> in Table S2).  This is to say, the residuals of the refinement are solely due to the difference component instead of the base map.  This is desirable since errors in the static structure of the ground state are gauged during its own refinement.  On the other hand, if an experimental map is chosen as a base map, the refinement </w:t>
      </w:r>
      <w:r w:rsidRPr="001314EC">
        <w:rPr>
          <w:rFonts w:ascii="Palatino Linotype" w:hAnsi="Palatino Linotype"/>
          <w:i/>
          <w:iCs/>
        </w:rPr>
        <w:t>R</w:t>
      </w:r>
      <w:r>
        <w:rPr>
          <w:rFonts w:ascii="Palatino Linotype" w:hAnsi="Palatino Linotype"/>
        </w:rPr>
        <w:t xml:space="preserve"> factors would reflect errors in both the base map and the difference map, which leads to a difficulty in an objective evaluation of this refinement protocol.</w:t>
      </w:r>
    </w:p>
    <w:p w14:paraId="130DC8EF" w14:textId="77777777" w:rsidR="0039334C" w:rsidRDefault="0039334C" w:rsidP="0039334C">
      <w:pPr>
        <w:spacing w:line="276" w:lineRule="auto"/>
        <w:ind w:firstLine="360"/>
        <w:rPr>
          <w:rFonts w:ascii="Palatino Linotype" w:hAnsi="Palatino Linotype"/>
        </w:rPr>
      </w:pPr>
    </w:p>
    <w:p w14:paraId="12E23B83"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Third, the combination of the base map and a difference map is intended to represent a pure intermediate species.  Therefore, alternative conformations in structural refinement that model a mixture of species would defeat this purpose.  However, this combined map could be very noisy and may not represent a single species without a proper rotation.  This is particular the case, if the target difference map </w:t>
      </w:r>
      <w:r>
        <w:rPr>
          <w:rFonts w:ascii="Palatino Linotype" w:hAnsi="Palatino Linotype"/>
        </w:rPr>
        <w:sym w:font="Symbol" w:char="F044"/>
      </w:r>
      <w:r w:rsidRPr="00DA3229">
        <w:rPr>
          <w:rFonts w:ascii="Palatino Linotype" w:hAnsi="Palatino Linotype"/>
          <w:i/>
          <w:iCs/>
        </w:rPr>
        <w:sym w:font="Symbol" w:char="F072"/>
      </w:r>
      <w:r>
        <w:rPr>
          <w:rFonts w:ascii="Palatino Linotype" w:hAnsi="Palatino Linotype"/>
        </w:rPr>
        <w:t xml:space="preserve"> is not derived from an SVD analysis and Ren rotation.  The SVD analysis identifies many density components that are inconsistent among all observed difference maps and excludes them, which greatly reduces the noise content.  Therefore, this refinement protocol may not be very successful without an SVD analysis.  Another source of noise originates from the phase set of the structure factors.  Prior to the refinement of the intermediate structure, the phase set remains identical to that of the ground state.  This is far from the reality when an intermediate structure involves widespread changes, such as those refined in this study.  If the rotation after SVD is not properly selected, the target difference map would remain as a mixture minus the ground state.  Therefore, the refinement of a single conformation would encounter difficulty or significant residuals, as judged by the </w:t>
      </w:r>
      <w:r w:rsidRPr="003E6262">
        <w:rPr>
          <w:rFonts w:ascii="Palatino Linotype" w:hAnsi="Palatino Linotype"/>
          <w:i/>
          <w:iCs/>
        </w:rPr>
        <w:t>R</w:t>
      </w:r>
      <w:r>
        <w:rPr>
          <w:rFonts w:ascii="Palatino Linotype" w:hAnsi="Palatino Linotype"/>
        </w:rPr>
        <w:t xml:space="preserve"> factors, the residual map, and the refined structure.  A proper solution to this problem is a better SVD solution by Ren rotation rather than alternative conformations.  A successful refinement of near perfect </w:t>
      </w:r>
      <w:r w:rsidRPr="00934B16">
        <w:rPr>
          <w:rFonts w:ascii="Palatino Linotype" w:hAnsi="Palatino Linotype"/>
          <w:i/>
          <w:iCs/>
        </w:rPr>
        <w:lastRenderedPageBreak/>
        <w:t>trans</w:t>
      </w:r>
      <w:r>
        <w:rPr>
          <w:rFonts w:ascii="Palatino Linotype" w:hAnsi="Palatino Linotype"/>
        </w:rPr>
        <w:t xml:space="preserve"> or </w:t>
      </w:r>
      <w:r w:rsidRPr="00934B16">
        <w:rPr>
          <w:rFonts w:ascii="Palatino Linotype" w:hAnsi="Palatino Linotype"/>
          <w:i/>
          <w:iCs/>
        </w:rPr>
        <w:t>cis</w:t>
      </w:r>
      <w:r>
        <w:rPr>
          <w:rFonts w:ascii="Palatino Linotype" w:hAnsi="Palatino Linotype"/>
        </w:rPr>
        <w:t xml:space="preserve"> double bonds is a good sign to indicate that the reconstituted amplitude set after a rotation reflects a relatively homogeneous structure.  If a double bond could not be refined well to near perfect </w:t>
      </w:r>
      <w:r w:rsidRPr="00934B16">
        <w:rPr>
          <w:rFonts w:ascii="Palatino Linotype" w:hAnsi="Palatino Linotype"/>
          <w:i/>
          <w:iCs/>
        </w:rPr>
        <w:t>trans</w:t>
      </w:r>
      <w:r>
        <w:rPr>
          <w:rFonts w:ascii="Palatino Linotype" w:hAnsi="Palatino Linotype"/>
        </w:rPr>
        <w:t xml:space="preserve"> or </w:t>
      </w:r>
      <w:r w:rsidRPr="00934B16">
        <w:rPr>
          <w:rFonts w:ascii="Palatino Linotype" w:hAnsi="Palatino Linotype"/>
          <w:i/>
          <w:iCs/>
        </w:rPr>
        <w:t>cis</w:t>
      </w:r>
      <w:r>
        <w:rPr>
          <w:rFonts w:ascii="Palatino Linotype" w:hAnsi="Palatino Linotype"/>
        </w:rPr>
        <w:t xml:space="preserve"> configuration, the dataset of structure factor amplitudes is likely from a mixture of heterogeneous configurations, which occurred frequently in previous studies of </w:t>
      </w:r>
      <w:proofErr w:type="spellStart"/>
      <w:r>
        <w:rPr>
          <w:rFonts w:ascii="Palatino Linotype" w:hAnsi="Palatino Linotype"/>
        </w:rPr>
        <w:t>bR</w:t>
      </w:r>
      <w:proofErr w:type="spellEnd"/>
      <w:r>
        <w:rPr>
          <w:rFonts w:ascii="Palatino Linotype" w:hAnsi="Palatino Linotype"/>
        </w:rPr>
        <w:t xml:space="preserve"> and photoactive yellow protein </w:t>
      </w:r>
      <w:r>
        <w:rPr>
          <w:rFonts w:ascii="Palatino Linotype" w:hAnsi="Palatino Linotype"/>
        </w:rPr>
        <w:fldChar w:fldCharType="begin"/>
      </w:r>
      <w:r>
        <w:rPr>
          <w:rFonts w:ascii="Palatino Linotype" w:hAnsi="Palatino Linotype"/>
        </w:rPr>
        <w:instrText xml:space="preserve"> ADDIN ZOTERO_ITEM CSL_CITATION {"citationID":"8do00Phr","properties":{"formattedCitation":"(Jung et al., 2013; Lanyi and Schobert, 2007; Nogly et al., 2018)","plainCitation":"(Jung et al., 2013; Lanyi and Schobert, 2007; Nogly et al., 2018)","noteIndex":0},"citationItems":[{"id":1962,"uris":["http://zotero.org/users/local/Med5doT8/items/GZF57N5H"],"uri":["http://zotero.org/users/local/Med5doT8/items/GZF57N5H"],"itemData":{"id":1962,"type":"article-journal","abstract":"Trans-to-cis isomerization, the key reaction in photoactive proteins, usually cannot occur through the standard one-bond-flip mechanism. Owing to spatial constraints imposed by a protein environment, isomerization probably proceeds through a volume-conserving mechanism in which highly choreographed atomic motions are expected, the details of which have not yet been observed directly. Here we employ time-resolved X-ray crystallography to visualize structurally the isomerization of the p-coumaric acid chromophore in photoactive yellow protein with a time resolution of 100 ps and a spatial resolution of 1.6 Å. The structure of the earliest intermediate (IT) resembles a highly strained transition state in which the torsion angle is located halfway between the trans- and cis-isomers. The reaction trajectory of IT bifurcates into two structurally distinct cis intermediates via hula-twist and bicycle-pedal pathways. The bifurcating reaction pathways can be controlled by weakening the hydrogen bond between the chromophore and an adjacent residue through E46Q mutation, which switches off the bicycle-pedal pathway.","container-title":"Nature Chemistry","DOI":"10.1038/nchem.1565","issue":"3","language":"en","page":"212-220","source":"www.nature.com.proxy.uchicago.edu","title":"Volume-conserving trans–cis isomerization pathways in photoactive yellow protein visualized by picosecond X-ray crystallography","volume":"5","author":[{"family":"Jung","given":"Yang Ouk"},{"family":"Lee","given":"Jae Hyuk"},{"family":"Kim","given":"Joonghan"},{"family":"Schmidt","given":"Marius"},{"family":"Moffat","given":"Keith"},{"family":"Šrajer","given":"Vukica"},{"family":"Ihee","given":"Hyotcherl"}],"issued":{"date-parts":[["2013"]]}}},{"id":3748,"uris":["http://zotero.org/users/local/Med5doT8/items/KHHHRAWQ"],"uri":["http://zotero.org/users/local/Med5doT8/items/KHHHRAWQ"],"itemData":{"id":3748,"type":"article-journal","container-title":"Journal of Molecular Biology","DOI":"10.1016/j.jmb.2006.11.016","ISSN":"00222836","issue":"5","language":"en","page":"1379-1392","source":"CrossRef","title":"Structural changes in the L photointermediate of bacteriorhodopsin","volume":"365","author":[{"family":"Lanyi","given":"Janos K."},{"family":"Schobert","given":"Brigitte"}],"issued":{"date-parts":[["2007",2]]}}},{"id":5318,"uris":["http://zotero.org/users/local/Med5doT8/items/JRT8BVS5"],"uri":["http://zotero.org/users/local/Med5doT8/items/JRT8BVS5"],"itemData":{"id":5318,"type":"article-journal","container-title":"Science","DOI":"10.1126/science.aat0094","ISSN":"0036-8075, 1095-9203","language":"en","page":"eaat0094","source":"Crossref","title":"Retinal isomerization in bacteriorhodopsin captured by a femtosecond x-ray laser","volume":"361","author":[{"family":"Nogly","given":"Przemyslaw"},{"family":"Weinert","given":"Tobias"},{"family":"James","given":"Daniel"},{"family":"Carbajo","given":"Sergio"},{"family":"Ozerov","given":"Dmitry"},{"family":"Furrer","given":"Antonia"},{"family":"Gashi","given":"Dardan"},{"family":"Borin","given":"Veniamin"},{"family":"Skopintsev","given":"Petr"},{"family":"Jaeger","given":"Kathrin"},{"family":"Nass","given":"Karol"},{"family":"Båth","given":"Petra"},{"family":"Bosman","given":"Robert"},{"family":"Koglin","given":"Jason"},{"family":"Seaberg","given":"Matthew"},{"family":"Lane","given":"Thomas"},{"family":"Kekilli","given":"Demet"},{"family":"Brünle","given":"Steffen"},{"family":"Tanaka","given":"Tomoyuki"},{"family":"Wu","given":"Wenting"},{"family":"Milne","given":"Christopher"},{"family":"White","given":"Thomas"},{"family":"Barty","given":"Anton"},{"family":"Weierstall","given":"Uwe"},{"family":"Panneels","given":"Valerie"},{"family":"Nango","given":"Eriko"},{"family":"Iwata","given":"So"},{"family":"Hunter","given":"Mark"},{"family":"Schapiro","given":"Igor"},{"family":"Schertler","given":"Gebhard"},{"family":"Neutze","given":"Richard"},{"family":"Standfuss","given":"Jörg"}],"issued":{"date-parts":[["2018",6,14]]}}}],"schema":"https://github.com/citation-style-language/schema/raw/master/csl-citation.json"} </w:instrText>
      </w:r>
      <w:r>
        <w:rPr>
          <w:rFonts w:ascii="Palatino Linotype" w:hAnsi="Palatino Linotype"/>
        </w:rPr>
        <w:fldChar w:fldCharType="separate"/>
      </w:r>
      <w:r>
        <w:rPr>
          <w:rFonts w:ascii="Palatino Linotype" w:hAnsi="Palatino Linotype"/>
          <w:noProof/>
        </w:rPr>
        <w:t>(Jung et al., 2013; Lanyi and Schobert, 2007; Nogly et al., 2018)</w:t>
      </w:r>
      <w:r>
        <w:rPr>
          <w:rFonts w:ascii="Palatino Linotype" w:hAnsi="Palatino Linotype"/>
        </w:rPr>
        <w:fldChar w:fldCharType="end"/>
      </w:r>
      <w:r>
        <w:rPr>
          <w:rFonts w:ascii="Palatino Linotype" w:hAnsi="Palatino Linotype"/>
        </w:rPr>
        <w:t>.  It has been a great difficulty in crystallographic refinement in general that a heterogeneous mixture of conformations cannot be unambiguously refined even with alternative conformations.  This difficulty becomes more severe when a mixture involves more than two conformations or when some conformations</w:t>
      </w:r>
      <w:r w:rsidRPr="000C439D">
        <w:rPr>
          <w:rFonts w:ascii="Palatino Linotype" w:hAnsi="Palatino Linotype"/>
        </w:rPr>
        <w:t xml:space="preserve"> </w:t>
      </w:r>
      <w:r>
        <w:rPr>
          <w:rFonts w:ascii="Palatino Linotype" w:hAnsi="Palatino Linotype"/>
        </w:rPr>
        <w:t>are very minor.</w:t>
      </w:r>
    </w:p>
    <w:p w14:paraId="0C11DD65" w14:textId="77777777" w:rsidR="0039334C" w:rsidRDefault="0039334C" w:rsidP="0039334C">
      <w:pPr>
        <w:spacing w:line="276" w:lineRule="auto"/>
        <w:ind w:firstLine="360"/>
        <w:rPr>
          <w:rFonts w:ascii="Palatino Linotype" w:hAnsi="Palatino Linotype"/>
        </w:rPr>
      </w:pPr>
    </w:p>
    <w:p w14:paraId="24672623" w14:textId="77777777" w:rsidR="0039334C" w:rsidRDefault="0039334C" w:rsidP="0039334C">
      <w:pPr>
        <w:spacing w:line="276" w:lineRule="auto"/>
        <w:ind w:firstLine="360"/>
        <w:rPr>
          <w:rFonts w:ascii="Palatino Linotype" w:hAnsi="Palatino Linotype"/>
        </w:rPr>
      </w:pPr>
      <w:r>
        <w:rPr>
          <w:rFonts w:ascii="Palatino Linotype" w:hAnsi="Palatino Linotype"/>
        </w:rPr>
        <w:t xml:space="preserve">Lastly, the refinement protocol proposed here could be carried out in the original unit cell and space group of the crystal at the ground state.  However, this is not always applicable as the original goal of the meta-analysis is a joint examination of all available structures from a variety of crystal forms.  It would be highly desirable to evaluate difference maps of the same or similar proteins from non-isomorphous crystals together by SVD.  Alternatively, the refinement protocol could also be performed in the space group of P1 with a virtual unit cell large enough to hold the structure, which is the option in this study (Table S2).  This is to say, the entire analysis of SVD-rotation-refinement presented here could be extracted and isolated from the original crystal lattices, which paves the way to future applications to structural data acquired by experimental techniques beyond crystallography, most attractively, to single particle reconstruction in </w:t>
      </w:r>
      <w:proofErr w:type="spellStart"/>
      <w:r>
        <w:rPr>
          <w:rFonts w:ascii="Palatino Linotype" w:hAnsi="Palatino Linotype"/>
        </w:rPr>
        <w:t>cryo</w:t>
      </w:r>
      <w:proofErr w:type="spellEnd"/>
      <w:r>
        <w:rPr>
          <w:rFonts w:ascii="Palatino Linotype" w:hAnsi="Palatino Linotype"/>
        </w:rPr>
        <w:t xml:space="preserve"> electron microscopy.</w:t>
      </w:r>
    </w:p>
    <w:p w14:paraId="242EDA45" w14:textId="77777777" w:rsidR="0039334C" w:rsidRDefault="0039334C" w:rsidP="0039334C">
      <w:pPr>
        <w:spacing w:line="276" w:lineRule="auto"/>
        <w:rPr>
          <w:rFonts w:ascii="Palatino Linotype" w:hAnsi="Palatino Linotype"/>
        </w:rPr>
      </w:pPr>
    </w:p>
    <w:p w14:paraId="34783C78" w14:textId="77777777" w:rsidR="0039334C" w:rsidRDefault="0039334C" w:rsidP="0039334C">
      <w:pPr>
        <w:rPr>
          <w:rFonts w:ascii="Palatino Linotype" w:hAnsi="Palatino Linotype"/>
          <w:b/>
          <w:bCs/>
        </w:rPr>
      </w:pPr>
      <w:r>
        <w:rPr>
          <w:rFonts w:ascii="Palatino Linotype" w:hAnsi="Palatino Linotype"/>
          <w:b/>
          <w:bCs/>
        </w:rPr>
        <w:br w:type="page"/>
      </w:r>
    </w:p>
    <w:p w14:paraId="03B4924D" w14:textId="77777777" w:rsidR="0039334C" w:rsidRDefault="0039334C" w:rsidP="0039334C">
      <w:pPr>
        <w:spacing w:line="276" w:lineRule="auto"/>
        <w:rPr>
          <w:rFonts w:ascii="Palatino Linotype" w:hAnsi="Palatino Linotype"/>
          <w:b/>
          <w:bCs/>
        </w:rPr>
      </w:pPr>
      <w:r w:rsidRPr="00D83F6A">
        <w:rPr>
          <w:rFonts w:ascii="Palatino Linotype" w:hAnsi="Palatino Linotype"/>
          <w:b/>
          <w:bCs/>
        </w:rPr>
        <w:lastRenderedPageBreak/>
        <w:t xml:space="preserve">Supplementary </w:t>
      </w:r>
      <w:r w:rsidRPr="00D26E07">
        <w:rPr>
          <w:rFonts w:ascii="Palatino Linotype" w:hAnsi="Palatino Linotype"/>
          <w:b/>
          <w:bCs/>
        </w:rPr>
        <w:t>Tab</w:t>
      </w:r>
      <w:r>
        <w:rPr>
          <w:rFonts w:ascii="Palatino Linotype" w:hAnsi="Palatino Linotype"/>
          <w:b/>
          <w:bCs/>
        </w:rPr>
        <w:t>le</w:t>
      </w:r>
      <w:r w:rsidRPr="00D26E07">
        <w:rPr>
          <w:rFonts w:ascii="Palatino Linotype" w:hAnsi="Palatino Linotype"/>
          <w:b/>
          <w:bCs/>
        </w:rPr>
        <w:t>s</w:t>
      </w:r>
    </w:p>
    <w:p w14:paraId="415D4B1F" w14:textId="77777777" w:rsidR="0039334C" w:rsidRPr="00C31751" w:rsidRDefault="0039334C" w:rsidP="0039334C">
      <w:pPr>
        <w:spacing w:line="276" w:lineRule="auto"/>
        <w:rPr>
          <w:rFonts w:ascii="Palatino Linotype" w:hAnsi="Palatino Linotype"/>
        </w:rPr>
      </w:pPr>
    </w:p>
    <w:tbl>
      <w:tblPr>
        <w:tblStyle w:val="TableGrid"/>
        <w:tblW w:w="9424" w:type="dxa"/>
        <w:tblLook w:val="04A0" w:firstRow="1" w:lastRow="0" w:firstColumn="1" w:lastColumn="0" w:noHBand="0" w:noVBand="1"/>
      </w:tblPr>
      <w:tblGrid>
        <w:gridCol w:w="1223"/>
        <w:gridCol w:w="718"/>
        <w:gridCol w:w="1038"/>
        <w:gridCol w:w="1170"/>
        <w:gridCol w:w="1798"/>
        <w:gridCol w:w="3477"/>
      </w:tblGrid>
      <w:tr w:rsidR="0039334C" w:rsidRPr="00CE1276" w14:paraId="2F18D1D0" w14:textId="77777777" w:rsidTr="00DD5ED6">
        <w:tc>
          <w:tcPr>
            <w:tcW w:w="9424" w:type="dxa"/>
            <w:gridSpan w:val="6"/>
            <w:tcBorders>
              <w:left w:val="nil"/>
              <w:right w:val="nil"/>
            </w:tcBorders>
          </w:tcPr>
          <w:p w14:paraId="3317B21D" w14:textId="77777777" w:rsidR="0039334C" w:rsidRPr="00CE1276" w:rsidRDefault="0039334C" w:rsidP="00DD5ED6">
            <w:pPr>
              <w:spacing w:line="276" w:lineRule="auto"/>
              <w:rPr>
                <w:rFonts w:ascii="Palatino Linotype" w:hAnsi="Palatino Linotype"/>
                <w:color w:val="000000" w:themeColor="text1"/>
              </w:rPr>
            </w:pPr>
            <w:r w:rsidRPr="00CE1276">
              <w:rPr>
                <w:rFonts w:ascii="Palatino Linotype" w:hAnsi="Palatino Linotype"/>
                <w:color w:val="000000" w:themeColor="text1"/>
              </w:rPr>
              <w:t>Table S1.  Datasets analyzed in this work</w:t>
            </w:r>
          </w:p>
        </w:tc>
      </w:tr>
      <w:tr w:rsidR="0039334C" w:rsidRPr="00217A29" w14:paraId="77E676E7" w14:textId="77777777" w:rsidTr="00DD5ED6">
        <w:tc>
          <w:tcPr>
            <w:tcW w:w="1223" w:type="dxa"/>
            <w:tcBorders>
              <w:left w:val="nil"/>
            </w:tcBorders>
          </w:tcPr>
          <w:p w14:paraId="6635D2C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Publication</w:t>
            </w:r>
          </w:p>
        </w:tc>
        <w:tc>
          <w:tcPr>
            <w:tcW w:w="709" w:type="dxa"/>
            <w:tcBorders>
              <w:bottom w:val="single" w:sz="4" w:space="0" w:color="auto"/>
              <w:right w:val="nil"/>
            </w:tcBorders>
          </w:tcPr>
          <w:p w14:paraId="39E421AB"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PDB</w:t>
            </w:r>
          </w:p>
        </w:tc>
        <w:tc>
          <w:tcPr>
            <w:tcW w:w="1038" w:type="dxa"/>
            <w:tcBorders>
              <w:left w:val="nil"/>
              <w:bottom w:val="single" w:sz="4" w:space="0" w:color="auto"/>
              <w:right w:val="nil"/>
            </w:tcBorders>
          </w:tcPr>
          <w:p w14:paraId="7FEC5CE2"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Label</w:t>
            </w:r>
          </w:p>
        </w:tc>
        <w:tc>
          <w:tcPr>
            <w:tcW w:w="1170" w:type="dxa"/>
            <w:tcBorders>
              <w:left w:val="nil"/>
              <w:bottom w:val="single" w:sz="4" w:space="0" w:color="auto"/>
              <w:right w:val="nil"/>
            </w:tcBorders>
          </w:tcPr>
          <w:p w14:paraId="29B43A0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Resolution</w:t>
            </w:r>
          </w:p>
        </w:tc>
        <w:tc>
          <w:tcPr>
            <w:tcW w:w="1800" w:type="dxa"/>
            <w:tcBorders>
              <w:left w:val="nil"/>
              <w:right w:val="nil"/>
            </w:tcBorders>
          </w:tcPr>
          <w:p w14:paraId="0223A03A"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Main conclusions</w:t>
            </w:r>
          </w:p>
        </w:tc>
        <w:tc>
          <w:tcPr>
            <w:tcW w:w="3484" w:type="dxa"/>
            <w:tcBorders>
              <w:left w:val="nil"/>
              <w:right w:val="nil"/>
            </w:tcBorders>
          </w:tcPr>
          <w:p w14:paraId="2BC67796"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New findings in this work</w:t>
            </w:r>
          </w:p>
        </w:tc>
      </w:tr>
      <w:tr w:rsidR="0039334C" w:rsidRPr="00217A29" w14:paraId="582E11A9" w14:textId="77777777" w:rsidTr="00DD5ED6">
        <w:trPr>
          <w:trHeight w:val="115"/>
        </w:trPr>
        <w:tc>
          <w:tcPr>
            <w:tcW w:w="1223" w:type="dxa"/>
            <w:vMerge w:val="restart"/>
            <w:tcBorders>
              <w:left w:val="nil"/>
            </w:tcBorders>
            <w:vAlign w:val="center"/>
          </w:tcPr>
          <w:p w14:paraId="5F6C82B6" w14:textId="77777777" w:rsidR="0039334C" w:rsidRPr="00217A29" w:rsidRDefault="0039334C" w:rsidP="00DD5ED6">
            <w:pPr>
              <w:spacing w:line="276" w:lineRule="auto"/>
              <w:rPr>
                <w:rFonts w:ascii="Palatino" w:hAnsi="Palatino"/>
                <w:color w:val="000000" w:themeColor="text1"/>
                <w:sz w:val="20"/>
                <w:szCs w:val="20"/>
              </w:rPr>
            </w:pPr>
            <w:proofErr w:type="spellStart"/>
            <w:r w:rsidRPr="00217A29">
              <w:rPr>
                <w:rFonts w:ascii="Palatino" w:hAnsi="Palatino"/>
                <w:color w:val="000000" w:themeColor="text1"/>
                <w:sz w:val="20"/>
                <w:szCs w:val="20"/>
              </w:rPr>
              <w:t>Nango</w:t>
            </w:r>
            <w:proofErr w:type="spellEnd"/>
            <w:r w:rsidRPr="00217A29">
              <w:rPr>
                <w:rFonts w:ascii="Palatino" w:hAnsi="Palatino"/>
                <w:color w:val="000000" w:themeColor="text1"/>
                <w:sz w:val="20"/>
                <w:szCs w:val="20"/>
              </w:rPr>
              <w:t xml:space="preserve"> et al. Science 354, 1552, 2016</w:t>
            </w:r>
          </w:p>
        </w:tc>
        <w:tc>
          <w:tcPr>
            <w:tcW w:w="709" w:type="dxa"/>
            <w:tcBorders>
              <w:bottom w:val="nil"/>
              <w:right w:val="nil"/>
            </w:tcBorders>
          </w:tcPr>
          <w:p w14:paraId="60DF77A0"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5b6v</w:t>
            </w:r>
          </w:p>
        </w:tc>
        <w:tc>
          <w:tcPr>
            <w:tcW w:w="1038" w:type="dxa"/>
            <w:tcBorders>
              <w:left w:val="nil"/>
              <w:bottom w:val="nil"/>
              <w:right w:val="nil"/>
            </w:tcBorders>
          </w:tcPr>
          <w:p w14:paraId="77FD2A76"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dark5</w:t>
            </w:r>
          </w:p>
        </w:tc>
        <w:tc>
          <w:tcPr>
            <w:tcW w:w="1170" w:type="dxa"/>
            <w:tcBorders>
              <w:left w:val="nil"/>
              <w:bottom w:val="nil"/>
              <w:right w:val="nil"/>
            </w:tcBorders>
          </w:tcPr>
          <w:p w14:paraId="4652DBF1"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1.77 Å</w:t>
            </w:r>
          </w:p>
        </w:tc>
        <w:tc>
          <w:tcPr>
            <w:tcW w:w="1800" w:type="dxa"/>
            <w:vMerge w:val="restart"/>
            <w:tcBorders>
              <w:left w:val="nil"/>
              <w:right w:val="nil"/>
            </w:tcBorders>
            <w:vAlign w:val="center"/>
          </w:tcPr>
          <w:p w14:paraId="73CC75C1"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 xml:space="preserve">A newly ordered water </w:t>
            </w:r>
            <w:r>
              <w:rPr>
                <w:rFonts w:ascii="Palatino" w:hAnsi="Palatino"/>
                <w:color w:val="000000" w:themeColor="text1"/>
                <w:sz w:val="20"/>
                <w:szCs w:val="20"/>
              </w:rPr>
              <w:t xml:space="preserve">on the CP side </w:t>
            </w:r>
            <w:r w:rsidRPr="00217A29">
              <w:rPr>
                <w:rFonts w:ascii="Palatino" w:hAnsi="Palatino"/>
                <w:color w:val="000000" w:themeColor="text1"/>
                <w:sz w:val="20"/>
                <w:szCs w:val="20"/>
              </w:rPr>
              <w:t xml:space="preserve">bridges the </w:t>
            </w:r>
            <w:r>
              <w:rPr>
                <w:rFonts w:ascii="Palatino" w:hAnsi="Palatino"/>
                <w:color w:val="000000" w:themeColor="text1"/>
                <w:sz w:val="20"/>
                <w:szCs w:val="20"/>
              </w:rPr>
              <w:t>SB</w:t>
            </w:r>
            <w:r w:rsidRPr="00217A29">
              <w:rPr>
                <w:rFonts w:ascii="Palatino" w:hAnsi="Palatino"/>
                <w:color w:val="000000" w:themeColor="text1"/>
                <w:sz w:val="20"/>
                <w:szCs w:val="20"/>
              </w:rPr>
              <w:t xml:space="preserve"> to Thr89 after isomerization, thus further conducts a proton to Asp85.</w:t>
            </w:r>
          </w:p>
        </w:tc>
        <w:tc>
          <w:tcPr>
            <w:tcW w:w="3484" w:type="dxa"/>
            <w:vMerge w:val="restart"/>
            <w:tcBorders>
              <w:left w:val="nil"/>
              <w:right w:val="nil"/>
            </w:tcBorders>
            <w:vAlign w:val="center"/>
          </w:tcPr>
          <w:p w14:paraId="05CE58B7"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 xml:space="preserve">These datasets contribute to the overdetermination of the structures </w:t>
            </w:r>
            <w:r w:rsidRPr="00217A29">
              <w:rPr>
                <w:rFonts w:ascii="Palatino" w:hAnsi="Palatino"/>
                <w:color w:val="000000" w:themeColor="text1"/>
                <w:sz w:val="20"/>
                <w:szCs w:val="20"/>
              </w:rPr>
              <w:t xml:space="preserve">K </w:t>
            </w:r>
            <w:r w:rsidRPr="00217A29">
              <w:rPr>
                <w:rFonts w:ascii="Palatino" w:hAnsi="Palatino"/>
                <w:color w:val="000000" w:themeColor="text1"/>
                <w:sz w:val="20"/>
                <w:szCs w:val="20"/>
              </w:rPr>
              <w:sym w:font="Wingdings" w:char="F0E0"/>
            </w:r>
            <w:r w:rsidRPr="00217A29">
              <w:rPr>
                <w:rFonts w:ascii="Palatino" w:hAnsi="Palatino"/>
                <w:color w:val="000000" w:themeColor="text1"/>
                <w:sz w:val="20"/>
                <w:szCs w:val="20"/>
              </w:rPr>
              <w:t xml:space="preserve"> L </w:t>
            </w:r>
            <w:r w:rsidRPr="00217A29">
              <w:rPr>
                <w:rFonts w:ascii="Palatino" w:hAnsi="Palatino"/>
                <w:color w:val="000000" w:themeColor="text1"/>
                <w:sz w:val="20"/>
                <w:szCs w:val="20"/>
              </w:rPr>
              <w:sym w:font="Wingdings" w:char="F0E0"/>
            </w:r>
            <w:r w:rsidRPr="00217A29">
              <w:rPr>
                <w:rFonts w:ascii="Palatino" w:hAnsi="Palatino"/>
                <w:color w:val="000000" w:themeColor="text1"/>
                <w:sz w:val="20"/>
                <w:szCs w:val="20"/>
              </w:rPr>
              <w:t xml:space="preserve"> M</w:t>
            </w:r>
            <w:r w:rsidRPr="001F6DE2">
              <w:rPr>
                <w:rFonts w:ascii="Palatino" w:hAnsi="Palatino"/>
                <w:color w:val="000000" w:themeColor="text1"/>
                <w:sz w:val="20"/>
                <w:szCs w:val="20"/>
                <w:vertAlign w:val="subscript"/>
              </w:rPr>
              <w:t>1</w:t>
            </w:r>
            <w:r>
              <w:rPr>
                <w:rFonts w:ascii="Palatino" w:hAnsi="Palatino"/>
                <w:color w:val="000000" w:themeColor="text1"/>
                <w:sz w:val="20"/>
                <w:szCs w:val="20"/>
              </w:rPr>
              <w:t xml:space="preserve"> </w:t>
            </w:r>
            <w:r w:rsidRPr="001F6DE2">
              <w:rPr>
                <w:rFonts w:ascii="Palatino" w:hAnsi="Palatino"/>
                <w:color w:val="000000" w:themeColor="text1"/>
                <w:sz w:val="20"/>
                <w:szCs w:val="20"/>
              </w:rPr>
              <w:sym w:font="Wingdings" w:char="F0E0"/>
            </w:r>
            <w:r>
              <w:rPr>
                <w:rFonts w:ascii="Palatino" w:hAnsi="Palatino"/>
                <w:color w:val="000000" w:themeColor="text1"/>
                <w:sz w:val="20"/>
                <w:szCs w:val="20"/>
              </w:rPr>
              <w:t xml:space="preserve"> </w:t>
            </w:r>
            <w:r w:rsidRPr="001F6DE2">
              <w:rPr>
                <w:rFonts w:ascii="Palatino" w:hAnsi="Palatino"/>
                <w:color w:val="000000" w:themeColor="text1"/>
                <w:sz w:val="20"/>
                <w:szCs w:val="20"/>
              </w:rPr>
              <w:t>M</w:t>
            </w:r>
            <w:r w:rsidRPr="001F6DE2">
              <w:rPr>
                <w:rFonts w:ascii="Palatino" w:hAnsi="Palatino"/>
                <w:color w:val="000000" w:themeColor="text1"/>
                <w:sz w:val="20"/>
                <w:szCs w:val="20"/>
                <w:vertAlign w:val="subscript"/>
              </w:rPr>
              <w:t>2</w:t>
            </w:r>
            <w:r w:rsidRPr="001F6DE2">
              <w:rPr>
                <w:rFonts w:ascii="Palatino" w:hAnsi="Palatino"/>
                <w:color w:val="000000" w:themeColor="text1"/>
                <w:sz w:val="20"/>
                <w:szCs w:val="20"/>
              </w:rPr>
              <w:t>.  T</w:t>
            </w:r>
            <w:r>
              <w:rPr>
                <w:rFonts w:ascii="Palatino" w:hAnsi="Palatino"/>
                <w:color w:val="000000" w:themeColor="text1"/>
                <w:sz w:val="20"/>
                <w:szCs w:val="20"/>
              </w:rPr>
              <w:t>he early creased retinal is flattened; C</w:t>
            </w:r>
            <w:r w:rsidRPr="00A07630">
              <w:rPr>
                <w:rFonts w:ascii="Palatino" w:hAnsi="Palatino"/>
                <w:color w:val="000000" w:themeColor="text1"/>
                <w:sz w:val="20"/>
                <w:szCs w:val="20"/>
                <w:vertAlign w:val="subscript"/>
              </w:rPr>
              <w:t>20</w:t>
            </w:r>
            <w:r>
              <w:rPr>
                <w:rFonts w:ascii="Palatino" w:hAnsi="Palatino"/>
                <w:color w:val="000000" w:themeColor="text1"/>
                <w:sz w:val="20"/>
                <w:szCs w:val="20"/>
              </w:rPr>
              <w:t xml:space="preserve"> methyl group returns into the original plane of the resting retinal as K transitions to L.  The most flattened chromophore is achieved in L.  The EC half channel contracts in L while the CP half channel starts to open.  </w:t>
            </w:r>
            <w:proofErr w:type="spellStart"/>
            <w:r>
              <w:rPr>
                <w:rFonts w:ascii="Palatino" w:hAnsi="Palatino"/>
                <w:color w:val="000000" w:themeColor="text1"/>
                <w:sz w:val="20"/>
                <w:szCs w:val="20"/>
              </w:rPr>
              <w:t>Reprotonation</w:t>
            </w:r>
            <w:proofErr w:type="spellEnd"/>
            <w:r>
              <w:rPr>
                <w:rFonts w:ascii="Palatino" w:hAnsi="Palatino"/>
                <w:color w:val="000000" w:themeColor="text1"/>
                <w:sz w:val="20"/>
                <w:szCs w:val="20"/>
              </w:rPr>
              <w:t xml:space="preserve"> of the SB starts in L.  Several ordered waters are observed in the enlarged CP half channel in M</w:t>
            </w:r>
            <w:r w:rsidRPr="005442BB">
              <w:rPr>
                <w:rFonts w:ascii="Palatino" w:hAnsi="Palatino"/>
                <w:color w:val="000000" w:themeColor="text1"/>
                <w:sz w:val="20"/>
                <w:szCs w:val="20"/>
                <w:vertAlign w:val="subscript"/>
              </w:rPr>
              <w:t>1</w:t>
            </w:r>
            <w:r>
              <w:rPr>
                <w:rFonts w:ascii="Palatino" w:hAnsi="Palatino"/>
                <w:color w:val="000000" w:themeColor="text1"/>
                <w:sz w:val="20"/>
                <w:szCs w:val="20"/>
              </w:rPr>
              <w:t>.  The SB move toward inboard in M</w:t>
            </w:r>
            <w:r w:rsidRPr="005442BB">
              <w:rPr>
                <w:rFonts w:ascii="Palatino" w:hAnsi="Palatino"/>
                <w:color w:val="000000" w:themeColor="text1"/>
                <w:sz w:val="20"/>
                <w:szCs w:val="20"/>
                <w:vertAlign w:val="subscript"/>
              </w:rPr>
              <w:t>1</w:t>
            </w:r>
            <w:r>
              <w:rPr>
                <w:rFonts w:ascii="Palatino" w:hAnsi="Palatino"/>
                <w:color w:val="000000" w:themeColor="text1"/>
                <w:sz w:val="20"/>
                <w:szCs w:val="20"/>
              </w:rPr>
              <w:t xml:space="preserve"> and M</w:t>
            </w:r>
            <w:r w:rsidRPr="005442BB">
              <w:rPr>
                <w:rFonts w:ascii="Palatino" w:hAnsi="Palatino"/>
                <w:color w:val="000000" w:themeColor="text1"/>
                <w:sz w:val="20"/>
                <w:szCs w:val="20"/>
                <w:vertAlign w:val="subscript"/>
              </w:rPr>
              <w:t>2</w:t>
            </w:r>
            <w:r>
              <w:rPr>
                <w:rFonts w:ascii="Palatino" w:hAnsi="Palatino"/>
                <w:color w:val="000000" w:themeColor="text1"/>
                <w:sz w:val="20"/>
                <w:szCs w:val="20"/>
              </w:rPr>
              <w:t>.</w:t>
            </w:r>
          </w:p>
        </w:tc>
      </w:tr>
      <w:tr w:rsidR="0039334C" w:rsidRPr="00217A29" w14:paraId="6C1BB933" w14:textId="77777777" w:rsidTr="00DD5ED6">
        <w:trPr>
          <w:trHeight w:val="115"/>
        </w:trPr>
        <w:tc>
          <w:tcPr>
            <w:tcW w:w="1223" w:type="dxa"/>
            <w:vMerge/>
            <w:tcBorders>
              <w:left w:val="nil"/>
            </w:tcBorders>
          </w:tcPr>
          <w:p w14:paraId="7A686E89"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13657E6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5b6w</w:t>
            </w:r>
          </w:p>
        </w:tc>
        <w:tc>
          <w:tcPr>
            <w:tcW w:w="1038" w:type="dxa"/>
            <w:tcBorders>
              <w:top w:val="nil"/>
              <w:left w:val="nil"/>
              <w:bottom w:val="nil"/>
              <w:right w:val="nil"/>
            </w:tcBorders>
          </w:tcPr>
          <w:p w14:paraId="37AFCA6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16ns</w:t>
            </w:r>
          </w:p>
        </w:tc>
        <w:tc>
          <w:tcPr>
            <w:tcW w:w="1170" w:type="dxa"/>
            <w:tcBorders>
              <w:top w:val="nil"/>
              <w:left w:val="nil"/>
              <w:bottom w:val="nil"/>
              <w:right w:val="nil"/>
            </w:tcBorders>
          </w:tcPr>
          <w:p w14:paraId="6DF5A597"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03DE8493"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0A90B27A"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1241C8A7" w14:textId="77777777" w:rsidTr="00DD5ED6">
        <w:trPr>
          <w:trHeight w:val="115"/>
        </w:trPr>
        <w:tc>
          <w:tcPr>
            <w:tcW w:w="1223" w:type="dxa"/>
            <w:vMerge/>
            <w:tcBorders>
              <w:left w:val="nil"/>
            </w:tcBorders>
          </w:tcPr>
          <w:p w14:paraId="7E9CD348"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16277C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5h2h</w:t>
            </w:r>
          </w:p>
        </w:tc>
        <w:tc>
          <w:tcPr>
            <w:tcW w:w="1038" w:type="dxa"/>
            <w:tcBorders>
              <w:top w:val="nil"/>
              <w:left w:val="nil"/>
              <w:bottom w:val="nil"/>
              <w:right w:val="nil"/>
            </w:tcBorders>
          </w:tcPr>
          <w:p w14:paraId="199ADD0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40ns</w:t>
            </w:r>
          </w:p>
        </w:tc>
        <w:tc>
          <w:tcPr>
            <w:tcW w:w="1170" w:type="dxa"/>
            <w:tcBorders>
              <w:top w:val="nil"/>
              <w:left w:val="nil"/>
              <w:bottom w:val="nil"/>
              <w:right w:val="nil"/>
            </w:tcBorders>
          </w:tcPr>
          <w:p w14:paraId="651EEC9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6E66ADB9"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742388BE"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66F6A0B8" w14:textId="77777777" w:rsidTr="00DD5ED6">
        <w:trPr>
          <w:trHeight w:val="115"/>
        </w:trPr>
        <w:tc>
          <w:tcPr>
            <w:tcW w:w="1223" w:type="dxa"/>
            <w:vMerge/>
            <w:tcBorders>
              <w:left w:val="nil"/>
            </w:tcBorders>
          </w:tcPr>
          <w:p w14:paraId="00BB6A3D"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30E76926"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5h2i</w:t>
            </w:r>
          </w:p>
        </w:tc>
        <w:tc>
          <w:tcPr>
            <w:tcW w:w="1038" w:type="dxa"/>
            <w:tcBorders>
              <w:top w:val="nil"/>
              <w:left w:val="nil"/>
              <w:bottom w:val="nil"/>
              <w:right w:val="nil"/>
            </w:tcBorders>
          </w:tcPr>
          <w:p w14:paraId="38B9991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110ns</w:t>
            </w:r>
          </w:p>
        </w:tc>
        <w:tc>
          <w:tcPr>
            <w:tcW w:w="1170" w:type="dxa"/>
            <w:tcBorders>
              <w:top w:val="nil"/>
              <w:left w:val="nil"/>
              <w:bottom w:val="nil"/>
              <w:right w:val="nil"/>
            </w:tcBorders>
          </w:tcPr>
          <w:p w14:paraId="4333EFB9"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3A8069DE"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B6A456F"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7B504C8" w14:textId="77777777" w:rsidTr="00DD5ED6">
        <w:trPr>
          <w:trHeight w:val="115"/>
        </w:trPr>
        <w:tc>
          <w:tcPr>
            <w:tcW w:w="1223" w:type="dxa"/>
            <w:vMerge/>
            <w:tcBorders>
              <w:left w:val="nil"/>
            </w:tcBorders>
          </w:tcPr>
          <w:p w14:paraId="1E80942E"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45C15A50"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5h2j</w:t>
            </w:r>
          </w:p>
        </w:tc>
        <w:tc>
          <w:tcPr>
            <w:tcW w:w="1038" w:type="dxa"/>
            <w:tcBorders>
              <w:top w:val="nil"/>
              <w:left w:val="nil"/>
              <w:bottom w:val="nil"/>
              <w:right w:val="nil"/>
            </w:tcBorders>
          </w:tcPr>
          <w:p w14:paraId="25B2925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290ns</w:t>
            </w:r>
          </w:p>
        </w:tc>
        <w:tc>
          <w:tcPr>
            <w:tcW w:w="1170" w:type="dxa"/>
            <w:tcBorders>
              <w:top w:val="nil"/>
              <w:left w:val="nil"/>
              <w:bottom w:val="nil"/>
              <w:right w:val="nil"/>
            </w:tcBorders>
          </w:tcPr>
          <w:p w14:paraId="4EA5074B"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2C15B378"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792D9A9"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67D5419A" w14:textId="77777777" w:rsidTr="00DD5ED6">
        <w:trPr>
          <w:trHeight w:val="115"/>
        </w:trPr>
        <w:tc>
          <w:tcPr>
            <w:tcW w:w="1223" w:type="dxa"/>
            <w:vMerge/>
            <w:tcBorders>
              <w:left w:val="nil"/>
            </w:tcBorders>
          </w:tcPr>
          <w:p w14:paraId="36854513"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31B7AA44"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5b6x</w:t>
            </w:r>
          </w:p>
        </w:tc>
        <w:tc>
          <w:tcPr>
            <w:tcW w:w="1038" w:type="dxa"/>
            <w:tcBorders>
              <w:top w:val="nil"/>
              <w:left w:val="nil"/>
              <w:bottom w:val="nil"/>
              <w:right w:val="nil"/>
            </w:tcBorders>
          </w:tcPr>
          <w:p w14:paraId="6E0BCDAA"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760ns</w:t>
            </w:r>
          </w:p>
        </w:tc>
        <w:tc>
          <w:tcPr>
            <w:tcW w:w="1170" w:type="dxa"/>
            <w:tcBorders>
              <w:top w:val="nil"/>
              <w:left w:val="nil"/>
              <w:bottom w:val="nil"/>
              <w:right w:val="nil"/>
            </w:tcBorders>
          </w:tcPr>
          <w:p w14:paraId="55DDE03A"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3BEFF972"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0041653B"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0D655A16" w14:textId="77777777" w:rsidTr="00DD5ED6">
        <w:trPr>
          <w:trHeight w:val="115"/>
        </w:trPr>
        <w:tc>
          <w:tcPr>
            <w:tcW w:w="1223" w:type="dxa"/>
            <w:vMerge/>
            <w:tcBorders>
              <w:left w:val="nil"/>
            </w:tcBorders>
          </w:tcPr>
          <w:p w14:paraId="7B42A17C"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463A19E4"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5h2k</w:t>
            </w:r>
          </w:p>
        </w:tc>
        <w:tc>
          <w:tcPr>
            <w:tcW w:w="1038" w:type="dxa"/>
            <w:tcBorders>
              <w:top w:val="nil"/>
              <w:left w:val="nil"/>
              <w:bottom w:val="nil"/>
              <w:right w:val="nil"/>
            </w:tcBorders>
          </w:tcPr>
          <w:p w14:paraId="3E0025C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2</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26B731D8"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5CFFF56C"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27714C9"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4E77F77" w14:textId="77777777" w:rsidTr="00DD5ED6">
        <w:trPr>
          <w:trHeight w:val="115"/>
        </w:trPr>
        <w:tc>
          <w:tcPr>
            <w:tcW w:w="1223" w:type="dxa"/>
            <w:vMerge/>
            <w:tcBorders>
              <w:left w:val="nil"/>
            </w:tcBorders>
          </w:tcPr>
          <w:p w14:paraId="043DA329"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4BA912F7"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5h2l</w:t>
            </w:r>
          </w:p>
        </w:tc>
        <w:tc>
          <w:tcPr>
            <w:tcW w:w="1038" w:type="dxa"/>
            <w:tcBorders>
              <w:top w:val="nil"/>
              <w:left w:val="nil"/>
              <w:bottom w:val="nil"/>
              <w:right w:val="nil"/>
            </w:tcBorders>
          </w:tcPr>
          <w:p w14:paraId="30497AFA"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5.25</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0DFF9C38"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2218CA31"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2C1175F8"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79FB869F" w14:textId="77777777" w:rsidTr="00DD5ED6">
        <w:trPr>
          <w:trHeight w:val="115"/>
        </w:trPr>
        <w:tc>
          <w:tcPr>
            <w:tcW w:w="1223" w:type="dxa"/>
            <w:vMerge/>
            <w:tcBorders>
              <w:left w:val="nil"/>
            </w:tcBorders>
          </w:tcPr>
          <w:p w14:paraId="3011BFF0"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33FD2D82"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5h2m</w:t>
            </w:r>
          </w:p>
        </w:tc>
        <w:tc>
          <w:tcPr>
            <w:tcW w:w="1038" w:type="dxa"/>
            <w:tcBorders>
              <w:top w:val="nil"/>
              <w:left w:val="nil"/>
              <w:bottom w:val="nil"/>
              <w:right w:val="nil"/>
            </w:tcBorders>
          </w:tcPr>
          <w:p w14:paraId="12C7AD7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13.8</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115694E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419A7619"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DB1684F"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735993F8" w14:textId="77777777" w:rsidTr="00DD5ED6">
        <w:trPr>
          <w:trHeight w:val="115"/>
        </w:trPr>
        <w:tc>
          <w:tcPr>
            <w:tcW w:w="1223" w:type="dxa"/>
            <w:vMerge/>
            <w:tcBorders>
              <w:left w:val="nil"/>
            </w:tcBorders>
          </w:tcPr>
          <w:p w14:paraId="41687F7E"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0EFD6D1"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5b6y</w:t>
            </w:r>
          </w:p>
        </w:tc>
        <w:tc>
          <w:tcPr>
            <w:tcW w:w="1038" w:type="dxa"/>
            <w:tcBorders>
              <w:top w:val="nil"/>
              <w:left w:val="nil"/>
              <w:bottom w:val="nil"/>
              <w:right w:val="nil"/>
            </w:tcBorders>
          </w:tcPr>
          <w:p w14:paraId="6C110C2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36.2</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650C3A8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212DA7A8"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F85995E"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D44110E" w14:textId="77777777" w:rsidTr="00DD5ED6">
        <w:trPr>
          <w:trHeight w:val="115"/>
        </w:trPr>
        <w:tc>
          <w:tcPr>
            <w:tcW w:w="1223" w:type="dxa"/>
            <w:vMerge/>
            <w:tcBorders>
              <w:left w:val="nil"/>
            </w:tcBorders>
          </w:tcPr>
          <w:p w14:paraId="4E8E95CB"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4F155A99"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5h2n</w:t>
            </w:r>
          </w:p>
        </w:tc>
        <w:tc>
          <w:tcPr>
            <w:tcW w:w="1038" w:type="dxa"/>
            <w:tcBorders>
              <w:top w:val="nil"/>
              <w:left w:val="nil"/>
              <w:bottom w:val="nil"/>
              <w:right w:val="nil"/>
            </w:tcBorders>
          </w:tcPr>
          <w:p w14:paraId="01416EDC"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95.2</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4646A824"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1FAD4C17"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64CD995"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0F1F14B" w14:textId="77777777" w:rsidTr="00DD5ED6">
        <w:trPr>
          <w:trHeight w:val="115"/>
        </w:trPr>
        <w:tc>
          <w:tcPr>
            <w:tcW w:w="1223" w:type="dxa"/>
            <w:vMerge/>
            <w:tcBorders>
              <w:left w:val="nil"/>
            </w:tcBorders>
          </w:tcPr>
          <w:p w14:paraId="174F1D75"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5129BD09"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5h2o</w:t>
            </w:r>
          </w:p>
        </w:tc>
        <w:tc>
          <w:tcPr>
            <w:tcW w:w="1038" w:type="dxa"/>
            <w:tcBorders>
              <w:top w:val="nil"/>
              <w:left w:val="nil"/>
              <w:bottom w:val="nil"/>
              <w:right w:val="nil"/>
            </w:tcBorders>
          </w:tcPr>
          <w:p w14:paraId="4945F090"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250</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1B2AAC8A"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4F29F702"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7F5EF81"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66FDDD60" w14:textId="77777777" w:rsidTr="00DD5ED6">
        <w:trPr>
          <w:trHeight w:val="115"/>
        </w:trPr>
        <w:tc>
          <w:tcPr>
            <w:tcW w:w="1223" w:type="dxa"/>
            <w:vMerge/>
            <w:tcBorders>
              <w:left w:val="nil"/>
            </w:tcBorders>
          </w:tcPr>
          <w:p w14:paraId="6CC2A462"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02293127"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5h2p</w:t>
            </w:r>
          </w:p>
        </w:tc>
        <w:tc>
          <w:tcPr>
            <w:tcW w:w="1038" w:type="dxa"/>
            <w:tcBorders>
              <w:top w:val="nil"/>
              <w:left w:val="nil"/>
              <w:bottom w:val="nil"/>
              <w:right w:val="nil"/>
            </w:tcBorders>
          </w:tcPr>
          <w:p w14:paraId="014F47D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657</w:t>
            </w:r>
            <w:r w:rsidRPr="00217A29">
              <w:rPr>
                <w:rFonts w:ascii="Palatino" w:hAnsi="Palatino"/>
                <w:color w:val="000000" w:themeColor="text1"/>
                <w:sz w:val="20"/>
                <w:szCs w:val="20"/>
              </w:rPr>
              <w:sym w:font="Symbol" w:char="F06D"/>
            </w:r>
            <w:r w:rsidRPr="00217A29">
              <w:rPr>
                <w:rFonts w:ascii="Palatino" w:hAnsi="Palatino"/>
                <w:color w:val="000000" w:themeColor="text1"/>
                <w:sz w:val="20"/>
                <w:szCs w:val="20"/>
              </w:rPr>
              <w:t>s</w:t>
            </w:r>
          </w:p>
        </w:tc>
        <w:tc>
          <w:tcPr>
            <w:tcW w:w="1170" w:type="dxa"/>
            <w:tcBorders>
              <w:top w:val="nil"/>
              <w:left w:val="nil"/>
              <w:bottom w:val="nil"/>
              <w:right w:val="nil"/>
            </w:tcBorders>
          </w:tcPr>
          <w:p w14:paraId="5984A095"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501166EA"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46A5F03B"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2D5F8C0A" w14:textId="77777777" w:rsidTr="00DD5ED6">
        <w:trPr>
          <w:trHeight w:val="115"/>
        </w:trPr>
        <w:tc>
          <w:tcPr>
            <w:tcW w:w="1223" w:type="dxa"/>
            <w:vMerge/>
            <w:tcBorders>
              <w:left w:val="nil"/>
            </w:tcBorders>
          </w:tcPr>
          <w:p w14:paraId="342292D4"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single" w:sz="4" w:space="0" w:color="auto"/>
              <w:right w:val="nil"/>
            </w:tcBorders>
          </w:tcPr>
          <w:p w14:paraId="2D679886"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5b6z</w:t>
            </w:r>
          </w:p>
        </w:tc>
        <w:tc>
          <w:tcPr>
            <w:tcW w:w="1038" w:type="dxa"/>
            <w:tcBorders>
              <w:top w:val="nil"/>
              <w:left w:val="nil"/>
              <w:bottom w:val="single" w:sz="4" w:space="0" w:color="auto"/>
              <w:right w:val="nil"/>
            </w:tcBorders>
          </w:tcPr>
          <w:p w14:paraId="7A53076C"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1.725ms</w:t>
            </w:r>
          </w:p>
        </w:tc>
        <w:tc>
          <w:tcPr>
            <w:tcW w:w="1170" w:type="dxa"/>
            <w:tcBorders>
              <w:top w:val="nil"/>
              <w:left w:val="nil"/>
              <w:bottom w:val="single" w:sz="4" w:space="0" w:color="auto"/>
              <w:right w:val="nil"/>
            </w:tcBorders>
          </w:tcPr>
          <w:p w14:paraId="5E50A3A8"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vAlign w:val="center"/>
          </w:tcPr>
          <w:p w14:paraId="56A353C0"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2D0BFEB"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061A38E3" w14:textId="77777777" w:rsidTr="00DD5ED6">
        <w:tc>
          <w:tcPr>
            <w:tcW w:w="1223" w:type="dxa"/>
            <w:vMerge w:val="restart"/>
            <w:tcBorders>
              <w:left w:val="nil"/>
            </w:tcBorders>
            <w:vAlign w:val="center"/>
          </w:tcPr>
          <w:p w14:paraId="458C242A" w14:textId="77777777" w:rsidR="0039334C" w:rsidRPr="00217A29" w:rsidRDefault="0039334C" w:rsidP="00DD5ED6">
            <w:pPr>
              <w:pStyle w:val="NormalWeb"/>
              <w:spacing w:line="276" w:lineRule="auto"/>
              <w:rPr>
                <w:rFonts w:ascii="Palatino" w:hAnsi="Palatino"/>
                <w:color w:val="000000" w:themeColor="text1"/>
                <w:sz w:val="20"/>
                <w:szCs w:val="20"/>
              </w:rPr>
            </w:pPr>
            <w:proofErr w:type="spellStart"/>
            <w:r w:rsidRPr="00217A29">
              <w:rPr>
                <w:rFonts w:ascii="Palatino" w:hAnsi="Palatino"/>
                <w:color w:val="000000" w:themeColor="text1"/>
                <w:sz w:val="20"/>
                <w:szCs w:val="20"/>
              </w:rPr>
              <w:t>Nogly</w:t>
            </w:r>
            <w:proofErr w:type="spellEnd"/>
            <w:r w:rsidRPr="00217A29">
              <w:rPr>
                <w:rFonts w:ascii="Palatino" w:hAnsi="Palatino"/>
                <w:color w:val="000000" w:themeColor="text1"/>
                <w:sz w:val="20"/>
                <w:szCs w:val="20"/>
              </w:rPr>
              <w:t xml:space="preserve"> et al. Science 361, eaat0094, 2018</w:t>
            </w:r>
          </w:p>
        </w:tc>
        <w:tc>
          <w:tcPr>
            <w:tcW w:w="709" w:type="dxa"/>
            <w:tcBorders>
              <w:bottom w:val="nil"/>
              <w:right w:val="nil"/>
            </w:tcBorders>
          </w:tcPr>
          <w:p w14:paraId="2C543281"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6g7h</w:t>
            </w:r>
          </w:p>
        </w:tc>
        <w:tc>
          <w:tcPr>
            <w:tcW w:w="1038" w:type="dxa"/>
            <w:tcBorders>
              <w:left w:val="nil"/>
              <w:bottom w:val="nil"/>
              <w:right w:val="nil"/>
            </w:tcBorders>
          </w:tcPr>
          <w:p w14:paraId="35225123"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dark6</w:t>
            </w:r>
          </w:p>
        </w:tc>
        <w:tc>
          <w:tcPr>
            <w:tcW w:w="1170" w:type="dxa"/>
            <w:tcBorders>
              <w:left w:val="nil"/>
              <w:bottom w:val="nil"/>
              <w:right w:val="nil"/>
            </w:tcBorders>
          </w:tcPr>
          <w:p w14:paraId="008F7021"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1.5 Å</w:t>
            </w:r>
          </w:p>
        </w:tc>
        <w:tc>
          <w:tcPr>
            <w:tcW w:w="1800" w:type="dxa"/>
            <w:vMerge w:val="restart"/>
            <w:tcBorders>
              <w:left w:val="nil"/>
              <w:right w:val="nil"/>
            </w:tcBorders>
            <w:vAlign w:val="center"/>
          </w:tcPr>
          <w:p w14:paraId="19CD4F3F"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 xml:space="preserve">Retinal fully isomerizes at 10 ps.  But the </w:t>
            </w:r>
            <w:r>
              <w:rPr>
                <w:rFonts w:ascii="Palatino" w:hAnsi="Palatino"/>
                <w:color w:val="000000" w:themeColor="text1"/>
                <w:sz w:val="20"/>
                <w:szCs w:val="20"/>
              </w:rPr>
              <w:t xml:space="preserve">SB </w:t>
            </w:r>
            <w:r w:rsidRPr="00217A29">
              <w:rPr>
                <w:rFonts w:ascii="Palatino" w:hAnsi="Palatino"/>
                <w:color w:val="000000" w:themeColor="text1"/>
                <w:sz w:val="20"/>
                <w:szCs w:val="20"/>
              </w:rPr>
              <w:t>water dissociates earlier.</w:t>
            </w:r>
          </w:p>
        </w:tc>
        <w:tc>
          <w:tcPr>
            <w:tcW w:w="3484" w:type="dxa"/>
            <w:vMerge w:val="restart"/>
            <w:tcBorders>
              <w:left w:val="nil"/>
              <w:right w:val="nil"/>
            </w:tcBorders>
            <w:vAlign w:val="center"/>
          </w:tcPr>
          <w:p w14:paraId="7465F2A2"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 xml:space="preserve">The short-delay datasets contribute to the structures of I’ </w:t>
            </w:r>
            <w:r w:rsidRPr="005442BB">
              <w:rPr>
                <w:rFonts w:ascii="Palatino" w:hAnsi="Palatino"/>
                <w:color w:val="000000" w:themeColor="text1"/>
                <w:sz w:val="20"/>
                <w:szCs w:val="20"/>
              </w:rPr>
              <w:sym w:font="Wingdings" w:char="F0E0"/>
            </w:r>
            <w:r>
              <w:rPr>
                <w:rFonts w:ascii="Palatino" w:hAnsi="Palatino"/>
                <w:color w:val="000000" w:themeColor="text1"/>
                <w:sz w:val="20"/>
                <w:szCs w:val="20"/>
              </w:rPr>
              <w:t xml:space="preserve"> I </w:t>
            </w:r>
            <w:r w:rsidRPr="005442BB">
              <w:rPr>
                <w:rFonts w:ascii="Palatino" w:hAnsi="Palatino"/>
                <w:color w:val="000000" w:themeColor="text1"/>
                <w:sz w:val="20"/>
                <w:szCs w:val="20"/>
              </w:rPr>
              <w:sym w:font="Wingdings" w:char="F0E0"/>
            </w:r>
            <w:r>
              <w:rPr>
                <w:rFonts w:ascii="Palatino" w:hAnsi="Palatino"/>
                <w:color w:val="000000" w:themeColor="text1"/>
                <w:sz w:val="20"/>
                <w:szCs w:val="20"/>
              </w:rPr>
              <w:t xml:space="preserve"> J’ </w:t>
            </w:r>
            <w:r w:rsidRPr="005442BB">
              <w:rPr>
                <w:rFonts w:ascii="Palatino" w:hAnsi="Palatino"/>
                <w:color w:val="000000" w:themeColor="text1"/>
                <w:sz w:val="20"/>
                <w:szCs w:val="20"/>
              </w:rPr>
              <w:sym w:font="Wingdings" w:char="F0E0"/>
            </w:r>
            <w:r>
              <w:rPr>
                <w:rFonts w:ascii="Palatino" w:hAnsi="Palatino"/>
                <w:color w:val="000000" w:themeColor="text1"/>
                <w:sz w:val="20"/>
                <w:szCs w:val="20"/>
              </w:rPr>
              <w:t xml:space="preserve"> J.  </w:t>
            </w:r>
            <w:r w:rsidRPr="00217A29">
              <w:rPr>
                <w:rFonts w:ascii="Palatino" w:hAnsi="Palatino"/>
                <w:color w:val="000000" w:themeColor="text1"/>
                <w:sz w:val="20"/>
                <w:szCs w:val="20"/>
              </w:rPr>
              <w:t xml:space="preserve">Photoisomerization </w:t>
            </w:r>
            <w:r>
              <w:rPr>
                <w:rFonts w:ascii="Palatino" w:hAnsi="Palatino"/>
                <w:color w:val="000000" w:themeColor="text1"/>
                <w:sz w:val="20"/>
                <w:szCs w:val="20"/>
              </w:rPr>
              <w:t xml:space="preserve">in J’; </w:t>
            </w:r>
            <w:r w:rsidRPr="00217A29">
              <w:rPr>
                <w:rFonts w:ascii="Palatino" w:hAnsi="Palatino"/>
                <w:color w:val="000000" w:themeColor="text1"/>
                <w:sz w:val="20"/>
                <w:szCs w:val="20"/>
              </w:rPr>
              <w:t xml:space="preserve">retinal binding pocket expansion before 1 </w:t>
            </w:r>
            <w:proofErr w:type="spellStart"/>
            <w:r w:rsidRPr="00217A29">
              <w:rPr>
                <w:rFonts w:ascii="Palatino" w:hAnsi="Palatino"/>
                <w:color w:val="000000" w:themeColor="text1"/>
                <w:sz w:val="20"/>
                <w:szCs w:val="20"/>
              </w:rPr>
              <w:t>ps</w:t>
            </w:r>
            <w:proofErr w:type="spellEnd"/>
            <w:r>
              <w:rPr>
                <w:rFonts w:ascii="Palatino" w:hAnsi="Palatino"/>
                <w:color w:val="000000" w:themeColor="text1"/>
                <w:sz w:val="20"/>
                <w:szCs w:val="20"/>
              </w:rPr>
              <w:t xml:space="preserve"> in I and</w:t>
            </w:r>
            <w:r w:rsidRPr="00217A29">
              <w:rPr>
                <w:rFonts w:ascii="Palatino" w:hAnsi="Palatino"/>
                <w:color w:val="000000" w:themeColor="text1"/>
                <w:sz w:val="20"/>
                <w:szCs w:val="20"/>
              </w:rPr>
              <w:t xml:space="preserve"> contraction at 10 </w:t>
            </w:r>
            <w:proofErr w:type="spellStart"/>
            <w:r w:rsidRPr="00217A29">
              <w:rPr>
                <w:rFonts w:ascii="Palatino" w:hAnsi="Palatino"/>
                <w:color w:val="000000" w:themeColor="text1"/>
                <w:sz w:val="20"/>
                <w:szCs w:val="20"/>
              </w:rPr>
              <w:t>ps</w:t>
            </w:r>
            <w:proofErr w:type="spellEnd"/>
            <w:r>
              <w:rPr>
                <w:rFonts w:ascii="Palatino" w:hAnsi="Palatino"/>
                <w:color w:val="000000" w:themeColor="text1"/>
                <w:sz w:val="20"/>
                <w:szCs w:val="20"/>
              </w:rPr>
              <w:t xml:space="preserve"> in J</w:t>
            </w:r>
          </w:p>
        </w:tc>
      </w:tr>
      <w:tr w:rsidR="0039334C" w:rsidRPr="00217A29" w14:paraId="55A9FC18" w14:textId="77777777" w:rsidTr="00DD5ED6">
        <w:tc>
          <w:tcPr>
            <w:tcW w:w="1223" w:type="dxa"/>
            <w:vMerge/>
            <w:tcBorders>
              <w:left w:val="nil"/>
            </w:tcBorders>
          </w:tcPr>
          <w:p w14:paraId="37051A48"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59CE1060"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6g7i</w:t>
            </w:r>
          </w:p>
        </w:tc>
        <w:tc>
          <w:tcPr>
            <w:tcW w:w="1038" w:type="dxa"/>
            <w:tcBorders>
              <w:top w:val="nil"/>
              <w:left w:val="nil"/>
              <w:bottom w:val="nil"/>
              <w:right w:val="nil"/>
            </w:tcBorders>
          </w:tcPr>
          <w:p w14:paraId="51571302"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49-406fs</w:t>
            </w:r>
          </w:p>
        </w:tc>
        <w:tc>
          <w:tcPr>
            <w:tcW w:w="1170" w:type="dxa"/>
            <w:tcBorders>
              <w:top w:val="nil"/>
              <w:left w:val="nil"/>
              <w:bottom w:val="nil"/>
              <w:right w:val="nil"/>
            </w:tcBorders>
          </w:tcPr>
          <w:p w14:paraId="14810F4B"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1.9 Å</w:t>
            </w:r>
          </w:p>
        </w:tc>
        <w:tc>
          <w:tcPr>
            <w:tcW w:w="1800" w:type="dxa"/>
            <w:vMerge/>
            <w:tcBorders>
              <w:left w:val="nil"/>
              <w:right w:val="nil"/>
            </w:tcBorders>
            <w:vAlign w:val="center"/>
          </w:tcPr>
          <w:p w14:paraId="36346260"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2AEC436"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06C854D3" w14:textId="77777777" w:rsidTr="00DD5ED6">
        <w:tc>
          <w:tcPr>
            <w:tcW w:w="1223" w:type="dxa"/>
            <w:vMerge/>
            <w:tcBorders>
              <w:left w:val="nil"/>
            </w:tcBorders>
          </w:tcPr>
          <w:p w14:paraId="75391290"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298A0318"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6g7j</w:t>
            </w:r>
          </w:p>
        </w:tc>
        <w:tc>
          <w:tcPr>
            <w:tcW w:w="1038" w:type="dxa"/>
            <w:tcBorders>
              <w:top w:val="nil"/>
              <w:left w:val="nil"/>
              <w:bottom w:val="nil"/>
              <w:right w:val="nil"/>
            </w:tcBorders>
          </w:tcPr>
          <w:p w14:paraId="2EA56F09"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457-646fs</w:t>
            </w:r>
          </w:p>
        </w:tc>
        <w:tc>
          <w:tcPr>
            <w:tcW w:w="1170" w:type="dxa"/>
            <w:tcBorders>
              <w:top w:val="nil"/>
              <w:left w:val="nil"/>
              <w:bottom w:val="nil"/>
              <w:right w:val="nil"/>
            </w:tcBorders>
          </w:tcPr>
          <w:p w14:paraId="1BA17268"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1.9 Å</w:t>
            </w:r>
          </w:p>
        </w:tc>
        <w:tc>
          <w:tcPr>
            <w:tcW w:w="1800" w:type="dxa"/>
            <w:vMerge/>
            <w:tcBorders>
              <w:left w:val="nil"/>
              <w:right w:val="nil"/>
            </w:tcBorders>
            <w:vAlign w:val="center"/>
          </w:tcPr>
          <w:p w14:paraId="1BAEB3DC"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836BB9E"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69A8101C" w14:textId="77777777" w:rsidTr="00DD5ED6">
        <w:tc>
          <w:tcPr>
            <w:tcW w:w="1223" w:type="dxa"/>
            <w:vMerge/>
            <w:tcBorders>
              <w:left w:val="nil"/>
            </w:tcBorders>
          </w:tcPr>
          <w:p w14:paraId="4E6ACD83"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725AF088"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6g7k</w:t>
            </w:r>
          </w:p>
        </w:tc>
        <w:tc>
          <w:tcPr>
            <w:tcW w:w="1038" w:type="dxa"/>
            <w:tcBorders>
              <w:top w:val="nil"/>
              <w:left w:val="nil"/>
              <w:bottom w:val="nil"/>
              <w:right w:val="nil"/>
            </w:tcBorders>
          </w:tcPr>
          <w:p w14:paraId="25CA785C"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10ps</w:t>
            </w:r>
          </w:p>
        </w:tc>
        <w:tc>
          <w:tcPr>
            <w:tcW w:w="1170" w:type="dxa"/>
            <w:tcBorders>
              <w:top w:val="nil"/>
              <w:left w:val="nil"/>
              <w:bottom w:val="nil"/>
              <w:right w:val="nil"/>
            </w:tcBorders>
          </w:tcPr>
          <w:p w14:paraId="63782B1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1.9 Å</w:t>
            </w:r>
          </w:p>
        </w:tc>
        <w:tc>
          <w:tcPr>
            <w:tcW w:w="1800" w:type="dxa"/>
            <w:vMerge/>
            <w:tcBorders>
              <w:left w:val="nil"/>
              <w:right w:val="nil"/>
            </w:tcBorders>
            <w:vAlign w:val="center"/>
          </w:tcPr>
          <w:p w14:paraId="141966F3"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2D8F3319"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B371801" w14:textId="77777777" w:rsidTr="00DD5ED6">
        <w:tc>
          <w:tcPr>
            <w:tcW w:w="1223" w:type="dxa"/>
            <w:vMerge/>
            <w:tcBorders>
              <w:left w:val="nil"/>
            </w:tcBorders>
          </w:tcPr>
          <w:p w14:paraId="6F7EEDB1"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single" w:sz="4" w:space="0" w:color="auto"/>
              <w:right w:val="nil"/>
            </w:tcBorders>
          </w:tcPr>
          <w:p w14:paraId="7371923D"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6g7l</w:t>
            </w:r>
          </w:p>
        </w:tc>
        <w:tc>
          <w:tcPr>
            <w:tcW w:w="1038" w:type="dxa"/>
            <w:tcBorders>
              <w:top w:val="nil"/>
              <w:left w:val="nil"/>
              <w:bottom w:val="single" w:sz="4" w:space="0" w:color="auto"/>
              <w:right w:val="nil"/>
            </w:tcBorders>
          </w:tcPr>
          <w:p w14:paraId="67042093"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8.33ms</w:t>
            </w:r>
          </w:p>
        </w:tc>
        <w:tc>
          <w:tcPr>
            <w:tcW w:w="1170" w:type="dxa"/>
            <w:tcBorders>
              <w:top w:val="nil"/>
              <w:left w:val="nil"/>
              <w:bottom w:val="single" w:sz="4" w:space="0" w:color="auto"/>
              <w:right w:val="nil"/>
            </w:tcBorders>
          </w:tcPr>
          <w:p w14:paraId="24628F54"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1.9 Å</w:t>
            </w:r>
          </w:p>
        </w:tc>
        <w:tc>
          <w:tcPr>
            <w:tcW w:w="1800" w:type="dxa"/>
            <w:vMerge/>
            <w:tcBorders>
              <w:left w:val="nil"/>
              <w:right w:val="nil"/>
            </w:tcBorders>
            <w:vAlign w:val="center"/>
          </w:tcPr>
          <w:p w14:paraId="742160E1"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3F8E9000"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73F0E8A8" w14:textId="77777777" w:rsidTr="00DD5ED6">
        <w:tc>
          <w:tcPr>
            <w:tcW w:w="1223" w:type="dxa"/>
            <w:vMerge w:val="restart"/>
            <w:tcBorders>
              <w:left w:val="nil"/>
            </w:tcBorders>
            <w:vAlign w:val="center"/>
          </w:tcPr>
          <w:p w14:paraId="6BA0CD8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 xml:space="preserve">Kovacs et al. Nat. </w:t>
            </w:r>
            <w:proofErr w:type="spellStart"/>
            <w:r w:rsidRPr="00217A29">
              <w:rPr>
                <w:rFonts w:ascii="Palatino" w:hAnsi="Palatino"/>
                <w:color w:val="000000" w:themeColor="text1"/>
                <w:sz w:val="20"/>
                <w:szCs w:val="20"/>
              </w:rPr>
              <w:t>Commun</w:t>
            </w:r>
            <w:proofErr w:type="spellEnd"/>
            <w:r w:rsidRPr="00217A29">
              <w:rPr>
                <w:rFonts w:ascii="Palatino" w:hAnsi="Palatino"/>
                <w:color w:val="000000" w:themeColor="text1"/>
                <w:sz w:val="20"/>
                <w:szCs w:val="20"/>
              </w:rPr>
              <w:t>. 10, 3177, 2019</w:t>
            </w:r>
          </w:p>
        </w:tc>
        <w:tc>
          <w:tcPr>
            <w:tcW w:w="709" w:type="dxa"/>
            <w:tcBorders>
              <w:bottom w:val="nil"/>
              <w:right w:val="nil"/>
            </w:tcBorders>
          </w:tcPr>
          <w:p w14:paraId="12FAAFB5"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6ga1</w:t>
            </w:r>
          </w:p>
        </w:tc>
        <w:tc>
          <w:tcPr>
            <w:tcW w:w="1038" w:type="dxa"/>
            <w:tcBorders>
              <w:left w:val="nil"/>
              <w:bottom w:val="nil"/>
              <w:right w:val="nil"/>
            </w:tcBorders>
          </w:tcPr>
          <w:p w14:paraId="3633749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dark1</w:t>
            </w:r>
          </w:p>
        </w:tc>
        <w:tc>
          <w:tcPr>
            <w:tcW w:w="1170" w:type="dxa"/>
            <w:tcBorders>
              <w:left w:val="nil"/>
              <w:bottom w:val="nil"/>
              <w:right w:val="nil"/>
            </w:tcBorders>
          </w:tcPr>
          <w:p w14:paraId="6F0D9E46"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1.7 Å</w:t>
            </w:r>
          </w:p>
        </w:tc>
        <w:tc>
          <w:tcPr>
            <w:tcW w:w="1800" w:type="dxa"/>
            <w:vMerge w:val="restart"/>
            <w:tcBorders>
              <w:left w:val="nil"/>
              <w:right w:val="nil"/>
            </w:tcBorders>
            <w:vAlign w:val="center"/>
          </w:tcPr>
          <w:p w14:paraId="787DCB34"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 xml:space="preserve">The exceedingly </w:t>
            </w:r>
            <w:proofErr w:type="gramStart"/>
            <w:r w:rsidRPr="00217A29">
              <w:rPr>
                <w:rFonts w:ascii="Palatino" w:hAnsi="Palatino"/>
                <w:color w:val="000000" w:themeColor="text1"/>
                <w:sz w:val="20"/>
                <w:szCs w:val="20"/>
              </w:rPr>
              <w:t>high power</w:t>
            </w:r>
            <w:proofErr w:type="gramEnd"/>
            <w:r w:rsidRPr="00217A29">
              <w:rPr>
                <w:rFonts w:ascii="Palatino" w:hAnsi="Palatino"/>
                <w:color w:val="000000" w:themeColor="text1"/>
                <w:sz w:val="20"/>
                <w:szCs w:val="20"/>
              </w:rPr>
              <w:t xml:space="preserve"> density of the pump laser causes two-photon absorption.  Vibrational motions </w:t>
            </w:r>
            <w:r>
              <w:rPr>
                <w:rFonts w:ascii="Palatino" w:hAnsi="Palatino"/>
                <w:color w:val="000000" w:themeColor="text1"/>
                <w:sz w:val="20"/>
                <w:szCs w:val="20"/>
              </w:rPr>
              <w:t>were</w:t>
            </w:r>
            <w:r w:rsidRPr="00217A29">
              <w:rPr>
                <w:rFonts w:ascii="Palatino" w:hAnsi="Palatino"/>
                <w:color w:val="000000" w:themeColor="text1"/>
                <w:sz w:val="20"/>
                <w:szCs w:val="20"/>
              </w:rPr>
              <w:t xml:space="preserve"> observed.</w:t>
            </w:r>
          </w:p>
        </w:tc>
        <w:tc>
          <w:tcPr>
            <w:tcW w:w="3484" w:type="dxa"/>
            <w:vMerge w:val="restart"/>
            <w:tcBorders>
              <w:left w:val="nil"/>
              <w:right w:val="nil"/>
            </w:tcBorders>
            <w:vAlign w:val="center"/>
          </w:tcPr>
          <w:p w14:paraId="0CE979C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The sub-</w:t>
            </w:r>
            <w:proofErr w:type="spellStart"/>
            <w:r>
              <w:rPr>
                <w:rFonts w:ascii="Palatino" w:hAnsi="Palatino"/>
                <w:color w:val="000000" w:themeColor="text1"/>
                <w:sz w:val="20"/>
                <w:szCs w:val="20"/>
              </w:rPr>
              <w:t>ps</w:t>
            </w:r>
            <w:proofErr w:type="spellEnd"/>
            <w:r>
              <w:rPr>
                <w:rFonts w:ascii="Palatino" w:hAnsi="Palatino"/>
                <w:color w:val="000000" w:themeColor="text1"/>
                <w:sz w:val="20"/>
                <w:szCs w:val="20"/>
              </w:rPr>
              <w:t xml:space="preserve"> datasets exhibit e</w:t>
            </w:r>
            <w:r w:rsidRPr="00217A29">
              <w:rPr>
                <w:rFonts w:ascii="Palatino" w:hAnsi="Palatino"/>
                <w:color w:val="000000" w:themeColor="text1"/>
                <w:sz w:val="20"/>
                <w:szCs w:val="20"/>
              </w:rPr>
              <w:t>xtensive vibrations at various frequencies</w:t>
            </w:r>
            <w:r>
              <w:rPr>
                <w:rFonts w:ascii="Palatino" w:hAnsi="Palatino"/>
                <w:color w:val="000000" w:themeColor="text1"/>
                <w:sz w:val="20"/>
                <w:szCs w:val="20"/>
              </w:rPr>
              <w:t>.  The vibrational signals</w:t>
            </w:r>
            <w:r w:rsidRPr="00217A29">
              <w:rPr>
                <w:rFonts w:ascii="Palatino" w:hAnsi="Palatino"/>
                <w:color w:val="000000" w:themeColor="text1"/>
                <w:sz w:val="20"/>
                <w:szCs w:val="20"/>
              </w:rPr>
              <w:t xml:space="preserve"> are </w:t>
            </w:r>
            <w:r>
              <w:rPr>
                <w:rFonts w:ascii="Palatino" w:hAnsi="Palatino"/>
                <w:color w:val="000000" w:themeColor="text1"/>
                <w:sz w:val="20"/>
                <w:szCs w:val="20"/>
              </w:rPr>
              <w:t xml:space="preserve">widespread over the entire </w:t>
            </w:r>
            <w:proofErr w:type="spellStart"/>
            <w:r>
              <w:rPr>
                <w:rFonts w:ascii="Palatino" w:hAnsi="Palatino"/>
                <w:color w:val="000000" w:themeColor="text1"/>
                <w:sz w:val="20"/>
                <w:szCs w:val="20"/>
              </w:rPr>
              <w:t>bR</w:t>
            </w:r>
            <w:proofErr w:type="spellEnd"/>
            <w:r>
              <w:rPr>
                <w:rFonts w:ascii="Palatino" w:hAnsi="Palatino"/>
                <w:color w:val="000000" w:themeColor="text1"/>
                <w:sz w:val="20"/>
                <w:szCs w:val="20"/>
              </w:rPr>
              <w:t xml:space="preserve"> molecule and </w:t>
            </w:r>
            <w:r w:rsidRPr="00217A29">
              <w:rPr>
                <w:rFonts w:ascii="Palatino" w:hAnsi="Palatino"/>
                <w:color w:val="000000" w:themeColor="text1"/>
                <w:sz w:val="20"/>
                <w:szCs w:val="20"/>
              </w:rPr>
              <w:t>not associated with any structural elements.</w:t>
            </w:r>
            <w:r>
              <w:rPr>
                <w:rFonts w:ascii="Palatino" w:hAnsi="Palatino"/>
                <w:color w:val="000000" w:themeColor="text1"/>
                <w:sz w:val="20"/>
                <w:szCs w:val="20"/>
              </w:rPr>
              <w:t xml:space="preserve">  Therefore, it is concluded that these global vibrations are intrinsic properties of </w:t>
            </w:r>
            <w:proofErr w:type="spellStart"/>
            <w:r>
              <w:rPr>
                <w:rFonts w:ascii="Palatino" w:hAnsi="Palatino"/>
                <w:color w:val="000000" w:themeColor="text1"/>
                <w:sz w:val="20"/>
                <w:szCs w:val="20"/>
              </w:rPr>
              <w:t>bR</w:t>
            </w:r>
            <w:proofErr w:type="spellEnd"/>
            <w:r>
              <w:rPr>
                <w:rFonts w:ascii="Palatino" w:hAnsi="Palatino"/>
                <w:color w:val="000000" w:themeColor="text1"/>
                <w:sz w:val="20"/>
                <w:szCs w:val="20"/>
              </w:rPr>
              <w:t xml:space="preserve"> induced by short laser pulses.  The vibrational signals are more prominent under higher power density of the laser pulses.  However, these vibrations are irrelevant to the light-driven proton pumping function of </w:t>
            </w:r>
            <w:proofErr w:type="spellStart"/>
            <w:r>
              <w:rPr>
                <w:rFonts w:ascii="Palatino" w:hAnsi="Palatino"/>
                <w:color w:val="000000" w:themeColor="text1"/>
                <w:sz w:val="20"/>
                <w:szCs w:val="20"/>
              </w:rPr>
              <w:t>bR.</w:t>
            </w:r>
            <w:proofErr w:type="spellEnd"/>
          </w:p>
        </w:tc>
      </w:tr>
      <w:tr w:rsidR="0039334C" w:rsidRPr="00217A29" w14:paraId="165BB1E3" w14:textId="77777777" w:rsidTr="00DD5ED6">
        <w:tc>
          <w:tcPr>
            <w:tcW w:w="1223" w:type="dxa"/>
            <w:vMerge/>
            <w:tcBorders>
              <w:left w:val="nil"/>
            </w:tcBorders>
          </w:tcPr>
          <w:p w14:paraId="7C1A656C"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1BB1CBC2"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6ga2</w:t>
            </w:r>
          </w:p>
        </w:tc>
        <w:tc>
          <w:tcPr>
            <w:tcW w:w="1038" w:type="dxa"/>
            <w:tcBorders>
              <w:top w:val="nil"/>
              <w:left w:val="nil"/>
              <w:bottom w:val="nil"/>
              <w:right w:val="nil"/>
            </w:tcBorders>
          </w:tcPr>
          <w:p w14:paraId="0EE29E22"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dark2</w:t>
            </w:r>
          </w:p>
        </w:tc>
        <w:tc>
          <w:tcPr>
            <w:tcW w:w="1170" w:type="dxa"/>
            <w:tcBorders>
              <w:top w:val="nil"/>
              <w:left w:val="nil"/>
              <w:bottom w:val="nil"/>
              <w:right w:val="nil"/>
            </w:tcBorders>
          </w:tcPr>
          <w:p w14:paraId="26D92AD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744E0FB6"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71BDB87E"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552615F" w14:textId="77777777" w:rsidTr="00DD5ED6">
        <w:tc>
          <w:tcPr>
            <w:tcW w:w="1223" w:type="dxa"/>
            <w:vMerge/>
            <w:tcBorders>
              <w:left w:val="nil"/>
            </w:tcBorders>
          </w:tcPr>
          <w:p w14:paraId="56C40B89"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39FB57D8"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6rmk</w:t>
            </w:r>
          </w:p>
        </w:tc>
        <w:tc>
          <w:tcPr>
            <w:tcW w:w="1038" w:type="dxa"/>
            <w:tcBorders>
              <w:top w:val="nil"/>
              <w:left w:val="nil"/>
              <w:bottom w:val="nil"/>
              <w:right w:val="nil"/>
            </w:tcBorders>
          </w:tcPr>
          <w:p w14:paraId="7A65C179"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dark3</w:t>
            </w:r>
          </w:p>
        </w:tc>
        <w:tc>
          <w:tcPr>
            <w:tcW w:w="1170" w:type="dxa"/>
            <w:tcBorders>
              <w:top w:val="nil"/>
              <w:left w:val="nil"/>
              <w:bottom w:val="nil"/>
              <w:right w:val="nil"/>
            </w:tcBorders>
          </w:tcPr>
          <w:p w14:paraId="2CBC2E27"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4A4356EC"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46A83E3"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729D3142" w14:textId="77777777" w:rsidTr="00DD5ED6">
        <w:tc>
          <w:tcPr>
            <w:tcW w:w="1223" w:type="dxa"/>
            <w:vMerge/>
            <w:tcBorders>
              <w:left w:val="nil"/>
            </w:tcBorders>
          </w:tcPr>
          <w:p w14:paraId="546E6568"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2A353634"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6ga7</w:t>
            </w:r>
          </w:p>
        </w:tc>
        <w:tc>
          <w:tcPr>
            <w:tcW w:w="1038" w:type="dxa"/>
            <w:tcBorders>
              <w:top w:val="nil"/>
              <w:left w:val="nil"/>
              <w:bottom w:val="nil"/>
              <w:right w:val="nil"/>
            </w:tcBorders>
          </w:tcPr>
          <w:p w14:paraId="566D2030"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240fs</w:t>
            </w:r>
          </w:p>
        </w:tc>
        <w:tc>
          <w:tcPr>
            <w:tcW w:w="1170" w:type="dxa"/>
            <w:tcBorders>
              <w:top w:val="nil"/>
              <w:left w:val="nil"/>
              <w:bottom w:val="nil"/>
              <w:right w:val="nil"/>
            </w:tcBorders>
          </w:tcPr>
          <w:p w14:paraId="3378AD3A"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379A511A"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362633C7"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A7B3D06" w14:textId="77777777" w:rsidTr="00DD5ED6">
        <w:tc>
          <w:tcPr>
            <w:tcW w:w="1223" w:type="dxa"/>
            <w:vMerge/>
            <w:tcBorders>
              <w:left w:val="nil"/>
            </w:tcBorders>
          </w:tcPr>
          <w:p w14:paraId="13779442"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D7F7560"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6ga8</w:t>
            </w:r>
          </w:p>
        </w:tc>
        <w:tc>
          <w:tcPr>
            <w:tcW w:w="1038" w:type="dxa"/>
            <w:tcBorders>
              <w:top w:val="nil"/>
              <w:left w:val="nil"/>
              <w:bottom w:val="nil"/>
              <w:right w:val="nil"/>
            </w:tcBorders>
          </w:tcPr>
          <w:p w14:paraId="4DC6D611"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330fs</w:t>
            </w:r>
          </w:p>
        </w:tc>
        <w:tc>
          <w:tcPr>
            <w:tcW w:w="1170" w:type="dxa"/>
            <w:tcBorders>
              <w:top w:val="nil"/>
              <w:left w:val="nil"/>
              <w:bottom w:val="nil"/>
              <w:right w:val="nil"/>
            </w:tcBorders>
          </w:tcPr>
          <w:p w14:paraId="600F1D1F"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3EDD0B06"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40FCBA13"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49F4DFE9" w14:textId="77777777" w:rsidTr="00DD5ED6">
        <w:tc>
          <w:tcPr>
            <w:tcW w:w="1223" w:type="dxa"/>
            <w:vMerge/>
            <w:tcBorders>
              <w:left w:val="nil"/>
            </w:tcBorders>
          </w:tcPr>
          <w:p w14:paraId="24E0EC05"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3CB3150"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6ga9</w:t>
            </w:r>
          </w:p>
        </w:tc>
        <w:tc>
          <w:tcPr>
            <w:tcW w:w="1038" w:type="dxa"/>
            <w:tcBorders>
              <w:top w:val="nil"/>
              <w:left w:val="nil"/>
              <w:bottom w:val="nil"/>
              <w:right w:val="nil"/>
            </w:tcBorders>
          </w:tcPr>
          <w:p w14:paraId="052FBE6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390fs</w:t>
            </w:r>
          </w:p>
        </w:tc>
        <w:tc>
          <w:tcPr>
            <w:tcW w:w="1170" w:type="dxa"/>
            <w:tcBorders>
              <w:top w:val="nil"/>
              <w:left w:val="nil"/>
              <w:bottom w:val="nil"/>
              <w:right w:val="nil"/>
            </w:tcBorders>
          </w:tcPr>
          <w:p w14:paraId="13A938D0"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5DF5358A"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2313CEE5"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94A2B20" w14:textId="77777777" w:rsidTr="00DD5ED6">
        <w:tc>
          <w:tcPr>
            <w:tcW w:w="1223" w:type="dxa"/>
            <w:vMerge/>
            <w:tcBorders>
              <w:left w:val="nil"/>
            </w:tcBorders>
          </w:tcPr>
          <w:p w14:paraId="523EDABD"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505A707B"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6gaa</w:t>
            </w:r>
          </w:p>
        </w:tc>
        <w:tc>
          <w:tcPr>
            <w:tcW w:w="1038" w:type="dxa"/>
            <w:tcBorders>
              <w:top w:val="nil"/>
              <w:left w:val="nil"/>
              <w:bottom w:val="nil"/>
              <w:right w:val="nil"/>
            </w:tcBorders>
          </w:tcPr>
          <w:p w14:paraId="389A0722"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430fs</w:t>
            </w:r>
          </w:p>
        </w:tc>
        <w:tc>
          <w:tcPr>
            <w:tcW w:w="1170" w:type="dxa"/>
            <w:tcBorders>
              <w:top w:val="nil"/>
              <w:left w:val="nil"/>
              <w:bottom w:val="nil"/>
              <w:right w:val="nil"/>
            </w:tcBorders>
          </w:tcPr>
          <w:p w14:paraId="0810852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7CD044C3"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CEADDC1"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B4785E1" w14:textId="77777777" w:rsidTr="00DD5ED6">
        <w:tc>
          <w:tcPr>
            <w:tcW w:w="1223" w:type="dxa"/>
            <w:vMerge/>
            <w:tcBorders>
              <w:left w:val="nil"/>
            </w:tcBorders>
          </w:tcPr>
          <w:p w14:paraId="6D6547AF"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17BF557"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6gab</w:t>
            </w:r>
          </w:p>
        </w:tc>
        <w:tc>
          <w:tcPr>
            <w:tcW w:w="1038" w:type="dxa"/>
            <w:tcBorders>
              <w:top w:val="nil"/>
              <w:left w:val="nil"/>
              <w:bottom w:val="nil"/>
              <w:right w:val="nil"/>
            </w:tcBorders>
          </w:tcPr>
          <w:p w14:paraId="6B7FF2A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460fs</w:t>
            </w:r>
          </w:p>
        </w:tc>
        <w:tc>
          <w:tcPr>
            <w:tcW w:w="1170" w:type="dxa"/>
            <w:tcBorders>
              <w:top w:val="nil"/>
              <w:left w:val="nil"/>
              <w:bottom w:val="nil"/>
              <w:right w:val="nil"/>
            </w:tcBorders>
          </w:tcPr>
          <w:p w14:paraId="268DE284"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2C37AB9C"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EBF485A"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6BB1877" w14:textId="77777777" w:rsidTr="00DD5ED6">
        <w:tc>
          <w:tcPr>
            <w:tcW w:w="1223" w:type="dxa"/>
            <w:vMerge/>
            <w:tcBorders>
              <w:left w:val="nil"/>
            </w:tcBorders>
          </w:tcPr>
          <w:p w14:paraId="41E7D2D8"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75907498"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6gac</w:t>
            </w:r>
          </w:p>
        </w:tc>
        <w:tc>
          <w:tcPr>
            <w:tcW w:w="1038" w:type="dxa"/>
            <w:tcBorders>
              <w:top w:val="nil"/>
              <w:left w:val="nil"/>
              <w:bottom w:val="nil"/>
              <w:right w:val="nil"/>
            </w:tcBorders>
          </w:tcPr>
          <w:p w14:paraId="41D5DA0A"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490fs</w:t>
            </w:r>
          </w:p>
        </w:tc>
        <w:tc>
          <w:tcPr>
            <w:tcW w:w="1170" w:type="dxa"/>
            <w:tcBorders>
              <w:top w:val="nil"/>
              <w:left w:val="nil"/>
              <w:bottom w:val="nil"/>
              <w:right w:val="nil"/>
            </w:tcBorders>
          </w:tcPr>
          <w:p w14:paraId="441A7DF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476009E8"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4A68EF8F"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CAAA53B" w14:textId="77777777" w:rsidTr="00DD5ED6">
        <w:tc>
          <w:tcPr>
            <w:tcW w:w="1223" w:type="dxa"/>
            <w:vMerge/>
            <w:tcBorders>
              <w:left w:val="nil"/>
            </w:tcBorders>
          </w:tcPr>
          <w:p w14:paraId="42A66D10"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05B2E4DE"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6gad</w:t>
            </w:r>
          </w:p>
        </w:tc>
        <w:tc>
          <w:tcPr>
            <w:tcW w:w="1038" w:type="dxa"/>
            <w:tcBorders>
              <w:top w:val="nil"/>
              <w:left w:val="nil"/>
              <w:bottom w:val="nil"/>
              <w:right w:val="nil"/>
            </w:tcBorders>
          </w:tcPr>
          <w:p w14:paraId="3B02DB43"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530fs</w:t>
            </w:r>
          </w:p>
        </w:tc>
        <w:tc>
          <w:tcPr>
            <w:tcW w:w="1170" w:type="dxa"/>
            <w:tcBorders>
              <w:top w:val="nil"/>
              <w:left w:val="nil"/>
              <w:bottom w:val="nil"/>
              <w:right w:val="nil"/>
            </w:tcBorders>
          </w:tcPr>
          <w:p w14:paraId="77A25F2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2B29FFEA"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054B8143"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794517CA" w14:textId="77777777" w:rsidTr="00DD5ED6">
        <w:tc>
          <w:tcPr>
            <w:tcW w:w="1223" w:type="dxa"/>
            <w:vMerge/>
            <w:tcBorders>
              <w:left w:val="nil"/>
            </w:tcBorders>
          </w:tcPr>
          <w:p w14:paraId="7991A39E"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33EE6C6"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6gae</w:t>
            </w:r>
          </w:p>
        </w:tc>
        <w:tc>
          <w:tcPr>
            <w:tcW w:w="1038" w:type="dxa"/>
            <w:tcBorders>
              <w:top w:val="nil"/>
              <w:left w:val="nil"/>
              <w:bottom w:val="nil"/>
              <w:right w:val="nil"/>
            </w:tcBorders>
          </w:tcPr>
          <w:p w14:paraId="7F2815D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560fs</w:t>
            </w:r>
          </w:p>
        </w:tc>
        <w:tc>
          <w:tcPr>
            <w:tcW w:w="1170" w:type="dxa"/>
            <w:tcBorders>
              <w:top w:val="nil"/>
              <w:left w:val="nil"/>
              <w:bottom w:val="nil"/>
              <w:right w:val="nil"/>
            </w:tcBorders>
          </w:tcPr>
          <w:p w14:paraId="3FDBBA9E"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6B9318A3"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05250BDF"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2C5A5B51" w14:textId="77777777" w:rsidTr="00DD5ED6">
        <w:tc>
          <w:tcPr>
            <w:tcW w:w="1223" w:type="dxa"/>
            <w:vMerge/>
            <w:tcBorders>
              <w:left w:val="nil"/>
            </w:tcBorders>
          </w:tcPr>
          <w:p w14:paraId="6AAE9FE9"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48398D7A"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6gaf</w:t>
            </w:r>
          </w:p>
        </w:tc>
        <w:tc>
          <w:tcPr>
            <w:tcW w:w="1038" w:type="dxa"/>
            <w:tcBorders>
              <w:top w:val="nil"/>
              <w:left w:val="nil"/>
              <w:bottom w:val="nil"/>
              <w:right w:val="nil"/>
            </w:tcBorders>
          </w:tcPr>
          <w:p w14:paraId="62F5675F"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590fs</w:t>
            </w:r>
          </w:p>
        </w:tc>
        <w:tc>
          <w:tcPr>
            <w:tcW w:w="1170" w:type="dxa"/>
            <w:tcBorders>
              <w:top w:val="nil"/>
              <w:left w:val="nil"/>
              <w:bottom w:val="nil"/>
              <w:right w:val="nil"/>
            </w:tcBorders>
          </w:tcPr>
          <w:p w14:paraId="7B8B907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3432D13F"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C921C74"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069801FF" w14:textId="77777777" w:rsidTr="00DD5ED6">
        <w:tc>
          <w:tcPr>
            <w:tcW w:w="1223" w:type="dxa"/>
            <w:vMerge/>
            <w:tcBorders>
              <w:left w:val="nil"/>
            </w:tcBorders>
          </w:tcPr>
          <w:p w14:paraId="216E0FB7"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165D986E"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6gag</w:t>
            </w:r>
          </w:p>
        </w:tc>
        <w:tc>
          <w:tcPr>
            <w:tcW w:w="1038" w:type="dxa"/>
            <w:tcBorders>
              <w:top w:val="nil"/>
              <w:left w:val="nil"/>
              <w:bottom w:val="nil"/>
              <w:right w:val="nil"/>
            </w:tcBorders>
          </w:tcPr>
          <w:p w14:paraId="1FAD693D"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630fs</w:t>
            </w:r>
          </w:p>
        </w:tc>
        <w:tc>
          <w:tcPr>
            <w:tcW w:w="1170" w:type="dxa"/>
            <w:tcBorders>
              <w:top w:val="nil"/>
              <w:left w:val="nil"/>
              <w:bottom w:val="nil"/>
              <w:right w:val="nil"/>
            </w:tcBorders>
          </w:tcPr>
          <w:p w14:paraId="5AAB0241"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6D82612F"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3DD745A8"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C6C75F8" w14:textId="77777777" w:rsidTr="00DD5ED6">
        <w:tc>
          <w:tcPr>
            <w:tcW w:w="1223" w:type="dxa"/>
            <w:vMerge/>
            <w:tcBorders>
              <w:left w:val="nil"/>
            </w:tcBorders>
          </w:tcPr>
          <w:p w14:paraId="10913D73"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2EEF25E4"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6gah</w:t>
            </w:r>
          </w:p>
        </w:tc>
        <w:tc>
          <w:tcPr>
            <w:tcW w:w="1038" w:type="dxa"/>
            <w:tcBorders>
              <w:top w:val="nil"/>
              <w:left w:val="nil"/>
              <w:bottom w:val="nil"/>
              <w:right w:val="nil"/>
            </w:tcBorders>
          </w:tcPr>
          <w:p w14:paraId="278D6FC0"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680fs</w:t>
            </w:r>
          </w:p>
        </w:tc>
        <w:tc>
          <w:tcPr>
            <w:tcW w:w="1170" w:type="dxa"/>
            <w:tcBorders>
              <w:top w:val="nil"/>
              <w:left w:val="nil"/>
              <w:bottom w:val="nil"/>
              <w:right w:val="nil"/>
            </w:tcBorders>
          </w:tcPr>
          <w:p w14:paraId="7804DD02"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6D9F81C5"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1B426013"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259D7686" w14:textId="77777777" w:rsidTr="00DD5ED6">
        <w:tc>
          <w:tcPr>
            <w:tcW w:w="1223" w:type="dxa"/>
            <w:vMerge/>
            <w:tcBorders>
              <w:left w:val="nil"/>
            </w:tcBorders>
          </w:tcPr>
          <w:p w14:paraId="47F6865B"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578D340A"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6gai</w:t>
            </w:r>
          </w:p>
        </w:tc>
        <w:tc>
          <w:tcPr>
            <w:tcW w:w="1038" w:type="dxa"/>
            <w:tcBorders>
              <w:top w:val="nil"/>
              <w:left w:val="nil"/>
              <w:bottom w:val="nil"/>
              <w:right w:val="nil"/>
            </w:tcBorders>
          </w:tcPr>
          <w:p w14:paraId="5F123B72"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740fs</w:t>
            </w:r>
          </w:p>
        </w:tc>
        <w:tc>
          <w:tcPr>
            <w:tcW w:w="1170" w:type="dxa"/>
            <w:tcBorders>
              <w:top w:val="nil"/>
              <w:left w:val="nil"/>
              <w:bottom w:val="nil"/>
              <w:right w:val="nil"/>
            </w:tcBorders>
          </w:tcPr>
          <w:p w14:paraId="597F801F"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0B62FAD5"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F3D817C"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1C99CD46" w14:textId="77777777" w:rsidTr="00DD5ED6">
        <w:tc>
          <w:tcPr>
            <w:tcW w:w="1223" w:type="dxa"/>
            <w:vMerge/>
            <w:tcBorders>
              <w:left w:val="nil"/>
            </w:tcBorders>
          </w:tcPr>
          <w:p w14:paraId="24D8AB8D"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273A14E5"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6ga4</w:t>
            </w:r>
          </w:p>
        </w:tc>
        <w:tc>
          <w:tcPr>
            <w:tcW w:w="1038" w:type="dxa"/>
            <w:tcBorders>
              <w:top w:val="nil"/>
              <w:left w:val="nil"/>
              <w:bottom w:val="nil"/>
              <w:right w:val="nil"/>
            </w:tcBorders>
          </w:tcPr>
          <w:p w14:paraId="7A40526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1ps</w:t>
            </w:r>
          </w:p>
        </w:tc>
        <w:tc>
          <w:tcPr>
            <w:tcW w:w="1170" w:type="dxa"/>
            <w:tcBorders>
              <w:top w:val="nil"/>
              <w:left w:val="nil"/>
              <w:bottom w:val="nil"/>
              <w:right w:val="nil"/>
            </w:tcBorders>
          </w:tcPr>
          <w:p w14:paraId="10A648F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564A9FEC"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07E5F94E"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3D092063" w14:textId="77777777" w:rsidTr="00DD5ED6">
        <w:tc>
          <w:tcPr>
            <w:tcW w:w="1223" w:type="dxa"/>
            <w:vMerge/>
            <w:tcBorders>
              <w:left w:val="nil"/>
            </w:tcBorders>
          </w:tcPr>
          <w:p w14:paraId="5364C926"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5C85A506"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6ga5</w:t>
            </w:r>
          </w:p>
        </w:tc>
        <w:tc>
          <w:tcPr>
            <w:tcW w:w="1038" w:type="dxa"/>
            <w:tcBorders>
              <w:top w:val="nil"/>
              <w:left w:val="nil"/>
              <w:bottom w:val="nil"/>
              <w:right w:val="nil"/>
            </w:tcBorders>
          </w:tcPr>
          <w:p w14:paraId="0E18B871"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3ps</w:t>
            </w:r>
          </w:p>
        </w:tc>
        <w:tc>
          <w:tcPr>
            <w:tcW w:w="1170" w:type="dxa"/>
            <w:tcBorders>
              <w:top w:val="nil"/>
              <w:left w:val="nil"/>
              <w:bottom w:val="nil"/>
              <w:right w:val="nil"/>
            </w:tcBorders>
          </w:tcPr>
          <w:p w14:paraId="656871AF"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1.9 Å</w:t>
            </w:r>
          </w:p>
        </w:tc>
        <w:tc>
          <w:tcPr>
            <w:tcW w:w="1800" w:type="dxa"/>
            <w:vMerge/>
            <w:tcBorders>
              <w:left w:val="nil"/>
              <w:right w:val="nil"/>
            </w:tcBorders>
            <w:vAlign w:val="center"/>
          </w:tcPr>
          <w:p w14:paraId="72DE2DF9"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50969CC5"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099EC14D" w14:textId="77777777" w:rsidTr="00DD5ED6">
        <w:tc>
          <w:tcPr>
            <w:tcW w:w="1223" w:type="dxa"/>
            <w:vMerge/>
            <w:tcBorders>
              <w:left w:val="nil"/>
            </w:tcBorders>
          </w:tcPr>
          <w:p w14:paraId="222C423E"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16F61AEB"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6ga6</w:t>
            </w:r>
          </w:p>
        </w:tc>
        <w:tc>
          <w:tcPr>
            <w:tcW w:w="1038" w:type="dxa"/>
            <w:tcBorders>
              <w:top w:val="nil"/>
              <w:left w:val="nil"/>
              <w:bottom w:val="nil"/>
              <w:right w:val="nil"/>
            </w:tcBorders>
          </w:tcPr>
          <w:p w14:paraId="7A736D67"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10ps</w:t>
            </w:r>
          </w:p>
        </w:tc>
        <w:tc>
          <w:tcPr>
            <w:tcW w:w="1170" w:type="dxa"/>
            <w:tcBorders>
              <w:top w:val="nil"/>
              <w:left w:val="nil"/>
              <w:bottom w:val="nil"/>
              <w:right w:val="nil"/>
            </w:tcBorders>
          </w:tcPr>
          <w:p w14:paraId="393905EC"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tcBorders>
              <w:left w:val="nil"/>
              <w:right w:val="nil"/>
            </w:tcBorders>
            <w:vAlign w:val="center"/>
          </w:tcPr>
          <w:p w14:paraId="5BA5122A"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66B6B085"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6042094E" w14:textId="77777777" w:rsidTr="00DD5ED6">
        <w:tc>
          <w:tcPr>
            <w:tcW w:w="1223" w:type="dxa"/>
            <w:vMerge/>
            <w:tcBorders>
              <w:left w:val="nil"/>
            </w:tcBorders>
          </w:tcPr>
          <w:p w14:paraId="2A6A586D"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single" w:sz="4" w:space="0" w:color="auto"/>
              <w:right w:val="nil"/>
            </w:tcBorders>
          </w:tcPr>
          <w:p w14:paraId="4CCF22F1"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6ga3</w:t>
            </w:r>
          </w:p>
        </w:tc>
        <w:tc>
          <w:tcPr>
            <w:tcW w:w="1038" w:type="dxa"/>
            <w:tcBorders>
              <w:top w:val="nil"/>
              <w:left w:val="nil"/>
              <w:bottom w:val="single" w:sz="4" w:space="0" w:color="auto"/>
              <w:right w:val="nil"/>
            </w:tcBorders>
          </w:tcPr>
          <w:p w14:paraId="417C4D1E"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s="Courier"/>
                <w:color w:val="000000" w:themeColor="text1"/>
                <w:sz w:val="20"/>
                <w:szCs w:val="20"/>
              </w:rPr>
              <w:t>33ms</w:t>
            </w:r>
          </w:p>
        </w:tc>
        <w:tc>
          <w:tcPr>
            <w:tcW w:w="1170" w:type="dxa"/>
            <w:tcBorders>
              <w:top w:val="nil"/>
              <w:left w:val="nil"/>
              <w:bottom w:val="single" w:sz="4" w:space="0" w:color="auto"/>
              <w:right w:val="nil"/>
            </w:tcBorders>
          </w:tcPr>
          <w:p w14:paraId="58A7625F"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2.1 Å</w:t>
            </w:r>
          </w:p>
        </w:tc>
        <w:tc>
          <w:tcPr>
            <w:tcW w:w="1800" w:type="dxa"/>
            <w:vMerge/>
            <w:tcBorders>
              <w:left w:val="nil"/>
              <w:right w:val="nil"/>
            </w:tcBorders>
            <w:vAlign w:val="center"/>
          </w:tcPr>
          <w:p w14:paraId="2875B4A0"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vAlign w:val="center"/>
          </w:tcPr>
          <w:p w14:paraId="469F16FF"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2D9C4797" w14:textId="77777777" w:rsidTr="00DD5ED6">
        <w:tc>
          <w:tcPr>
            <w:tcW w:w="1223" w:type="dxa"/>
            <w:vMerge w:val="restart"/>
            <w:tcBorders>
              <w:left w:val="nil"/>
            </w:tcBorders>
            <w:vAlign w:val="center"/>
          </w:tcPr>
          <w:p w14:paraId="606BD8EA"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Weinert et al. Science 365, 61, 2019</w:t>
            </w:r>
          </w:p>
        </w:tc>
        <w:tc>
          <w:tcPr>
            <w:tcW w:w="709" w:type="dxa"/>
            <w:tcBorders>
              <w:top w:val="single" w:sz="4" w:space="0" w:color="auto"/>
              <w:bottom w:val="nil"/>
              <w:right w:val="nil"/>
            </w:tcBorders>
          </w:tcPr>
          <w:p w14:paraId="246D7236"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6rqp</w:t>
            </w:r>
          </w:p>
        </w:tc>
        <w:tc>
          <w:tcPr>
            <w:tcW w:w="1038" w:type="dxa"/>
            <w:tcBorders>
              <w:top w:val="single" w:sz="4" w:space="0" w:color="auto"/>
              <w:left w:val="nil"/>
              <w:bottom w:val="nil"/>
              <w:right w:val="nil"/>
            </w:tcBorders>
          </w:tcPr>
          <w:p w14:paraId="15C335FF"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dark</w:t>
            </w:r>
          </w:p>
        </w:tc>
        <w:tc>
          <w:tcPr>
            <w:tcW w:w="1170" w:type="dxa"/>
            <w:tcBorders>
              <w:left w:val="nil"/>
              <w:bottom w:val="nil"/>
              <w:right w:val="nil"/>
            </w:tcBorders>
          </w:tcPr>
          <w:p w14:paraId="7CFB29D6"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1.8 Å</w:t>
            </w:r>
          </w:p>
        </w:tc>
        <w:tc>
          <w:tcPr>
            <w:tcW w:w="1800" w:type="dxa"/>
            <w:vMerge w:val="restart"/>
            <w:tcBorders>
              <w:left w:val="nil"/>
              <w:right w:val="nil"/>
            </w:tcBorders>
            <w:vAlign w:val="center"/>
          </w:tcPr>
          <w:p w14:paraId="4A80EB68" w14:textId="77777777" w:rsidR="0039334C" w:rsidRPr="00217A29" w:rsidRDefault="0039334C" w:rsidP="00DD5ED6">
            <w:pPr>
              <w:spacing w:line="276" w:lineRule="auto"/>
              <w:rPr>
                <w:rFonts w:ascii="Palatino" w:hAnsi="Palatino"/>
                <w:color w:val="000000" w:themeColor="text1"/>
                <w:sz w:val="20"/>
                <w:szCs w:val="20"/>
              </w:rPr>
            </w:pPr>
            <w:r w:rsidRPr="00217A29">
              <w:rPr>
                <w:rFonts w:ascii="Palatino" w:hAnsi="Palatino"/>
                <w:color w:val="000000" w:themeColor="text1"/>
                <w:sz w:val="20"/>
                <w:szCs w:val="20"/>
              </w:rPr>
              <w:t xml:space="preserve">Helices E and F swing outward after 10 </w:t>
            </w:r>
            <w:proofErr w:type="spellStart"/>
            <w:r w:rsidRPr="00217A29">
              <w:rPr>
                <w:rFonts w:ascii="Palatino" w:hAnsi="Palatino"/>
                <w:color w:val="000000" w:themeColor="text1"/>
                <w:sz w:val="20"/>
                <w:szCs w:val="20"/>
              </w:rPr>
              <w:t>ms.</w:t>
            </w:r>
            <w:proofErr w:type="spellEnd"/>
          </w:p>
        </w:tc>
        <w:tc>
          <w:tcPr>
            <w:tcW w:w="3484" w:type="dxa"/>
            <w:vMerge w:val="restart"/>
            <w:tcBorders>
              <w:left w:val="nil"/>
              <w:right w:val="nil"/>
            </w:tcBorders>
            <w:vAlign w:val="center"/>
          </w:tcPr>
          <w:p w14:paraId="4ED3C794"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These datasets contribute to the overdetermination of M</w:t>
            </w:r>
            <w:r w:rsidRPr="0030388F">
              <w:rPr>
                <w:rFonts w:ascii="Palatino" w:hAnsi="Palatino"/>
                <w:color w:val="000000" w:themeColor="text1"/>
                <w:sz w:val="20"/>
                <w:szCs w:val="20"/>
                <w:vertAlign w:val="subscript"/>
              </w:rPr>
              <w:t>2</w:t>
            </w:r>
            <w:r w:rsidRPr="0030388F">
              <w:rPr>
                <w:rFonts w:ascii="Palatino" w:hAnsi="Palatino"/>
                <w:color w:val="000000" w:themeColor="text1"/>
                <w:sz w:val="20"/>
                <w:szCs w:val="20"/>
              </w:rPr>
              <w:t>, in</w:t>
            </w:r>
            <w:r>
              <w:rPr>
                <w:rFonts w:ascii="Palatino" w:hAnsi="Palatino"/>
                <w:color w:val="000000" w:themeColor="text1"/>
                <w:sz w:val="20"/>
                <w:szCs w:val="20"/>
              </w:rPr>
              <w:t xml:space="preserve"> which an open CP half channel is observed.  The SB moves toward inboard.</w:t>
            </w:r>
          </w:p>
        </w:tc>
      </w:tr>
      <w:tr w:rsidR="0039334C" w:rsidRPr="00217A29" w14:paraId="5BC07D6C" w14:textId="77777777" w:rsidTr="00DD5ED6">
        <w:tc>
          <w:tcPr>
            <w:tcW w:w="1223" w:type="dxa"/>
            <w:vMerge/>
            <w:tcBorders>
              <w:left w:val="nil"/>
            </w:tcBorders>
          </w:tcPr>
          <w:p w14:paraId="5F7348FD"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64C409A5"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6rnj</w:t>
            </w:r>
          </w:p>
        </w:tc>
        <w:tc>
          <w:tcPr>
            <w:tcW w:w="1038" w:type="dxa"/>
            <w:tcBorders>
              <w:top w:val="nil"/>
              <w:left w:val="nil"/>
              <w:bottom w:val="nil"/>
              <w:right w:val="nil"/>
            </w:tcBorders>
          </w:tcPr>
          <w:p w14:paraId="4FB2E2D2"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0-5ms</w:t>
            </w:r>
          </w:p>
        </w:tc>
        <w:tc>
          <w:tcPr>
            <w:tcW w:w="1170" w:type="dxa"/>
            <w:tcBorders>
              <w:top w:val="nil"/>
              <w:left w:val="nil"/>
              <w:bottom w:val="nil"/>
              <w:right w:val="nil"/>
            </w:tcBorders>
          </w:tcPr>
          <w:p w14:paraId="1CB47100"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2.6 Å</w:t>
            </w:r>
          </w:p>
        </w:tc>
        <w:tc>
          <w:tcPr>
            <w:tcW w:w="1800" w:type="dxa"/>
            <w:vMerge/>
            <w:tcBorders>
              <w:left w:val="nil"/>
              <w:right w:val="nil"/>
            </w:tcBorders>
          </w:tcPr>
          <w:p w14:paraId="515FD741"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tcPr>
          <w:p w14:paraId="64D1B2AD"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186CBF06" w14:textId="77777777" w:rsidTr="00DD5ED6">
        <w:tc>
          <w:tcPr>
            <w:tcW w:w="1223" w:type="dxa"/>
            <w:vMerge/>
            <w:tcBorders>
              <w:left w:val="nil"/>
            </w:tcBorders>
          </w:tcPr>
          <w:p w14:paraId="02988BA1"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bottom w:val="nil"/>
              <w:right w:val="nil"/>
            </w:tcBorders>
          </w:tcPr>
          <w:p w14:paraId="3131487A"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6rph</w:t>
            </w:r>
          </w:p>
        </w:tc>
        <w:tc>
          <w:tcPr>
            <w:tcW w:w="1038" w:type="dxa"/>
            <w:tcBorders>
              <w:top w:val="nil"/>
              <w:left w:val="nil"/>
              <w:bottom w:val="nil"/>
              <w:right w:val="nil"/>
            </w:tcBorders>
          </w:tcPr>
          <w:p w14:paraId="4AB63183"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10-15ms</w:t>
            </w:r>
          </w:p>
        </w:tc>
        <w:tc>
          <w:tcPr>
            <w:tcW w:w="1170" w:type="dxa"/>
            <w:tcBorders>
              <w:top w:val="nil"/>
              <w:left w:val="nil"/>
              <w:bottom w:val="nil"/>
              <w:right w:val="nil"/>
            </w:tcBorders>
          </w:tcPr>
          <w:p w14:paraId="4A963A1E"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2.6 Å</w:t>
            </w:r>
          </w:p>
        </w:tc>
        <w:tc>
          <w:tcPr>
            <w:tcW w:w="1800" w:type="dxa"/>
            <w:vMerge/>
            <w:tcBorders>
              <w:left w:val="nil"/>
              <w:right w:val="nil"/>
            </w:tcBorders>
          </w:tcPr>
          <w:p w14:paraId="00406E57"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tcPr>
          <w:p w14:paraId="42D5A020" w14:textId="77777777" w:rsidR="0039334C" w:rsidRPr="00217A29" w:rsidRDefault="0039334C" w:rsidP="00DD5ED6">
            <w:pPr>
              <w:spacing w:line="276" w:lineRule="auto"/>
              <w:rPr>
                <w:rFonts w:ascii="Palatino" w:hAnsi="Palatino"/>
                <w:color w:val="000000" w:themeColor="text1"/>
                <w:sz w:val="20"/>
                <w:szCs w:val="20"/>
              </w:rPr>
            </w:pPr>
          </w:p>
        </w:tc>
      </w:tr>
      <w:tr w:rsidR="0039334C" w:rsidRPr="00217A29" w14:paraId="5530BFEA" w14:textId="77777777" w:rsidTr="00DD5ED6">
        <w:tc>
          <w:tcPr>
            <w:tcW w:w="1223" w:type="dxa"/>
            <w:vMerge/>
            <w:tcBorders>
              <w:left w:val="nil"/>
            </w:tcBorders>
          </w:tcPr>
          <w:p w14:paraId="1EE9116A" w14:textId="77777777" w:rsidR="0039334C" w:rsidRPr="00217A29" w:rsidRDefault="0039334C" w:rsidP="00DD5ED6">
            <w:pPr>
              <w:spacing w:line="276" w:lineRule="auto"/>
              <w:rPr>
                <w:rFonts w:ascii="Palatino" w:hAnsi="Palatino"/>
                <w:color w:val="000000" w:themeColor="text1"/>
                <w:sz w:val="20"/>
                <w:szCs w:val="20"/>
              </w:rPr>
            </w:pPr>
          </w:p>
        </w:tc>
        <w:tc>
          <w:tcPr>
            <w:tcW w:w="709" w:type="dxa"/>
            <w:tcBorders>
              <w:top w:val="nil"/>
              <w:right w:val="nil"/>
            </w:tcBorders>
          </w:tcPr>
          <w:p w14:paraId="6E4DC6E1"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6rqo</w:t>
            </w:r>
          </w:p>
        </w:tc>
        <w:tc>
          <w:tcPr>
            <w:tcW w:w="1038" w:type="dxa"/>
            <w:tcBorders>
              <w:top w:val="nil"/>
              <w:left w:val="nil"/>
              <w:right w:val="nil"/>
            </w:tcBorders>
          </w:tcPr>
          <w:p w14:paraId="38D3887F" w14:textId="77777777" w:rsidR="0039334C" w:rsidRPr="00217A29" w:rsidRDefault="0039334C" w:rsidP="00DD5ED6">
            <w:pPr>
              <w:spacing w:line="276" w:lineRule="auto"/>
              <w:rPr>
                <w:rFonts w:ascii="Palatino" w:hAnsi="Palatino" w:cs="Courier"/>
                <w:color w:val="000000" w:themeColor="text1"/>
                <w:sz w:val="20"/>
                <w:szCs w:val="20"/>
              </w:rPr>
            </w:pPr>
            <w:r w:rsidRPr="00217A29">
              <w:rPr>
                <w:rFonts w:ascii="Palatino" w:hAnsi="Palatino" w:cs="Courier"/>
                <w:color w:val="000000" w:themeColor="text1"/>
                <w:sz w:val="20"/>
                <w:szCs w:val="20"/>
              </w:rPr>
              <w:t>activated</w:t>
            </w:r>
          </w:p>
        </w:tc>
        <w:tc>
          <w:tcPr>
            <w:tcW w:w="1170" w:type="dxa"/>
            <w:tcBorders>
              <w:top w:val="nil"/>
              <w:left w:val="nil"/>
              <w:right w:val="nil"/>
            </w:tcBorders>
          </w:tcPr>
          <w:p w14:paraId="26283333" w14:textId="77777777" w:rsidR="0039334C" w:rsidRPr="00217A29" w:rsidRDefault="0039334C" w:rsidP="00DD5ED6">
            <w:pPr>
              <w:spacing w:line="276" w:lineRule="auto"/>
              <w:rPr>
                <w:rFonts w:ascii="Palatino" w:hAnsi="Palatino"/>
                <w:color w:val="000000" w:themeColor="text1"/>
                <w:sz w:val="20"/>
                <w:szCs w:val="20"/>
              </w:rPr>
            </w:pPr>
            <w:r>
              <w:rPr>
                <w:rFonts w:ascii="Palatino" w:hAnsi="Palatino"/>
                <w:color w:val="000000" w:themeColor="text1"/>
                <w:sz w:val="20"/>
                <w:szCs w:val="20"/>
              </w:rPr>
              <w:t>2.0 Å</w:t>
            </w:r>
          </w:p>
        </w:tc>
        <w:tc>
          <w:tcPr>
            <w:tcW w:w="1800" w:type="dxa"/>
            <w:vMerge/>
            <w:tcBorders>
              <w:left w:val="nil"/>
              <w:right w:val="nil"/>
            </w:tcBorders>
          </w:tcPr>
          <w:p w14:paraId="6F40F4CE" w14:textId="77777777" w:rsidR="0039334C" w:rsidRPr="00217A29" w:rsidRDefault="0039334C" w:rsidP="00DD5ED6">
            <w:pPr>
              <w:spacing w:line="276" w:lineRule="auto"/>
              <w:rPr>
                <w:rFonts w:ascii="Palatino" w:hAnsi="Palatino"/>
                <w:color w:val="000000" w:themeColor="text1"/>
                <w:sz w:val="20"/>
                <w:szCs w:val="20"/>
              </w:rPr>
            </w:pPr>
          </w:p>
        </w:tc>
        <w:tc>
          <w:tcPr>
            <w:tcW w:w="3484" w:type="dxa"/>
            <w:vMerge/>
            <w:tcBorders>
              <w:left w:val="nil"/>
              <w:right w:val="nil"/>
            </w:tcBorders>
          </w:tcPr>
          <w:p w14:paraId="29FC7567" w14:textId="77777777" w:rsidR="0039334C" w:rsidRPr="00217A29" w:rsidRDefault="0039334C" w:rsidP="00DD5ED6">
            <w:pPr>
              <w:spacing w:line="276" w:lineRule="auto"/>
              <w:rPr>
                <w:rFonts w:ascii="Palatino" w:hAnsi="Palatino"/>
                <w:color w:val="000000" w:themeColor="text1"/>
                <w:sz w:val="20"/>
                <w:szCs w:val="20"/>
              </w:rPr>
            </w:pPr>
          </w:p>
        </w:tc>
      </w:tr>
    </w:tbl>
    <w:p w14:paraId="4A3F697F" w14:textId="77777777" w:rsidR="0039334C" w:rsidRDefault="0039334C" w:rsidP="0039334C">
      <w:pPr>
        <w:spacing w:line="276" w:lineRule="auto"/>
        <w:rPr>
          <w:rFonts w:ascii="Palatino Linotype" w:hAnsi="Palatino Linotype"/>
        </w:rPr>
      </w:pPr>
    </w:p>
    <w:tbl>
      <w:tblPr>
        <w:tblStyle w:val="TableGrid"/>
        <w:tblW w:w="10440" w:type="dxa"/>
        <w:tblInd w:w="-540" w:type="dxa"/>
        <w:tblLayout w:type="fixed"/>
        <w:tblLook w:val="04A0" w:firstRow="1" w:lastRow="0" w:firstColumn="1" w:lastColumn="0" w:noHBand="0" w:noVBand="1"/>
      </w:tblPr>
      <w:tblGrid>
        <w:gridCol w:w="1350"/>
        <w:gridCol w:w="540"/>
        <w:gridCol w:w="720"/>
        <w:gridCol w:w="900"/>
        <w:gridCol w:w="990"/>
        <w:gridCol w:w="900"/>
        <w:gridCol w:w="900"/>
        <w:gridCol w:w="990"/>
        <w:gridCol w:w="990"/>
        <w:gridCol w:w="1170"/>
        <w:gridCol w:w="990"/>
      </w:tblGrid>
      <w:tr w:rsidR="0039334C" w:rsidRPr="00CE1276" w14:paraId="236782E9" w14:textId="77777777" w:rsidTr="00DD5ED6">
        <w:tc>
          <w:tcPr>
            <w:tcW w:w="10440" w:type="dxa"/>
            <w:gridSpan w:val="11"/>
            <w:tcBorders>
              <w:left w:val="nil"/>
              <w:bottom w:val="single" w:sz="4" w:space="0" w:color="auto"/>
              <w:right w:val="nil"/>
            </w:tcBorders>
          </w:tcPr>
          <w:p w14:paraId="7DBEFFC7" w14:textId="77777777" w:rsidR="0039334C" w:rsidRPr="00CE1276" w:rsidRDefault="0039334C" w:rsidP="00DD5ED6">
            <w:pPr>
              <w:spacing w:line="276" w:lineRule="auto"/>
              <w:rPr>
                <w:rFonts w:ascii="Palatino Linotype" w:hAnsi="Palatino Linotype"/>
              </w:rPr>
            </w:pPr>
            <w:r w:rsidRPr="00CE1276">
              <w:rPr>
                <w:rFonts w:ascii="Palatino Linotype" w:hAnsi="Palatino Linotype"/>
              </w:rPr>
              <w:t>Table S2.  Refinement statistics</w:t>
            </w:r>
          </w:p>
        </w:tc>
      </w:tr>
      <w:tr w:rsidR="0039334C" w:rsidRPr="00CE1276" w14:paraId="5D709982" w14:textId="77777777" w:rsidTr="00DD5ED6">
        <w:tc>
          <w:tcPr>
            <w:tcW w:w="1890" w:type="dxa"/>
            <w:gridSpan w:val="2"/>
            <w:tcBorders>
              <w:left w:val="nil"/>
              <w:bottom w:val="nil"/>
            </w:tcBorders>
          </w:tcPr>
          <w:p w14:paraId="5515E3CF"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Intermediate</w:t>
            </w:r>
          </w:p>
        </w:tc>
        <w:tc>
          <w:tcPr>
            <w:tcW w:w="720" w:type="dxa"/>
            <w:tcBorders>
              <w:bottom w:val="nil"/>
              <w:right w:val="nil"/>
            </w:tcBorders>
          </w:tcPr>
          <w:p w14:paraId="43D15AC2" w14:textId="77777777" w:rsidR="0039334C" w:rsidRPr="00CE1276" w:rsidRDefault="0039334C" w:rsidP="00DD5ED6">
            <w:pPr>
              <w:spacing w:line="276" w:lineRule="auto"/>
              <w:jc w:val="center"/>
              <w:rPr>
                <w:rFonts w:ascii="Palatino Linotype" w:hAnsi="Palatino Linotype"/>
                <w:sz w:val="20"/>
                <w:szCs w:val="20"/>
              </w:rPr>
            </w:pPr>
            <w:proofErr w:type="spellStart"/>
            <w:r w:rsidRPr="00CE1276">
              <w:rPr>
                <w:rFonts w:ascii="Palatino Linotype" w:hAnsi="Palatino Linotype"/>
                <w:sz w:val="20"/>
                <w:szCs w:val="20"/>
              </w:rPr>
              <w:t>bR</w:t>
            </w:r>
            <w:proofErr w:type="spellEnd"/>
          </w:p>
        </w:tc>
        <w:tc>
          <w:tcPr>
            <w:tcW w:w="900" w:type="dxa"/>
            <w:tcBorders>
              <w:left w:val="nil"/>
              <w:bottom w:val="nil"/>
              <w:right w:val="nil"/>
            </w:tcBorders>
          </w:tcPr>
          <w:p w14:paraId="5193A728"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I’</w:t>
            </w:r>
          </w:p>
        </w:tc>
        <w:tc>
          <w:tcPr>
            <w:tcW w:w="990" w:type="dxa"/>
            <w:tcBorders>
              <w:left w:val="nil"/>
              <w:bottom w:val="nil"/>
              <w:right w:val="nil"/>
            </w:tcBorders>
          </w:tcPr>
          <w:p w14:paraId="28808BD7"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I</w:t>
            </w:r>
          </w:p>
        </w:tc>
        <w:tc>
          <w:tcPr>
            <w:tcW w:w="900" w:type="dxa"/>
            <w:tcBorders>
              <w:left w:val="nil"/>
              <w:bottom w:val="nil"/>
              <w:right w:val="nil"/>
            </w:tcBorders>
          </w:tcPr>
          <w:p w14:paraId="66817691"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J’</w:t>
            </w:r>
          </w:p>
        </w:tc>
        <w:tc>
          <w:tcPr>
            <w:tcW w:w="900" w:type="dxa"/>
            <w:tcBorders>
              <w:left w:val="nil"/>
              <w:bottom w:val="nil"/>
              <w:right w:val="nil"/>
            </w:tcBorders>
          </w:tcPr>
          <w:p w14:paraId="0FAE931D"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J</w:t>
            </w:r>
          </w:p>
        </w:tc>
        <w:tc>
          <w:tcPr>
            <w:tcW w:w="990" w:type="dxa"/>
            <w:tcBorders>
              <w:left w:val="nil"/>
              <w:bottom w:val="nil"/>
              <w:right w:val="nil"/>
            </w:tcBorders>
          </w:tcPr>
          <w:p w14:paraId="374E6B5E"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K</w:t>
            </w:r>
          </w:p>
        </w:tc>
        <w:tc>
          <w:tcPr>
            <w:tcW w:w="990" w:type="dxa"/>
            <w:tcBorders>
              <w:left w:val="nil"/>
              <w:bottom w:val="nil"/>
              <w:right w:val="nil"/>
            </w:tcBorders>
          </w:tcPr>
          <w:p w14:paraId="5679D8F4"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L</w:t>
            </w:r>
          </w:p>
        </w:tc>
        <w:tc>
          <w:tcPr>
            <w:tcW w:w="1170" w:type="dxa"/>
            <w:tcBorders>
              <w:left w:val="nil"/>
              <w:bottom w:val="nil"/>
              <w:right w:val="nil"/>
            </w:tcBorders>
          </w:tcPr>
          <w:p w14:paraId="1B84E062"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M</w:t>
            </w:r>
            <w:r w:rsidRPr="00CE1276">
              <w:rPr>
                <w:rFonts w:ascii="Palatino Linotype" w:hAnsi="Palatino Linotype"/>
                <w:sz w:val="20"/>
                <w:szCs w:val="20"/>
                <w:vertAlign w:val="subscript"/>
              </w:rPr>
              <w:t>1</w:t>
            </w:r>
          </w:p>
        </w:tc>
        <w:tc>
          <w:tcPr>
            <w:tcW w:w="990" w:type="dxa"/>
            <w:tcBorders>
              <w:left w:val="nil"/>
              <w:bottom w:val="nil"/>
              <w:right w:val="nil"/>
            </w:tcBorders>
          </w:tcPr>
          <w:p w14:paraId="53A0DDFA"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M</w:t>
            </w:r>
            <w:r w:rsidRPr="00CE1276">
              <w:rPr>
                <w:rFonts w:ascii="Palatino Linotype" w:hAnsi="Palatino Linotype"/>
                <w:sz w:val="20"/>
                <w:szCs w:val="20"/>
                <w:vertAlign w:val="subscript"/>
              </w:rPr>
              <w:t>2</w:t>
            </w:r>
          </w:p>
        </w:tc>
      </w:tr>
      <w:tr w:rsidR="0039334C" w:rsidRPr="00CE1276" w14:paraId="4654E124" w14:textId="77777777" w:rsidTr="00DD5ED6">
        <w:tc>
          <w:tcPr>
            <w:tcW w:w="1890" w:type="dxa"/>
            <w:gridSpan w:val="2"/>
            <w:tcBorders>
              <w:top w:val="nil"/>
              <w:left w:val="nil"/>
              <w:bottom w:val="nil"/>
            </w:tcBorders>
          </w:tcPr>
          <w:p w14:paraId="43BDFA53"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Time period</w:t>
            </w:r>
          </w:p>
        </w:tc>
        <w:tc>
          <w:tcPr>
            <w:tcW w:w="720" w:type="dxa"/>
            <w:tcBorders>
              <w:top w:val="nil"/>
              <w:bottom w:val="nil"/>
              <w:right w:val="nil"/>
            </w:tcBorders>
          </w:tcPr>
          <w:p w14:paraId="6A3923C8"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0-</w:t>
            </w:r>
          </w:p>
        </w:tc>
        <w:tc>
          <w:tcPr>
            <w:tcW w:w="900" w:type="dxa"/>
            <w:tcBorders>
              <w:top w:val="nil"/>
              <w:left w:val="nil"/>
              <w:bottom w:val="nil"/>
              <w:right w:val="nil"/>
            </w:tcBorders>
          </w:tcPr>
          <w:p w14:paraId="2D1EA37F"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&lt; 50 fs</w:t>
            </w:r>
          </w:p>
        </w:tc>
        <w:tc>
          <w:tcPr>
            <w:tcW w:w="990" w:type="dxa"/>
            <w:tcBorders>
              <w:top w:val="nil"/>
              <w:left w:val="nil"/>
              <w:bottom w:val="nil"/>
              <w:right w:val="nil"/>
            </w:tcBorders>
          </w:tcPr>
          <w:p w14:paraId="0B7311F0"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40-700 fs</w:t>
            </w:r>
          </w:p>
        </w:tc>
        <w:tc>
          <w:tcPr>
            <w:tcW w:w="900" w:type="dxa"/>
            <w:tcBorders>
              <w:top w:val="nil"/>
              <w:left w:val="nil"/>
              <w:bottom w:val="nil"/>
              <w:right w:val="nil"/>
            </w:tcBorders>
          </w:tcPr>
          <w:p w14:paraId="5883CCA6"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0.5-2 </w:t>
            </w:r>
            <w:proofErr w:type="spellStart"/>
            <w:r w:rsidRPr="00CE1276">
              <w:rPr>
                <w:rFonts w:ascii="Palatino Linotype" w:hAnsi="Palatino Linotype"/>
                <w:sz w:val="20"/>
                <w:szCs w:val="20"/>
              </w:rPr>
              <w:t>ps</w:t>
            </w:r>
            <w:proofErr w:type="spellEnd"/>
          </w:p>
        </w:tc>
        <w:tc>
          <w:tcPr>
            <w:tcW w:w="900" w:type="dxa"/>
            <w:tcBorders>
              <w:top w:val="nil"/>
              <w:left w:val="nil"/>
              <w:bottom w:val="nil"/>
              <w:right w:val="nil"/>
            </w:tcBorders>
          </w:tcPr>
          <w:p w14:paraId="534ED971"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1-30 </w:t>
            </w:r>
            <w:proofErr w:type="spellStart"/>
            <w:r w:rsidRPr="00CE1276">
              <w:rPr>
                <w:rFonts w:ascii="Palatino Linotype" w:hAnsi="Palatino Linotype"/>
                <w:sz w:val="20"/>
                <w:szCs w:val="20"/>
              </w:rPr>
              <w:t>ps</w:t>
            </w:r>
            <w:proofErr w:type="spellEnd"/>
          </w:p>
        </w:tc>
        <w:tc>
          <w:tcPr>
            <w:tcW w:w="990" w:type="dxa"/>
            <w:tcBorders>
              <w:top w:val="nil"/>
              <w:left w:val="nil"/>
              <w:bottom w:val="nil"/>
              <w:right w:val="nil"/>
            </w:tcBorders>
          </w:tcPr>
          <w:p w14:paraId="12F8956D"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3 ps-2 </w:t>
            </w:r>
            <w:r w:rsidRPr="00CE1276">
              <w:rPr>
                <w:rFonts w:ascii="Palatino Linotype" w:hAnsi="Palatino Linotype"/>
                <w:sz w:val="20"/>
                <w:szCs w:val="20"/>
              </w:rPr>
              <w:sym w:font="Symbol" w:char="F06D"/>
            </w:r>
            <w:r w:rsidRPr="00CE1276">
              <w:rPr>
                <w:rFonts w:ascii="Palatino Linotype" w:hAnsi="Palatino Linotype"/>
                <w:sz w:val="20"/>
                <w:szCs w:val="20"/>
              </w:rPr>
              <w:t>s</w:t>
            </w:r>
          </w:p>
        </w:tc>
        <w:tc>
          <w:tcPr>
            <w:tcW w:w="990" w:type="dxa"/>
            <w:tcBorders>
              <w:top w:val="nil"/>
              <w:left w:val="nil"/>
              <w:bottom w:val="nil"/>
              <w:right w:val="nil"/>
            </w:tcBorders>
          </w:tcPr>
          <w:p w14:paraId="6589341D"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1-100 </w:t>
            </w:r>
            <w:r w:rsidRPr="00CE1276">
              <w:rPr>
                <w:rFonts w:ascii="Palatino Linotype" w:hAnsi="Palatino Linotype"/>
                <w:sz w:val="20"/>
                <w:szCs w:val="20"/>
              </w:rPr>
              <w:sym w:font="Symbol" w:char="F06D"/>
            </w:r>
            <w:r w:rsidRPr="00CE1276">
              <w:rPr>
                <w:rFonts w:ascii="Palatino Linotype" w:hAnsi="Palatino Linotype"/>
                <w:sz w:val="20"/>
                <w:szCs w:val="20"/>
              </w:rPr>
              <w:t>s</w:t>
            </w:r>
          </w:p>
        </w:tc>
        <w:tc>
          <w:tcPr>
            <w:tcW w:w="1170" w:type="dxa"/>
            <w:tcBorders>
              <w:top w:val="nil"/>
              <w:left w:val="nil"/>
              <w:bottom w:val="nil"/>
              <w:right w:val="nil"/>
            </w:tcBorders>
          </w:tcPr>
          <w:p w14:paraId="5BA11B3E"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10-1000 </w:t>
            </w:r>
            <w:r w:rsidRPr="00CE1276">
              <w:rPr>
                <w:rFonts w:ascii="Palatino Linotype" w:hAnsi="Palatino Linotype"/>
                <w:sz w:val="20"/>
                <w:szCs w:val="20"/>
              </w:rPr>
              <w:sym w:font="Symbol" w:char="F06D"/>
            </w:r>
            <w:r w:rsidRPr="00CE1276">
              <w:rPr>
                <w:rFonts w:ascii="Palatino Linotype" w:hAnsi="Palatino Linotype"/>
                <w:sz w:val="20"/>
                <w:szCs w:val="20"/>
              </w:rPr>
              <w:t>s</w:t>
            </w:r>
          </w:p>
        </w:tc>
        <w:tc>
          <w:tcPr>
            <w:tcW w:w="990" w:type="dxa"/>
            <w:tcBorders>
              <w:top w:val="nil"/>
              <w:left w:val="nil"/>
              <w:bottom w:val="nil"/>
              <w:right w:val="nil"/>
            </w:tcBorders>
          </w:tcPr>
          <w:p w14:paraId="4E9F0A24"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 xml:space="preserve">0.5-5 </w:t>
            </w:r>
            <w:proofErr w:type="spellStart"/>
            <w:r w:rsidRPr="00CE1276">
              <w:rPr>
                <w:rFonts w:ascii="Palatino Linotype" w:hAnsi="Palatino Linotype"/>
                <w:sz w:val="20"/>
                <w:szCs w:val="20"/>
              </w:rPr>
              <w:t>ms</w:t>
            </w:r>
            <w:proofErr w:type="spellEnd"/>
          </w:p>
        </w:tc>
      </w:tr>
      <w:tr w:rsidR="0039334C" w:rsidRPr="00CE1276" w14:paraId="665BD718" w14:textId="77777777" w:rsidTr="00DD5ED6">
        <w:tc>
          <w:tcPr>
            <w:tcW w:w="1350" w:type="dxa"/>
            <w:vMerge w:val="restart"/>
            <w:tcBorders>
              <w:top w:val="single" w:sz="4" w:space="0" w:color="auto"/>
              <w:left w:val="nil"/>
              <w:right w:val="nil"/>
            </w:tcBorders>
            <w:vAlign w:val="center"/>
          </w:tcPr>
          <w:p w14:paraId="414E08A8"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Short delay components</w:t>
            </w:r>
          </w:p>
        </w:tc>
        <w:tc>
          <w:tcPr>
            <w:tcW w:w="540" w:type="dxa"/>
            <w:tcBorders>
              <w:top w:val="single" w:sz="4" w:space="0" w:color="auto"/>
              <w:left w:val="nil"/>
              <w:bottom w:val="nil"/>
            </w:tcBorders>
          </w:tcPr>
          <w:p w14:paraId="69AEE20E"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10</w:t>
            </w:r>
          </w:p>
        </w:tc>
        <w:tc>
          <w:tcPr>
            <w:tcW w:w="720" w:type="dxa"/>
            <w:tcBorders>
              <w:top w:val="single" w:sz="4" w:space="0" w:color="auto"/>
              <w:bottom w:val="nil"/>
              <w:right w:val="nil"/>
            </w:tcBorders>
          </w:tcPr>
          <w:p w14:paraId="752328CC"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single" w:sz="4" w:space="0" w:color="auto"/>
              <w:left w:val="nil"/>
              <w:bottom w:val="nil"/>
              <w:right w:val="nil"/>
            </w:tcBorders>
          </w:tcPr>
          <w:p w14:paraId="60E101A9"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single" w:sz="4" w:space="0" w:color="auto"/>
              <w:left w:val="nil"/>
              <w:bottom w:val="nil"/>
              <w:right w:val="nil"/>
            </w:tcBorders>
          </w:tcPr>
          <w:p w14:paraId="33098B6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3,300</w:t>
            </w:r>
          </w:p>
        </w:tc>
        <w:tc>
          <w:tcPr>
            <w:tcW w:w="900" w:type="dxa"/>
            <w:tcBorders>
              <w:top w:val="single" w:sz="4" w:space="0" w:color="auto"/>
              <w:left w:val="nil"/>
              <w:bottom w:val="nil"/>
              <w:right w:val="nil"/>
            </w:tcBorders>
          </w:tcPr>
          <w:p w14:paraId="1036EF67"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single" w:sz="4" w:space="0" w:color="auto"/>
              <w:left w:val="nil"/>
              <w:bottom w:val="nil"/>
              <w:right w:val="nil"/>
            </w:tcBorders>
          </w:tcPr>
          <w:p w14:paraId="268B003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-4,200</w:t>
            </w:r>
          </w:p>
        </w:tc>
        <w:tc>
          <w:tcPr>
            <w:tcW w:w="990" w:type="dxa"/>
            <w:tcBorders>
              <w:top w:val="single" w:sz="4" w:space="0" w:color="auto"/>
              <w:left w:val="nil"/>
              <w:bottom w:val="nil"/>
              <w:right w:val="nil"/>
            </w:tcBorders>
          </w:tcPr>
          <w:p w14:paraId="3D94D204"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single" w:sz="4" w:space="0" w:color="auto"/>
              <w:left w:val="nil"/>
              <w:bottom w:val="nil"/>
              <w:right w:val="nil"/>
            </w:tcBorders>
          </w:tcPr>
          <w:p w14:paraId="1149C397" w14:textId="77777777" w:rsidR="0039334C" w:rsidRPr="00CE1276" w:rsidRDefault="0039334C" w:rsidP="00DD5ED6">
            <w:pPr>
              <w:spacing w:line="276" w:lineRule="auto"/>
              <w:jc w:val="right"/>
              <w:rPr>
                <w:rFonts w:ascii="Palatino Linotype" w:hAnsi="Palatino Linotype"/>
                <w:sz w:val="20"/>
                <w:szCs w:val="20"/>
              </w:rPr>
            </w:pPr>
          </w:p>
        </w:tc>
        <w:tc>
          <w:tcPr>
            <w:tcW w:w="1170" w:type="dxa"/>
            <w:tcBorders>
              <w:top w:val="single" w:sz="4" w:space="0" w:color="auto"/>
              <w:left w:val="nil"/>
              <w:bottom w:val="nil"/>
              <w:right w:val="nil"/>
            </w:tcBorders>
          </w:tcPr>
          <w:p w14:paraId="55E12D0E"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single" w:sz="4" w:space="0" w:color="auto"/>
              <w:left w:val="nil"/>
              <w:bottom w:val="nil"/>
              <w:right w:val="nil"/>
            </w:tcBorders>
          </w:tcPr>
          <w:p w14:paraId="3A8A4A94" w14:textId="77777777" w:rsidR="0039334C" w:rsidRPr="00CE1276" w:rsidRDefault="0039334C" w:rsidP="00DD5ED6">
            <w:pPr>
              <w:spacing w:line="276" w:lineRule="auto"/>
              <w:jc w:val="right"/>
              <w:rPr>
                <w:rFonts w:ascii="Palatino Linotype" w:hAnsi="Palatino Linotype"/>
                <w:sz w:val="20"/>
                <w:szCs w:val="20"/>
              </w:rPr>
            </w:pPr>
          </w:p>
        </w:tc>
      </w:tr>
      <w:tr w:rsidR="0039334C" w:rsidRPr="00CE1276" w14:paraId="0B5E364E" w14:textId="77777777" w:rsidTr="00DD5ED6">
        <w:tc>
          <w:tcPr>
            <w:tcW w:w="1350" w:type="dxa"/>
            <w:vMerge/>
            <w:tcBorders>
              <w:left w:val="nil"/>
              <w:right w:val="nil"/>
            </w:tcBorders>
          </w:tcPr>
          <w:p w14:paraId="6C57B0EC" w14:textId="77777777" w:rsidR="0039334C" w:rsidRPr="00CE1276" w:rsidRDefault="0039334C" w:rsidP="00DD5ED6">
            <w:pPr>
              <w:spacing w:line="276" w:lineRule="auto"/>
              <w:rPr>
                <w:rFonts w:ascii="Palatino Linotype" w:hAnsi="Palatino Linotype"/>
                <w:sz w:val="20"/>
                <w:szCs w:val="20"/>
              </w:rPr>
            </w:pPr>
          </w:p>
        </w:tc>
        <w:tc>
          <w:tcPr>
            <w:tcW w:w="540" w:type="dxa"/>
            <w:tcBorders>
              <w:top w:val="nil"/>
              <w:left w:val="nil"/>
              <w:bottom w:val="nil"/>
            </w:tcBorders>
          </w:tcPr>
          <w:p w14:paraId="7B2B3B93"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14</w:t>
            </w:r>
          </w:p>
        </w:tc>
        <w:tc>
          <w:tcPr>
            <w:tcW w:w="720" w:type="dxa"/>
            <w:tcBorders>
              <w:top w:val="nil"/>
              <w:bottom w:val="nil"/>
              <w:right w:val="nil"/>
            </w:tcBorders>
          </w:tcPr>
          <w:p w14:paraId="449981B2"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501156E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2,000</w:t>
            </w:r>
          </w:p>
        </w:tc>
        <w:tc>
          <w:tcPr>
            <w:tcW w:w="990" w:type="dxa"/>
            <w:tcBorders>
              <w:top w:val="nil"/>
              <w:left w:val="nil"/>
              <w:bottom w:val="nil"/>
              <w:right w:val="nil"/>
            </w:tcBorders>
          </w:tcPr>
          <w:p w14:paraId="4440334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2,700</w:t>
            </w:r>
          </w:p>
        </w:tc>
        <w:tc>
          <w:tcPr>
            <w:tcW w:w="900" w:type="dxa"/>
            <w:tcBorders>
              <w:top w:val="nil"/>
              <w:left w:val="nil"/>
              <w:bottom w:val="nil"/>
              <w:right w:val="nil"/>
            </w:tcBorders>
          </w:tcPr>
          <w:p w14:paraId="6DFB6C86"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2,700</w:t>
            </w:r>
          </w:p>
        </w:tc>
        <w:tc>
          <w:tcPr>
            <w:tcW w:w="900" w:type="dxa"/>
            <w:tcBorders>
              <w:top w:val="nil"/>
              <w:left w:val="nil"/>
              <w:bottom w:val="nil"/>
              <w:right w:val="nil"/>
            </w:tcBorders>
          </w:tcPr>
          <w:p w14:paraId="617F530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2,000</w:t>
            </w:r>
          </w:p>
        </w:tc>
        <w:tc>
          <w:tcPr>
            <w:tcW w:w="990" w:type="dxa"/>
            <w:tcBorders>
              <w:top w:val="nil"/>
              <w:left w:val="nil"/>
              <w:bottom w:val="nil"/>
              <w:right w:val="nil"/>
            </w:tcBorders>
          </w:tcPr>
          <w:p w14:paraId="6CA21C05"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2219E727" w14:textId="77777777" w:rsidR="0039334C" w:rsidRPr="00CE1276" w:rsidRDefault="0039334C" w:rsidP="00DD5ED6">
            <w:pPr>
              <w:spacing w:line="276" w:lineRule="auto"/>
              <w:jc w:val="right"/>
              <w:rPr>
                <w:rFonts w:ascii="Palatino Linotype" w:hAnsi="Palatino Linotype"/>
                <w:sz w:val="20"/>
                <w:szCs w:val="20"/>
              </w:rPr>
            </w:pPr>
          </w:p>
        </w:tc>
        <w:tc>
          <w:tcPr>
            <w:tcW w:w="1170" w:type="dxa"/>
            <w:tcBorders>
              <w:top w:val="nil"/>
              <w:left w:val="nil"/>
              <w:bottom w:val="nil"/>
              <w:right w:val="nil"/>
            </w:tcBorders>
          </w:tcPr>
          <w:p w14:paraId="56C5760B"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704E6AA5" w14:textId="77777777" w:rsidR="0039334C" w:rsidRPr="00CE1276" w:rsidRDefault="0039334C" w:rsidP="00DD5ED6">
            <w:pPr>
              <w:spacing w:line="276" w:lineRule="auto"/>
              <w:jc w:val="right"/>
              <w:rPr>
                <w:rFonts w:ascii="Palatino Linotype" w:hAnsi="Palatino Linotype"/>
                <w:sz w:val="20"/>
                <w:szCs w:val="20"/>
              </w:rPr>
            </w:pPr>
          </w:p>
        </w:tc>
      </w:tr>
      <w:tr w:rsidR="0039334C" w:rsidRPr="00CE1276" w14:paraId="6F3F0744" w14:textId="77777777" w:rsidTr="00DD5ED6">
        <w:tc>
          <w:tcPr>
            <w:tcW w:w="1350" w:type="dxa"/>
            <w:vMerge/>
            <w:tcBorders>
              <w:left w:val="nil"/>
              <w:bottom w:val="single" w:sz="4" w:space="0" w:color="auto"/>
              <w:right w:val="nil"/>
            </w:tcBorders>
          </w:tcPr>
          <w:p w14:paraId="3855F347" w14:textId="77777777" w:rsidR="0039334C" w:rsidRPr="00CE1276" w:rsidRDefault="0039334C" w:rsidP="00DD5ED6">
            <w:pPr>
              <w:spacing w:line="276" w:lineRule="auto"/>
              <w:rPr>
                <w:rFonts w:ascii="Palatino Linotype" w:hAnsi="Palatino Linotype"/>
                <w:sz w:val="20"/>
                <w:szCs w:val="20"/>
              </w:rPr>
            </w:pPr>
          </w:p>
        </w:tc>
        <w:tc>
          <w:tcPr>
            <w:tcW w:w="540" w:type="dxa"/>
            <w:tcBorders>
              <w:top w:val="nil"/>
              <w:left w:val="nil"/>
              <w:bottom w:val="single" w:sz="4" w:space="0" w:color="auto"/>
            </w:tcBorders>
          </w:tcPr>
          <w:p w14:paraId="5462B353"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17</w:t>
            </w:r>
          </w:p>
        </w:tc>
        <w:tc>
          <w:tcPr>
            <w:tcW w:w="720" w:type="dxa"/>
            <w:tcBorders>
              <w:top w:val="nil"/>
              <w:bottom w:val="single" w:sz="4" w:space="0" w:color="auto"/>
              <w:right w:val="nil"/>
            </w:tcBorders>
          </w:tcPr>
          <w:p w14:paraId="69864A65"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single" w:sz="4" w:space="0" w:color="auto"/>
              <w:right w:val="nil"/>
            </w:tcBorders>
          </w:tcPr>
          <w:p w14:paraId="5FE0FD5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3,000</w:t>
            </w:r>
          </w:p>
        </w:tc>
        <w:tc>
          <w:tcPr>
            <w:tcW w:w="990" w:type="dxa"/>
            <w:tcBorders>
              <w:top w:val="nil"/>
              <w:left w:val="nil"/>
              <w:bottom w:val="single" w:sz="4" w:space="0" w:color="auto"/>
              <w:right w:val="nil"/>
            </w:tcBorders>
          </w:tcPr>
          <w:p w14:paraId="556343ED"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single" w:sz="4" w:space="0" w:color="auto"/>
              <w:right w:val="nil"/>
            </w:tcBorders>
          </w:tcPr>
          <w:p w14:paraId="5C31AEB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-1,300</w:t>
            </w:r>
          </w:p>
        </w:tc>
        <w:tc>
          <w:tcPr>
            <w:tcW w:w="900" w:type="dxa"/>
            <w:tcBorders>
              <w:top w:val="nil"/>
              <w:left w:val="nil"/>
              <w:bottom w:val="single" w:sz="4" w:space="0" w:color="auto"/>
              <w:right w:val="nil"/>
            </w:tcBorders>
          </w:tcPr>
          <w:p w14:paraId="7908979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-300</w:t>
            </w:r>
          </w:p>
        </w:tc>
        <w:tc>
          <w:tcPr>
            <w:tcW w:w="990" w:type="dxa"/>
            <w:tcBorders>
              <w:top w:val="nil"/>
              <w:left w:val="nil"/>
              <w:bottom w:val="single" w:sz="4" w:space="0" w:color="auto"/>
              <w:right w:val="nil"/>
            </w:tcBorders>
          </w:tcPr>
          <w:p w14:paraId="59AC7863"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4893439C" w14:textId="77777777" w:rsidR="0039334C" w:rsidRPr="00CE1276" w:rsidRDefault="0039334C" w:rsidP="00DD5ED6">
            <w:pPr>
              <w:spacing w:line="276" w:lineRule="auto"/>
              <w:jc w:val="right"/>
              <w:rPr>
                <w:rFonts w:ascii="Palatino Linotype" w:hAnsi="Palatino Linotype"/>
                <w:sz w:val="20"/>
                <w:szCs w:val="20"/>
              </w:rPr>
            </w:pPr>
          </w:p>
        </w:tc>
        <w:tc>
          <w:tcPr>
            <w:tcW w:w="1170" w:type="dxa"/>
            <w:tcBorders>
              <w:top w:val="nil"/>
              <w:left w:val="nil"/>
              <w:bottom w:val="single" w:sz="4" w:space="0" w:color="auto"/>
              <w:right w:val="nil"/>
            </w:tcBorders>
          </w:tcPr>
          <w:p w14:paraId="549582C0"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06C5D9BE" w14:textId="77777777" w:rsidR="0039334C" w:rsidRPr="00CE1276" w:rsidRDefault="0039334C" w:rsidP="00DD5ED6">
            <w:pPr>
              <w:spacing w:line="276" w:lineRule="auto"/>
              <w:jc w:val="right"/>
              <w:rPr>
                <w:rFonts w:ascii="Palatino Linotype" w:hAnsi="Palatino Linotype"/>
                <w:sz w:val="20"/>
                <w:szCs w:val="20"/>
              </w:rPr>
            </w:pPr>
          </w:p>
        </w:tc>
      </w:tr>
      <w:tr w:rsidR="0039334C" w:rsidRPr="00CE1276" w14:paraId="203A3CB7" w14:textId="77777777" w:rsidTr="00DD5ED6">
        <w:tc>
          <w:tcPr>
            <w:tcW w:w="1350" w:type="dxa"/>
            <w:vMerge w:val="restart"/>
            <w:tcBorders>
              <w:top w:val="single" w:sz="4" w:space="0" w:color="auto"/>
              <w:left w:val="nil"/>
              <w:right w:val="nil"/>
            </w:tcBorders>
            <w:vAlign w:val="center"/>
          </w:tcPr>
          <w:p w14:paraId="6006B336"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Long delay components</w:t>
            </w:r>
          </w:p>
        </w:tc>
        <w:tc>
          <w:tcPr>
            <w:tcW w:w="540" w:type="dxa"/>
            <w:tcBorders>
              <w:top w:val="single" w:sz="4" w:space="0" w:color="auto"/>
              <w:left w:val="nil"/>
              <w:bottom w:val="nil"/>
            </w:tcBorders>
          </w:tcPr>
          <w:p w14:paraId="7C161407"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1</w:t>
            </w:r>
          </w:p>
        </w:tc>
        <w:tc>
          <w:tcPr>
            <w:tcW w:w="720" w:type="dxa"/>
            <w:tcBorders>
              <w:top w:val="single" w:sz="4" w:space="0" w:color="auto"/>
              <w:bottom w:val="nil"/>
              <w:right w:val="nil"/>
            </w:tcBorders>
          </w:tcPr>
          <w:p w14:paraId="760B4295"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single" w:sz="4" w:space="0" w:color="auto"/>
              <w:left w:val="nil"/>
              <w:bottom w:val="nil"/>
              <w:right w:val="nil"/>
            </w:tcBorders>
          </w:tcPr>
          <w:p w14:paraId="290639A7"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single" w:sz="4" w:space="0" w:color="auto"/>
              <w:left w:val="nil"/>
              <w:bottom w:val="nil"/>
              <w:right w:val="nil"/>
            </w:tcBorders>
          </w:tcPr>
          <w:p w14:paraId="6EDE8851"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single" w:sz="4" w:space="0" w:color="auto"/>
              <w:left w:val="nil"/>
              <w:bottom w:val="nil"/>
              <w:right w:val="nil"/>
            </w:tcBorders>
          </w:tcPr>
          <w:p w14:paraId="6A2084A8"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single" w:sz="4" w:space="0" w:color="auto"/>
              <w:left w:val="nil"/>
              <w:bottom w:val="nil"/>
              <w:right w:val="nil"/>
            </w:tcBorders>
          </w:tcPr>
          <w:p w14:paraId="7C8E1D55"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single" w:sz="4" w:space="0" w:color="auto"/>
              <w:left w:val="nil"/>
              <w:bottom w:val="nil"/>
              <w:right w:val="nil"/>
            </w:tcBorders>
          </w:tcPr>
          <w:p w14:paraId="7308533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-700</w:t>
            </w:r>
          </w:p>
        </w:tc>
        <w:tc>
          <w:tcPr>
            <w:tcW w:w="990" w:type="dxa"/>
            <w:tcBorders>
              <w:top w:val="single" w:sz="4" w:space="0" w:color="auto"/>
              <w:left w:val="nil"/>
              <w:bottom w:val="nil"/>
              <w:right w:val="nil"/>
            </w:tcBorders>
          </w:tcPr>
          <w:p w14:paraId="216C6ED2" w14:textId="77777777" w:rsidR="0039334C" w:rsidRPr="00CE1276" w:rsidRDefault="0039334C" w:rsidP="00DD5ED6">
            <w:pPr>
              <w:spacing w:line="276" w:lineRule="auto"/>
              <w:jc w:val="right"/>
              <w:rPr>
                <w:rFonts w:ascii="Palatino Linotype" w:hAnsi="Palatino Linotype"/>
                <w:sz w:val="20"/>
                <w:szCs w:val="20"/>
              </w:rPr>
            </w:pPr>
          </w:p>
        </w:tc>
        <w:tc>
          <w:tcPr>
            <w:tcW w:w="1170" w:type="dxa"/>
            <w:tcBorders>
              <w:top w:val="single" w:sz="4" w:space="0" w:color="auto"/>
              <w:left w:val="nil"/>
              <w:bottom w:val="nil"/>
              <w:right w:val="nil"/>
            </w:tcBorders>
          </w:tcPr>
          <w:p w14:paraId="57E4370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2,200</w:t>
            </w:r>
          </w:p>
        </w:tc>
        <w:tc>
          <w:tcPr>
            <w:tcW w:w="990" w:type="dxa"/>
            <w:tcBorders>
              <w:top w:val="single" w:sz="4" w:space="0" w:color="auto"/>
              <w:left w:val="nil"/>
              <w:bottom w:val="nil"/>
              <w:right w:val="nil"/>
            </w:tcBorders>
          </w:tcPr>
          <w:p w14:paraId="6920892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1,000</w:t>
            </w:r>
          </w:p>
        </w:tc>
      </w:tr>
      <w:tr w:rsidR="0039334C" w:rsidRPr="00CE1276" w14:paraId="4510DC84" w14:textId="77777777" w:rsidTr="00DD5ED6">
        <w:tc>
          <w:tcPr>
            <w:tcW w:w="1350" w:type="dxa"/>
            <w:vMerge/>
            <w:tcBorders>
              <w:left w:val="nil"/>
              <w:right w:val="nil"/>
            </w:tcBorders>
          </w:tcPr>
          <w:p w14:paraId="7537FE03" w14:textId="77777777" w:rsidR="0039334C" w:rsidRPr="00CE1276" w:rsidRDefault="0039334C" w:rsidP="00DD5ED6">
            <w:pPr>
              <w:spacing w:line="276" w:lineRule="auto"/>
              <w:rPr>
                <w:rFonts w:ascii="Palatino Linotype" w:hAnsi="Palatino Linotype"/>
                <w:sz w:val="20"/>
                <w:szCs w:val="20"/>
              </w:rPr>
            </w:pPr>
          </w:p>
        </w:tc>
        <w:tc>
          <w:tcPr>
            <w:tcW w:w="540" w:type="dxa"/>
            <w:tcBorders>
              <w:top w:val="nil"/>
              <w:left w:val="nil"/>
              <w:bottom w:val="nil"/>
            </w:tcBorders>
          </w:tcPr>
          <w:p w14:paraId="0018A883"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2</w:t>
            </w:r>
          </w:p>
        </w:tc>
        <w:tc>
          <w:tcPr>
            <w:tcW w:w="720" w:type="dxa"/>
            <w:tcBorders>
              <w:top w:val="nil"/>
              <w:bottom w:val="nil"/>
              <w:right w:val="nil"/>
            </w:tcBorders>
          </w:tcPr>
          <w:p w14:paraId="4D0560F6"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6265A01F"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6FBCBC2C"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368BC7F1"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2B822804"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3B45F586"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1,800</w:t>
            </w:r>
          </w:p>
        </w:tc>
        <w:tc>
          <w:tcPr>
            <w:tcW w:w="990" w:type="dxa"/>
            <w:tcBorders>
              <w:top w:val="nil"/>
              <w:left w:val="nil"/>
              <w:bottom w:val="nil"/>
              <w:right w:val="nil"/>
            </w:tcBorders>
          </w:tcPr>
          <w:p w14:paraId="05E8E7E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1,800</w:t>
            </w:r>
          </w:p>
        </w:tc>
        <w:tc>
          <w:tcPr>
            <w:tcW w:w="1170" w:type="dxa"/>
            <w:tcBorders>
              <w:top w:val="nil"/>
              <w:left w:val="nil"/>
              <w:bottom w:val="nil"/>
              <w:right w:val="nil"/>
            </w:tcBorders>
          </w:tcPr>
          <w:p w14:paraId="5314602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1,800</w:t>
            </w:r>
          </w:p>
        </w:tc>
        <w:tc>
          <w:tcPr>
            <w:tcW w:w="990" w:type="dxa"/>
            <w:tcBorders>
              <w:top w:val="nil"/>
              <w:left w:val="nil"/>
              <w:bottom w:val="nil"/>
              <w:right w:val="nil"/>
            </w:tcBorders>
          </w:tcPr>
          <w:p w14:paraId="4FBA9C74"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1,200</w:t>
            </w:r>
          </w:p>
        </w:tc>
      </w:tr>
      <w:tr w:rsidR="0039334C" w:rsidRPr="00CE1276" w14:paraId="542B9021" w14:textId="77777777" w:rsidTr="00DD5ED6">
        <w:tc>
          <w:tcPr>
            <w:tcW w:w="1350" w:type="dxa"/>
            <w:vMerge/>
            <w:tcBorders>
              <w:left w:val="nil"/>
              <w:right w:val="nil"/>
            </w:tcBorders>
          </w:tcPr>
          <w:p w14:paraId="32E88DA5" w14:textId="77777777" w:rsidR="0039334C" w:rsidRPr="00CE1276" w:rsidRDefault="0039334C" w:rsidP="00DD5ED6">
            <w:pPr>
              <w:spacing w:line="276" w:lineRule="auto"/>
              <w:rPr>
                <w:rFonts w:ascii="Palatino Linotype" w:hAnsi="Palatino Linotype"/>
                <w:sz w:val="20"/>
                <w:szCs w:val="20"/>
              </w:rPr>
            </w:pPr>
          </w:p>
        </w:tc>
        <w:tc>
          <w:tcPr>
            <w:tcW w:w="540" w:type="dxa"/>
            <w:tcBorders>
              <w:top w:val="nil"/>
              <w:left w:val="nil"/>
              <w:bottom w:val="nil"/>
            </w:tcBorders>
          </w:tcPr>
          <w:p w14:paraId="1E8EB6AE"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3</w:t>
            </w:r>
          </w:p>
        </w:tc>
        <w:tc>
          <w:tcPr>
            <w:tcW w:w="720" w:type="dxa"/>
            <w:tcBorders>
              <w:top w:val="nil"/>
              <w:bottom w:val="nil"/>
              <w:right w:val="nil"/>
            </w:tcBorders>
          </w:tcPr>
          <w:p w14:paraId="6402EC7A"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5F36F828"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5ADB0FB0"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20F5C821"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nil"/>
              <w:right w:val="nil"/>
            </w:tcBorders>
          </w:tcPr>
          <w:p w14:paraId="100B50C4"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nil"/>
              <w:right w:val="nil"/>
            </w:tcBorders>
          </w:tcPr>
          <w:p w14:paraId="1D261A3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-1,000</w:t>
            </w:r>
          </w:p>
        </w:tc>
        <w:tc>
          <w:tcPr>
            <w:tcW w:w="990" w:type="dxa"/>
            <w:tcBorders>
              <w:top w:val="nil"/>
              <w:left w:val="nil"/>
              <w:bottom w:val="nil"/>
              <w:right w:val="nil"/>
            </w:tcBorders>
          </w:tcPr>
          <w:p w14:paraId="59C86D7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2,100</w:t>
            </w:r>
          </w:p>
        </w:tc>
        <w:tc>
          <w:tcPr>
            <w:tcW w:w="1170" w:type="dxa"/>
            <w:tcBorders>
              <w:top w:val="nil"/>
              <w:left w:val="nil"/>
              <w:bottom w:val="nil"/>
              <w:right w:val="nil"/>
            </w:tcBorders>
          </w:tcPr>
          <w:p w14:paraId="791D7FD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1,500</w:t>
            </w:r>
          </w:p>
        </w:tc>
        <w:tc>
          <w:tcPr>
            <w:tcW w:w="990" w:type="dxa"/>
            <w:tcBorders>
              <w:top w:val="nil"/>
              <w:left w:val="nil"/>
              <w:bottom w:val="nil"/>
              <w:right w:val="nil"/>
            </w:tcBorders>
          </w:tcPr>
          <w:p w14:paraId="7BBE721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900</w:t>
            </w:r>
          </w:p>
        </w:tc>
      </w:tr>
      <w:tr w:rsidR="0039334C" w:rsidRPr="00CE1276" w14:paraId="7352081E" w14:textId="77777777" w:rsidTr="00DD5ED6">
        <w:tc>
          <w:tcPr>
            <w:tcW w:w="1350" w:type="dxa"/>
            <w:vMerge/>
            <w:tcBorders>
              <w:left w:val="nil"/>
              <w:bottom w:val="single" w:sz="4" w:space="0" w:color="auto"/>
              <w:right w:val="nil"/>
            </w:tcBorders>
          </w:tcPr>
          <w:p w14:paraId="26452F9C" w14:textId="77777777" w:rsidR="0039334C" w:rsidRPr="00CE1276" w:rsidRDefault="0039334C" w:rsidP="00DD5ED6">
            <w:pPr>
              <w:spacing w:line="276" w:lineRule="auto"/>
              <w:rPr>
                <w:rFonts w:ascii="Palatino Linotype" w:hAnsi="Palatino Linotype"/>
                <w:sz w:val="20"/>
                <w:szCs w:val="20"/>
              </w:rPr>
            </w:pPr>
          </w:p>
        </w:tc>
        <w:tc>
          <w:tcPr>
            <w:tcW w:w="540" w:type="dxa"/>
            <w:tcBorders>
              <w:top w:val="nil"/>
              <w:left w:val="nil"/>
              <w:bottom w:val="single" w:sz="4" w:space="0" w:color="auto"/>
            </w:tcBorders>
          </w:tcPr>
          <w:p w14:paraId="4740438C" w14:textId="77777777" w:rsidR="0039334C" w:rsidRPr="00CE1276" w:rsidRDefault="0039334C" w:rsidP="00DD5ED6">
            <w:pPr>
              <w:spacing w:line="276" w:lineRule="auto"/>
              <w:rPr>
                <w:rFonts w:ascii="Palatino Linotype" w:hAnsi="Palatino Linotype"/>
                <w:i/>
                <w:iCs/>
                <w:sz w:val="20"/>
                <w:szCs w:val="20"/>
              </w:rPr>
            </w:pPr>
            <w:r w:rsidRPr="00CE1276">
              <w:rPr>
                <w:rFonts w:ascii="Palatino Linotype" w:hAnsi="Palatino Linotype"/>
                <w:b/>
                <w:bCs/>
                <w:i/>
                <w:iCs/>
                <w:sz w:val="20"/>
                <w:szCs w:val="20"/>
              </w:rPr>
              <w:t>U</w:t>
            </w:r>
            <w:r w:rsidRPr="00CE1276">
              <w:rPr>
                <w:rFonts w:ascii="Palatino Linotype" w:hAnsi="Palatino Linotype"/>
                <w:sz w:val="20"/>
                <w:szCs w:val="20"/>
                <w:vertAlign w:val="subscript"/>
              </w:rPr>
              <w:t>6</w:t>
            </w:r>
          </w:p>
        </w:tc>
        <w:tc>
          <w:tcPr>
            <w:tcW w:w="720" w:type="dxa"/>
            <w:tcBorders>
              <w:top w:val="nil"/>
              <w:bottom w:val="single" w:sz="4" w:space="0" w:color="auto"/>
              <w:right w:val="nil"/>
            </w:tcBorders>
          </w:tcPr>
          <w:p w14:paraId="076C1D77"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single" w:sz="4" w:space="0" w:color="auto"/>
              <w:right w:val="nil"/>
            </w:tcBorders>
          </w:tcPr>
          <w:p w14:paraId="59B31C45"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47506C31"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single" w:sz="4" w:space="0" w:color="auto"/>
              <w:right w:val="nil"/>
            </w:tcBorders>
          </w:tcPr>
          <w:p w14:paraId="73536791" w14:textId="77777777" w:rsidR="0039334C" w:rsidRPr="00CE1276" w:rsidRDefault="0039334C" w:rsidP="00DD5ED6">
            <w:pPr>
              <w:spacing w:line="276" w:lineRule="auto"/>
              <w:jc w:val="right"/>
              <w:rPr>
                <w:rFonts w:ascii="Palatino Linotype" w:hAnsi="Palatino Linotype"/>
                <w:sz w:val="20"/>
                <w:szCs w:val="20"/>
              </w:rPr>
            </w:pPr>
          </w:p>
        </w:tc>
        <w:tc>
          <w:tcPr>
            <w:tcW w:w="900" w:type="dxa"/>
            <w:tcBorders>
              <w:top w:val="nil"/>
              <w:left w:val="nil"/>
              <w:bottom w:val="single" w:sz="4" w:space="0" w:color="auto"/>
              <w:right w:val="nil"/>
            </w:tcBorders>
          </w:tcPr>
          <w:p w14:paraId="61B928B9"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175C3593"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477FFF4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-600</w:t>
            </w:r>
          </w:p>
        </w:tc>
        <w:tc>
          <w:tcPr>
            <w:tcW w:w="1170" w:type="dxa"/>
            <w:tcBorders>
              <w:top w:val="nil"/>
              <w:left w:val="nil"/>
              <w:bottom w:val="single" w:sz="4" w:space="0" w:color="auto"/>
              <w:right w:val="nil"/>
            </w:tcBorders>
          </w:tcPr>
          <w:p w14:paraId="14701298" w14:textId="77777777" w:rsidR="0039334C" w:rsidRPr="00CE1276" w:rsidRDefault="0039334C" w:rsidP="00DD5ED6">
            <w:pPr>
              <w:spacing w:line="276" w:lineRule="auto"/>
              <w:jc w:val="right"/>
              <w:rPr>
                <w:rFonts w:ascii="Palatino Linotype" w:hAnsi="Palatino Linotype"/>
                <w:sz w:val="20"/>
                <w:szCs w:val="20"/>
              </w:rPr>
            </w:pPr>
          </w:p>
        </w:tc>
        <w:tc>
          <w:tcPr>
            <w:tcW w:w="990" w:type="dxa"/>
            <w:tcBorders>
              <w:top w:val="nil"/>
              <w:left w:val="nil"/>
              <w:bottom w:val="single" w:sz="4" w:space="0" w:color="auto"/>
              <w:right w:val="nil"/>
            </w:tcBorders>
          </w:tcPr>
          <w:p w14:paraId="2A860A9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1,500</w:t>
            </w:r>
          </w:p>
        </w:tc>
      </w:tr>
      <w:tr w:rsidR="0039334C" w:rsidRPr="00CE1276" w14:paraId="6E84382B" w14:textId="77777777" w:rsidTr="00DD5ED6">
        <w:tc>
          <w:tcPr>
            <w:tcW w:w="1890" w:type="dxa"/>
            <w:gridSpan w:val="2"/>
            <w:tcBorders>
              <w:top w:val="single" w:sz="4" w:space="0" w:color="auto"/>
              <w:left w:val="nil"/>
              <w:bottom w:val="nil"/>
            </w:tcBorders>
          </w:tcPr>
          <w:p w14:paraId="2D0E53FF" w14:textId="77777777" w:rsidR="0039334C" w:rsidRPr="00CE1276" w:rsidRDefault="0039334C" w:rsidP="00DD5ED6">
            <w:pPr>
              <w:spacing w:line="276" w:lineRule="auto"/>
              <w:rPr>
                <w:rFonts w:ascii="Palatino Linotype" w:hAnsi="Palatino Linotype"/>
                <w:sz w:val="20"/>
                <w:szCs w:val="20"/>
              </w:rPr>
            </w:pPr>
            <w:r>
              <w:rPr>
                <w:rFonts w:ascii="Palatino Linotype" w:hAnsi="Palatino Linotype"/>
                <w:sz w:val="20"/>
                <w:szCs w:val="20"/>
              </w:rPr>
              <w:t>Starting model</w:t>
            </w:r>
          </w:p>
        </w:tc>
        <w:tc>
          <w:tcPr>
            <w:tcW w:w="8550" w:type="dxa"/>
            <w:gridSpan w:val="9"/>
            <w:tcBorders>
              <w:top w:val="single" w:sz="4" w:space="0" w:color="auto"/>
              <w:bottom w:val="nil"/>
              <w:right w:val="nil"/>
            </w:tcBorders>
          </w:tcPr>
          <w:p w14:paraId="19B92319" w14:textId="77777777" w:rsidR="0039334C" w:rsidRPr="00CE1276" w:rsidRDefault="0039334C" w:rsidP="00DD5ED6">
            <w:pPr>
              <w:spacing w:line="276" w:lineRule="auto"/>
              <w:jc w:val="center"/>
              <w:rPr>
                <w:rFonts w:ascii="Palatino Linotype" w:hAnsi="Palatino Linotype"/>
                <w:sz w:val="20"/>
                <w:szCs w:val="20"/>
              </w:rPr>
            </w:pPr>
            <w:r>
              <w:rPr>
                <w:rFonts w:ascii="Palatino Linotype" w:hAnsi="Palatino Linotype"/>
                <w:sz w:val="20"/>
                <w:szCs w:val="20"/>
              </w:rPr>
              <w:t>PDB 6g7h</w:t>
            </w:r>
          </w:p>
        </w:tc>
      </w:tr>
      <w:tr w:rsidR="0039334C" w:rsidRPr="00CE1276" w14:paraId="373ABACE" w14:textId="77777777" w:rsidTr="00DD5ED6">
        <w:tc>
          <w:tcPr>
            <w:tcW w:w="1890" w:type="dxa"/>
            <w:gridSpan w:val="2"/>
            <w:tcBorders>
              <w:top w:val="nil"/>
              <w:left w:val="nil"/>
              <w:bottom w:val="nil"/>
            </w:tcBorders>
          </w:tcPr>
          <w:p w14:paraId="616BAB67"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Resolution range</w:t>
            </w:r>
          </w:p>
        </w:tc>
        <w:tc>
          <w:tcPr>
            <w:tcW w:w="8550" w:type="dxa"/>
            <w:gridSpan w:val="9"/>
            <w:tcBorders>
              <w:top w:val="nil"/>
              <w:bottom w:val="nil"/>
              <w:right w:val="nil"/>
            </w:tcBorders>
          </w:tcPr>
          <w:p w14:paraId="7A9B69E7"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50-2.1 Å</w:t>
            </w:r>
          </w:p>
        </w:tc>
      </w:tr>
      <w:tr w:rsidR="0039334C" w:rsidRPr="00CE1276" w14:paraId="2B397CB3" w14:textId="77777777" w:rsidTr="00DD5ED6">
        <w:tc>
          <w:tcPr>
            <w:tcW w:w="1890" w:type="dxa"/>
            <w:gridSpan w:val="2"/>
            <w:tcBorders>
              <w:top w:val="nil"/>
              <w:left w:val="nil"/>
              <w:bottom w:val="nil"/>
            </w:tcBorders>
          </w:tcPr>
          <w:p w14:paraId="631D3C49"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Space group</w:t>
            </w:r>
          </w:p>
        </w:tc>
        <w:tc>
          <w:tcPr>
            <w:tcW w:w="8550" w:type="dxa"/>
            <w:gridSpan w:val="9"/>
            <w:tcBorders>
              <w:top w:val="nil"/>
              <w:bottom w:val="nil"/>
              <w:right w:val="nil"/>
            </w:tcBorders>
          </w:tcPr>
          <w:p w14:paraId="739EB959"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P1</w:t>
            </w:r>
          </w:p>
        </w:tc>
      </w:tr>
      <w:tr w:rsidR="0039334C" w:rsidRPr="00CE1276" w14:paraId="727B5F04" w14:textId="77777777" w:rsidTr="00DD5ED6">
        <w:tc>
          <w:tcPr>
            <w:tcW w:w="1890" w:type="dxa"/>
            <w:gridSpan w:val="2"/>
            <w:tcBorders>
              <w:top w:val="nil"/>
              <w:left w:val="nil"/>
              <w:bottom w:val="nil"/>
            </w:tcBorders>
          </w:tcPr>
          <w:p w14:paraId="5771B21F"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Unit cell</w:t>
            </w:r>
          </w:p>
        </w:tc>
        <w:tc>
          <w:tcPr>
            <w:tcW w:w="8550" w:type="dxa"/>
            <w:gridSpan w:val="9"/>
            <w:tcBorders>
              <w:top w:val="nil"/>
              <w:bottom w:val="nil"/>
              <w:right w:val="nil"/>
            </w:tcBorders>
          </w:tcPr>
          <w:p w14:paraId="3FCB39F6"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i/>
                <w:iCs/>
                <w:sz w:val="20"/>
                <w:szCs w:val="20"/>
              </w:rPr>
              <w:t>a</w:t>
            </w:r>
            <w:r w:rsidRPr="00CE1276">
              <w:rPr>
                <w:rFonts w:ascii="Palatino Linotype" w:hAnsi="Palatino Linotype"/>
                <w:sz w:val="20"/>
                <w:szCs w:val="20"/>
              </w:rPr>
              <w:t xml:space="preserve"> = 62.32 Å; </w:t>
            </w:r>
            <w:r w:rsidRPr="00CE1276">
              <w:rPr>
                <w:rFonts w:ascii="Palatino Linotype" w:hAnsi="Palatino Linotype"/>
                <w:i/>
                <w:iCs/>
                <w:sz w:val="20"/>
                <w:szCs w:val="20"/>
              </w:rPr>
              <w:t>b</w:t>
            </w:r>
            <w:r w:rsidRPr="00CE1276">
              <w:rPr>
                <w:rFonts w:ascii="Palatino Linotype" w:hAnsi="Palatino Linotype"/>
                <w:sz w:val="20"/>
                <w:szCs w:val="20"/>
              </w:rPr>
              <w:t xml:space="preserve"> = 62.32 Å; </w:t>
            </w:r>
            <w:r w:rsidRPr="00CE1276">
              <w:rPr>
                <w:rFonts w:ascii="Palatino Linotype" w:hAnsi="Palatino Linotype"/>
                <w:i/>
                <w:iCs/>
                <w:sz w:val="20"/>
                <w:szCs w:val="20"/>
              </w:rPr>
              <w:t>c</w:t>
            </w:r>
            <w:r w:rsidRPr="00CE1276">
              <w:rPr>
                <w:rFonts w:ascii="Palatino Linotype" w:hAnsi="Palatino Linotype"/>
                <w:sz w:val="20"/>
                <w:szCs w:val="20"/>
              </w:rPr>
              <w:t xml:space="preserve"> = 111.10 Å; </w:t>
            </w:r>
            <w:r w:rsidRPr="00CE1276">
              <w:rPr>
                <w:rFonts w:ascii="Palatino Linotype" w:hAnsi="Palatino Linotype"/>
                <w:i/>
                <w:iCs/>
                <w:sz w:val="20"/>
                <w:szCs w:val="20"/>
              </w:rPr>
              <w:sym w:font="Symbol" w:char="F061"/>
            </w:r>
            <w:r w:rsidRPr="00CE1276">
              <w:rPr>
                <w:rFonts w:ascii="Palatino Linotype" w:hAnsi="Palatino Linotype"/>
                <w:sz w:val="20"/>
                <w:szCs w:val="20"/>
              </w:rPr>
              <w:t xml:space="preserve"> = 90</w:t>
            </w:r>
            <w:r w:rsidRPr="00CE1276">
              <w:rPr>
                <w:rFonts w:ascii="Palatino Linotype" w:hAnsi="Palatino Linotype"/>
                <w:sz w:val="20"/>
                <w:szCs w:val="20"/>
              </w:rPr>
              <w:sym w:font="Symbol" w:char="F0B0"/>
            </w:r>
            <w:r w:rsidRPr="00CE1276">
              <w:rPr>
                <w:rFonts w:ascii="Palatino Linotype" w:hAnsi="Palatino Linotype"/>
                <w:sz w:val="20"/>
                <w:szCs w:val="20"/>
              </w:rPr>
              <w:t xml:space="preserve">; </w:t>
            </w:r>
            <w:r w:rsidRPr="00CE1276">
              <w:rPr>
                <w:rFonts w:ascii="Palatino Linotype" w:hAnsi="Palatino Linotype"/>
                <w:i/>
                <w:iCs/>
                <w:sz w:val="20"/>
                <w:szCs w:val="20"/>
              </w:rPr>
              <w:sym w:font="Symbol" w:char="F062"/>
            </w:r>
            <w:r w:rsidRPr="00CE1276">
              <w:rPr>
                <w:rFonts w:ascii="Palatino Linotype" w:hAnsi="Palatino Linotype"/>
                <w:sz w:val="20"/>
                <w:szCs w:val="20"/>
              </w:rPr>
              <w:t xml:space="preserve"> = 90</w:t>
            </w:r>
            <w:r w:rsidRPr="00CE1276">
              <w:rPr>
                <w:rFonts w:ascii="Palatino Linotype" w:hAnsi="Palatino Linotype"/>
                <w:sz w:val="20"/>
                <w:szCs w:val="20"/>
              </w:rPr>
              <w:sym w:font="Symbol" w:char="F0B0"/>
            </w:r>
            <w:r w:rsidRPr="00CE1276">
              <w:rPr>
                <w:rFonts w:ascii="Palatino Linotype" w:hAnsi="Palatino Linotype"/>
                <w:sz w:val="20"/>
                <w:szCs w:val="20"/>
              </w:rPr>
              <w:t xml:space="preserve">; and </w:t>
            </w:r>
            <w:r w:rsidRPr="00CE1276">
              <w:rPr>
                <w:rFonts w:ascii="Palatino Linotype" w:hAnsi="Palatino Linotype"/>
                <w:i/>
                <w:iCs/>
                <w:sz w:val="20"/>
                <w:szCs w:val="20"/>
              </w:rPr>
              <w:sym w:font="Symbol" w:char="F067"/>
            </w:r>
            <w:r w:rsidRPr="00CE1276">
              <w:rPr>
                <w:rFonts w:ascii="Palatino Linotype" w:hAnsi="Palatino Linotype"/>
                <w:sz w:val="20"/>
                <w:szCs w:val="20"/>
              </w:rPr>
              <w:t xml:space="preserve"> = 120</w:t>
            </w:r>
            <w:r w:rsidRPr="00CE1276">
              <w:rPr>
                <w:rFonts w:ascii="Palatino Linotype" w:hAnsi="Palatino Linotype"/>
                <w:sz w:val="20"/>
                <w:szCs w:val="20"/>
              </w:rPr>
              <w:sym w:font="Symbol" w:char="F0B0"/>
            </w:r>
          </w:p>
        </w:tc>
      </w:tr>
      <w:tr w:rsidR="0039334C" w:rsidRPr="00CE1276" w14:paraId="665D5CB1" w14:textId="77777777" w:rsidTr="00DD5ED6">
        <w:tc>
          <w:tcPr>
            <w:tcW w:w="1890" w:type="dxa"/>
            <w:gridSpan w:val="2"/>
            <w:tcBorders>
              <w:top w:val="nil"/>
              <w:left w:val="nil"/>
              <w:bottom w:val="nil"/>
            </w:tcBorders>
          </w:tcPr>
          <w:p w14:paraId="01F915B1"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Unique reflections</w:t>
            </w:r>
          </w:p>
        </w:tc>
        <w:tc>
          <w:tcPr>
            <w:tcW w:w="8550" w:type="dxa"/>
            <w:gridSpan w:val="9"/>
            <w:tcBorders>
              <w:top w:val="nil"/>
              <w:bottom w:val="nil"/>
              <w:right w:val="nil"/>
            </w:tcBorders>
          </w:tcPr>
          <w:p w14:paraId="4BC1D6E1"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80,354 in working set + 4,236 in test set = 84,590 total</w:t>
            </w:r>
          </w:p>
        </w:tc>
      </w:tr>
      <w:tr w:rsidR="0039334C" w:rsidRPr="00CE1276" w14:paraId="42C33969" w14:textId="77777777" w:rsidTr="00DD5ED6">
        <w:tc>
          <w:tcPr>
            <w:tcW w:w="1890" w:type="dxa"/>
            <w:gridSpan w:val="2"/>
            <w:tcBorders>
              <w:top w:val="nil"/>
              <w:left w:val="nil"/>
              <w:bottom w:val="nil"/>
            </w:tcBorders>
          </w:tcPr>
          <w:p w14:paraId="26B9D2CF"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Completeness</w:t>
            </w:r>
          </w:p>
        </w:tc>
        <w:tc>
          <w:tcPr>
            <w:tcW w:w="8550" w:type="dxa"/>
            <w:gridSpan w:val="9"/>
            <w:tcBorders>
              <w:top w:val="nil"/>
              <w:bottom w:val="nil"/>
              <w:right w:val="nil"/>
            </w:tcBorders>
          </w:tcPr>
          <w:p w14:paraId="41D9273D"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95% in working set + 5% in test set = 100% reconstituted</w:t>
            </w:r>
          </w:p>
        </w:tc>
      </w:tr>
      <w:tr w:rsidR="0039334C" w:rsidRPr="00CE1276" w14:paraId="2B1C53BE" w14:textId="77777777" w:rsidTr="00DD5ED6">
        <w:tc>
          <w:tcPr>
            <w:tcW w:w="1890" w:type="dxa"/>
            <w:gridSpan w:val="2"/>
            <w:tcBorders>
              <w:top w:val="nil"/>
              <w:left w:val="nil"/>
              <w:bottom w:val="nil"/>
            </w:tcBorders>
          </w:tcPr>
          <w:p w14:paraId="567E3A59"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i/>
                <w:iCs/>
                <w:sz w:val="20"/>
                <w:szCs w:val="20"/>
              </w:rPr>
              <w:t>R</w:t>
            </w:r>
            <w:r w:rsidRPr="00CE1276">
              <w:rPr>
                <w:rFonts w:ascii="Palatino Linotype" w:hAnsi="Palatino Linotype"/>
                <w:sz w:val="20"/>
                <w:szCs w:val="20"/>
              </w:rPr>
              <w:t xml:space="preserve"> (%)</w:t>
            </w:r>
          </w:p>
        </w:tc>
        <w:tc>
          <w:tcPr>
            <w:tcW w:w="720" w:type="dxa"/>
            <w:tcBorders>
              <w:top w:val="nil"/>
              <w:bottom w:val="nil"/>
              <w:right w:val="nil"/>
            </w:tcBorders>
          </w:tcPr>
          <w:p w14:paraId="439153E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1.8</w:t>
            </w:r>
          </w:p>
        </w:tc>
        <w:tc>
          <w:tcPr>
            <w:tcW w:w="900" w:type="dxa"/>
            <w:tcBorders>
              <w:top w:val="nil"/>
              <w:left w:val="nil"/>
              <w:bottom w:val="nil"/>
              <w:right w:val="nil"/>
            </w:tcBorders>
          </w:tcPr>
          <w:p w14:paraId="394DA502"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29.4</w:t>
            </w:r>
          </w:p>
        </w:tc>
        <w:tc>
          <w:tcPr>
            <w:tcW w:w="990" w:type="dxa"/>
            <w:tcBorders>
              <w:top w:val="nil"/>
              <w:left w:val="nil"/>
              <w:bottom w:val="nil"/>
              <w:right w:val="nil"/>
            </w:tcBorders>
          </w:tcPr>
          <w:p w14:paraId="72C0058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31.0</w:t>
            </w:r>
          </w:p>
        </w:tc>
        <w:tc>
          <w:tcPr>
            <w:tcW w:w="900" w:type="dxa"/>
            <w:tcBorders>
              <w:top w:val="nil"/>
              <w:left w:val="nil"/>
              <w:bottom w:val="nil"/>
              <w:right w:val="nil"/>
            </w:tcBorders>
          </w:tcPr>
          <w:p w14:paraId="4BA02684"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29.1</w:t>
            </w:r>
          </w:p>
        </w:tc>
        <w:tc>
          <w:tcPr>
            <w:tcW w:w="900" w:type="dxa"/>
            <w:tcBorders>
              <w:top w:val="nil"/>
              <w:left w:val="nil"/>
              <w:bottom w:val="nil"/>
              <w:right w:val="nil"/>
            </w:tcBorders>
          </w:tcPr>
          <w:p w14:paraId="59F26B2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30.0</w:t>
            </w:r>
          </w:p>
        </w:tc>
        <w:tc>
          <w:tcPr>
            <w:tcW w:w="990" w:type="dxa"/>
            <w:tcBorders>
              <w:top w:val="nil"/>
              <w:left w:val="nil"/>
              <w:bottom w:val="nil"/>
              <w:right w:val="nil"/>
            </w:tcBorders>
          </w:tcPr>
          <w:p w14:paraId="4405587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26.0</w:t>
            </w:r>
          </w:p>
        </w:tc>
        <w:tc>
          <w:tcPr>
            <w:tcW w:w="990" w:type="dxa"/>
            <w:tcBorders>
              <w:top w:val="nil"/>
              <w:left w:val="nil"/>
              <w:bottom w:val="nil"/>
              <w:right w:val="nil"/>
            </w:tcBorders>
          </w:tcPr>
          <w:p w14:paraId="1C1E8D0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27.7</w:t>
            </w:r>
          </w:p>
        </w:tc>
        <w:tc>
          <w:tcPr>
            <w:tcW w:w="1170" w:type="dxa"/>
            <w:tcBorders>
              <w:top w:val="nil"/>
              <w:left w:val="nil"/>
              <w:bottom w:val="nil"/>
              <w:right w:val="nil"/>
            </w:tcBorders>
          </w:tcPr>
          <w:p w14:paraId="5B1595F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28.4</w:t>
            </w:r>
          </w:p>
        </w:tc>
        <w:tc>
          <w:tcPr>
            <w:tcW w:w="990" w:type="dxa"/>
            <w:tcBorders>
              <w:top w:val="nil"/>
              <w:left w:val="nil"/>
              <w:bottom w:val="nil"/>
              <w:right w:val="nil"/>
            </w:tcBorders>
          </w:tcPr>
          <w:p w14:paraId="6628178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28.5</w:t>
            </w:r>
          </w:p>
        </w:tc>
      </w:tr>
      <w:tr w:rsidR="0039334C" w:rsidRPr="00CE1276" w14:paraId="3BECB671" w14:textId="77777777" w:rsidTr="00DD5ED6">
        <w:tc>
          <w:tcPr>
            <w:tcW w:w="1890" w:type="dxa"/>
            <w:gridSpan w:val="2"/>
            <w:tcBorders>
              <w:top w:val="nil"/>
              <w:left w:val="nil"/>
              <w:bottom w:val="nil"/>
            </w:tcBorders>
          </w:tcPr>
          <w:p w14:paraId="78C5597E" w14:textId="77777777" w:rsidR="0039334C" w:rsidRPr="00CE1276" w:rsidRDefault="0039334C" w:rsidP="00DD5ED6">
            <w:pPr>
              <w:spacing w:line="276" w:lineRule="auto"/>
              <w:rPr>
                <w:rFonts w:ascii="Palatino Linotype" w:hAnsi="Palatino Linotype"/>
                <w:sz w:val="20"/>
                <w:szCs w:val="20"/>
              </w:rPr>
            </w:pPr>
            <w:proofErr w:type="spellStart"/>
            <w:r w:rsidRPr="00CE1276">
              <w:rPr>
                <w:rFonts w:ascii="Palatino Linotype" w:hAnsi="Palatino Linotype"/>
                <w:i/>
                <w:iCs/>
                <w:sz w:val="20"/>
                <w:szCs w:val="20"/>
              </w:rPr>
              <w:t>R</w:t>
            </w:r>
            <w:r w:rsidRPr="00CE1276">
              <w:rPr>
                <w:rFonts w:ascii="Palatino Linotype" w:hAnsi="Palatino Linotype"/>
                <w:sz w:val="20"/>
                <w:szCs w:val="20"/>
                <w:vertAlign w:val="subscript"/>
              </w:rPr>
              <w:t>free</w:t>
            </w:r>
            <w:proofErr w:type="spellEnd"/>
            <w:r w:rsidRPr="00CE1276">
              <w:rPr>
                <w:rFonts w:ascii="Palatino Linotype" w:hAnsi="Palatino Linotype"/>
                <w:sz w:val="20"/>
                <w:szCs w:val="20"/>
              </w:rPr>
              <w:t xml:space="preserve"> (%)</w:t>
            </w:r>
          </w:p>
        </w:tc>
        <w:tc>
          <w:tcPr>
            <w:tcW w:w="720" w:type="dxa"/>
            <w:tcBorders>
              <w:top w:val="nil"/>
              <w:bottom w:val="nil"/>
              <w:right w:val="nil"/>
            </w:tcBorders>
          </w:tcPr>
          <w:p w14:paraId="46071CD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1.9</w:t>
            </w:r>
          </w:p>
        </w:tc>
        <w:tc>
          <w:tcPr>
            <w:tcW w:w="900" w:type="dxa"/>
            <w:tcBorders>
              <w:top w:val="nil"/>
              <w:left w:val="nil"/>
              <w:bottom w:val="nil"/>
              <w:right w:val="nil"/>
            </w:tcBorders>
          </w:tcPr>
          <w:p w14:paraId="19E9B3C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31.1</w:t>
            </w:r>
          </w:p>
        </w:tc>
        <w:tc>
          <w:tcPr>
            <w:tcW w:w="990" w:type="dxa"/>
            <w:tcBorders>
              <w:top w:val="nil"/>
              <w:left w:val="nil"/>
              <w:bottom w:val="nil"/>
              <w:right w:val="nil"/>
            </w:tcBorders>
          </w:tcPr>
          <w:p w14:paraId="35A2AD1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32.4</w:t>
            </w:r>
          </w:p>
        </w:tc>
        <w:tc>
          <w:tcPr>
            <w:tcW w:w="900" w:type="dxa"/>
            <w:tcBorders>
              <w:top w:val="nil"/>
              <w:left w:val="nil"/>
              <w:bottom w:val="nil"/>
              <w:right w:val="nil"/>
            </w:tcBorders>
          </w:tcPr>
          <w:p w14:paraId="3CD61B8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30.4</w:t>
            </w:r>
          </w:p>
        </w:tc>
        <w:tc>
          <w:tcPr>
            <w:tcW w:w="900" w:type="dxa"/>
            <w:tcBorders>
              <w:top w:val="nil"/>
              <w:left w:val="nil"/>
              <w:bottom w:val="nil"/>
              <w:right w:val="nil"/>
            </w:tcBorders>
          </w:tcPr>
          <w:p w14:paraId="7CE9CB6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30.7</w:t>
            </w:r>
          </w:p>
        </w:tc>
        <w:tc>
          <w:tcPr>
            <w:tcW w:w="990" w:type="dxa"/>
            <w:tcBorders>
              <w:top w:val="nil"/>
              <w:left w:val="nil"/>
              <w:bottom w:val="nil"/>
              <w:right w:val="nil"/>
            </w:tcBorders>
          </w:tcPr>
          <w:p w14:paraId="302DEAD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26.3</w:t>
            </w:r>
          </w:p>
        </w:tc>
        <w:tc>
          <w:tcPr>
            <w:tcW w:w="990" w:type="dxa"/>
            <w:tcBorders>
              <w:top w:val="nil"/>
              <w:left w:val="nil"/>
              <w:bottom w:val="nil"/>
              <w:right w:val="nil"/>
            </w:tcBorders>
          </w:tcPr>
          <w:p w14:paraId="6C9716A4"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28.8</w:t>
            </w:r>
          </w:p>
        </w:tc>
        <w:tc>
          <w:tcPr>
            <w:tcW w:w="1170" w:type="dxa"/>
            <w:tcBorders>
              <w:top w:val="nil"/>
              <w:left w:val="nil"/>
              <w:bottom w:val="nil"/>
              <w:right w:val="nil"/>
            </w:tcBorders>
          </w:tcPr>
          <w:p w14:paraId="7B4C77E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29.6</w:t>
            </w:r>
          </w:p>
        </w:tc>
        <w:tc>
          <w:tcPr>
            <w:tcW w:w="990" w:type="dxa"/>
            <w:tcBorders>
              <w:top w:val="nil"/>
              <w:left w:val="nil"/>
              <w:bottom w:val="nil"/>
              <w:right w:val="nil"/>
            </w:tcBorders>
          </w:tcPr>
          <w:p w14:paraId="3FA1C419"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29.7</w:t>
            </w:r>
          </w:p>
        </w:tc>
      </w:tr>
      <w:tr w:rsidR="0039334C" w:rsidRPr="00CE1276" w14:paraId="1AFB9F62" w14:textId="77777777" w:rsidTr="00DD5ED6">
        <w:tc>
          <w:tcPr>
            <w:tcW w:w="1890" w:type="dxa"/>
            <w:gridSpan w:val="2"/>
            <w:tcBorders>
              <w:top w:val="nil"/>
              <w:left w:val="nil"/>
              <w:bottom w:val="nil"/>
            </w:tcBorders>
          </w:tcPr>
          <w:p w14:paraId="031FF235"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Refined content</w:t>
            </w:r>
          </w:p>
        </w:tc>
        <w:tc>
          <w:tcPr>
            <w:tcW w:w="8550" w:type="dxa"/>
            <w:gridSpan w:val="9"/>
            <w:tcBorders>
              <w:top w:val="nil"/>
              <w:bottom w:val="nil"/>
              <w:right w:val="nil"/>
            </w:tcBorders>
          </w:tcPr>
          <w:p w14:paraId="7B9B96F8" w14:textId="77777777" w:rsidR="0039334C" w:rsidRPr="00CE1276" w:rsidRDefault="0039334C" w:rsidP="00DD5ED6">
            <w:pPr>
              <w:spacing w:line="276" w:lineRule="auto"/>
              <w:jc w:val="center"/>
              <w:rPr>
                <w:rFonts w:ascii="Palatino Linotype" w:hAnsi="Palatino Linotype"/>
                <w:sz w:val="20"/>
                <w:szCs w:val="20"/>
              </w:rPr>
            </w:pPr>
            <w:r w:rsidRPr="00CE1276">
              <w:rPr>
                <w:rFonts w:ascii="Palatino Linotype" w:hAnsi="Palatino Linotype"/>
                <w:sz w:val="20"/>
                <w:szCs w:val="20"/>
              </w:rPr>
              <w:t>230 protein residues + 1 retinal + water molecules</w:t>
            </w:r>
          </w:p>
        </w:tc>
      </w:tr>
      <w:tr w:rsidR="0039334C" w:rsidRPr="00CE1276" w14:paraId="24767358" w14:textId="77777777" w:rsidTr="00DD5ED6">
        <w:tc>
          <w:tcPr>
            <w:tcW w:w="1890" w:type="dxa"/>
            <w:gridSpan w:val="2"/>
            <w:tcBorders>
              <w:top w:val="nil"/>
              <w:left w:val="nil"/>
              <w:bottom w:val="nil"/>
            </w:tcBorders>
          </w:tcPr>
          <w:p w14:paraId="421E43C0"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Number of atoms</w:t>
            </w:r>
          </w:p>
        </w:tc>
        <w:tc>
          <w:tcPr>
            <w:tcW w:w="720" w:type="dxa"/>
            <w:tcBorders>
              <w:top w:val="nil"/>
              <w:bottom w:val="nil"/>
              <w:right w:val="nil"/>
            </w:tcBorders>
          </w:tcPr>
          <w:p w14:paraId="1E19EBB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1,798</w:t>
            </w:r>
          </w:p>
        </w:tc>
        <w:tc>
          <w:tcPr>
            <w:tcW w:w="900" w:type="dxa"/>
            <w:tcBorders>
              <w:top w:val="nil"/>
              <w:left w:val="nil"/>
              <w:bottom w:val="nil"/>
              <w:right w:val="nil"/>
            </w:tcBorders>
          </w:tcPr>
          <w:p w14:paraId="6375034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1,795</w:t>
            </w:r>
          </w:p>
        </w:tc>
        <w:tc>
          <w:tcPr>
            <w:tcW w:w="990" w:type="dxa"/>
            <w:tcBorders>
              <w:top w:val="nil"/>
              <w:left w:val="nil"/>
              <w:bottom w:val="nil"/>
              <w:right w:val="nil"/>
            </w:tcBorders>
          </w:tcPr>
          <w:p w14:paraId="1B0BAA4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1,798</w:t>
            </w:r>
          </w:p>
        </w:tc>
        <w:tc>
          <w:tcPr>
            <w:tcW w:w="900" w:type="dxa"/>
            <w:tcBorders>
              <w:top w:val="nil"/>
              <w:left w:val="nil"/>
              <w:bottom w:val="nil"/>
              <w:right w:val="nil"/>
            </w:tcBorders>
          </w:tcPr>
          <w:p w14:paraId="29909726"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1,796</w:t>
            </w:r>
          </w:p>
        </w:tc>
        <w:tc>
          <w:tcPr>
            <w:tcW w:w="900" w:type="dxa"/>
            <w:tcBorders>
              <w:top w:val="nil"/>
              <w:left w:val="nil"/>
              <w:bottom w:val="nil"/>
              <w:right w:val="nil"/>
            </w:tcBorders>
          </w:tcPr>
          <w:p w14:paraId="2B036479"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1,795</w:t>
            </w:r>
          </w:p>
        </w:tc>
        <w:tc>
          <w:tcPr>
            <w:tcW w:w="990" w:type="dxa"/>
            <w:tcBorders>
              <w:top w:val="nil"/>
              <w:left w:val="nil"/>
              <w:bottom w:val="nil"/>
              <w:right w:val="nil"/>
            </w:tcBorders>
          </w:tcPr>
          <w:p w14:paraId="3C323D5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1,798</w:t>
            </w:r>
          </w:p>
        </w:tc>
        <w:tc>
          <w:tcPr>
            <w:tcW w:w="990" w:type="dxa"/>
            <w:tcBorders>
              <w:top w:val="nil"/>
              <w:left w:val="nil"/>
              <w:bottom w:val="nil"/>
              <w:right w:val="nil"/>
            </w:tcBorders>
          </w:tcPr>
          <w:p w14:paraId="6E68F69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1,794</w:t>
            </w:r>
          </w:p>
        </w:tc>
        <w:tc>
          <w:tcPr>
            <w:tcW w:w="1170" w:type="dxa"/>
            <w:tcBorders>
              <w:top w:val="nil"/>
              <w:left w:val="nil"/>
              <w:bottom w:val="nil"/>
              <w:right w:val="nil"/>
            </w:tcBorders>
          </w:tcPr>
          <w:p w14:paraId="4BC90EF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1,799</w:t>
            </w:r>
          </w:p>
        </w:tc>
        <w:tc>
          <w:tcPr>
            <w:tcW w:w="990" w:type="dxa"/>
            <w:tcBorders>
              <w:top w:val="nil"/>
              <w:left w:val="nil"/>
              <w:bottom w:val="nil"/>
              <w:right w:val="nil"/>
            </w:tcBorders>
          </w:tcPr>
          <w:p w14:paraId="7B4F18C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1,796</w:t>
            </w:r>
          </w:p>
        </w:tc>
      </w:tr>
      <w:tr w:rsidR="0039334C" w:rsidRPr="00CE1276" w14:paraId="52C73F0F" w14:textId="77777777" w:rsidTr="00DD5ED6">
        <w:tc>
          <w:tcPr>
            <w:tcW w:w="1890" w:type="dxa"/>
            <w:gridSpan w:val="2"/>
            <w:tcBorders>
              <w:top w:val="nil"/>
              <w:left w:val="nil"/>
              <w:bottom w:val="nil"/>
            </w:tcBorders>
          </w:tcPr>
          <w:p w14:paraId="6F33C3EB"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Water molecules</w:t>
            </w:r>
          </w:p>
        </w:tc>
        <w:tc>
          <w:tcPr>
            <w:tcW w:w="720" w:type="dxa"/>
            <w:tcBorders>
              <w:top w:val="nil"/>
              <w:bottom w:val="nil"/>
              <w:right w:val="nil"/>
            </w:tcBorders>
          </w:tcPr>
          <w:p w14:paraId="2FEFFD1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8</w:t>
            </w:r>
          </w:p>
        </w:tc>
        <w:tc>
          <w:tcPr>
            <w:tcW w:w="900" w:type="dxa"/>
            <w:tcBorders>
              <w:top w:val="nil"/>
              <w:left w:val="nil"/>
              <w:bottom w:val="nil"/>
              <w:right w:val="nil"/>
            </w:tcBorders>
          </w:tcPr>
          <w:p w14:paraId="24CE2D5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5</w:t>
            </w:r>
          </w:p>
        </w:tc>
        <w:tc>
          <w:tcPr>
            <w:tcW w:w="990" w:type="dxa"/>
            <w:tcBorders>
              <w:top w:val="nil"/>
              <w:left w:val="nil"/>
              <w:bottom w:val="nil"/>
              <w:right w:val="nil"/>
            </w:tcBorders>
          </w:tcPr>
          <w:p w14:paraId="14AEE48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8</w:t>
            </w:r>
          </w:p>
        </w:tc>
        <w:tc>
          <w:tcPr>
            <w:tcW w:w="900" w:type="dxa"/>
            <w:tcBorders>
              <w:top w:val="nil"/>
              <w:left w:val="nil"/>
              <w:bottom w:val="nil"/>
              <w:right w:val="nil"/>
            </w:tcBorders>
          </w:tcPr>
          <w:p w14:paraId="1481310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6</w:t>
            </w:r>
          </w:p>
        </w:tc>
        <w:tc>
          <w:tcPr>
            <w:tcW w:w="900" w:type="dxa"/>
            <w:tcBorders>
              <w:top w:val="nil"/>
              <w:left w:val="nil"/>
              <w:bottom w:val="nil"/>
              <w:right w:val="nil"/>
            </w:tcBorders>
          </w:tcPr>
          <w:p w14:paraId="3B41F524"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5</w:t>
            </w:r>
          </w:p>
        </w:tc>
        <w:tc>
          <w:tcPr>
            <w:tcW w:w="990" w:type="dxa"/>
            <w:tcBorders>
              <w:top w:val="nil"/>
              <w:left w:val="nil"/>
              <w:bottom w:val="nil"/>
              <w:right w:val="nil"/>
            </w:tcBorders>
          </w:tcPr>
          <w:p w14:paraId="6C6630A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8</w:t>
            </w:r>
          </w:p>
        </w:tc>
        <w:tc>
          <w:tcPr>
            <w:tcW w:w="990" w:type="dxa"/>
            <w:tcBorders>
              <w:top w:val="nil"/>
              <w:left w:val="nil"/>
              <w:bottom w:val="nil"/>
              <w:right w:val="nil"/>
            </w:tcBorders>
          </w:tcPr>
          <w:p w14:paraId="2764866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4</w:t>
            </w:r>
          </w:p>
        </w:tc>
        <w:tc>
          <w:tcPr>
            <w:tcW w:w="1170" w:type="dxa"/>
            <w:tcBorders>
              <w:top w:val="nil"/>
              <w:left w:val="nil"/>
              <w:bottom w:val="nil"/>
              <w:right w:val="nil"/>
            </w:tcBorders>
          </w:tcPr>
          <w:p w14:paraId="5685D9D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w:t>
            </w:r>
          </w:p>
        </w:tc>
        <w:tc>
          <w:tcPr>
            <w:tcW w:w="990" w:type="dxa"/>
            <w:tcBorders>
              <w:top w:val="nil"/>
              <w:left w:val="nil"/>
              <w:bottom w:val="nil"/>
              <w:right w:val="nil"/>
            </w:tcBorders>
          </w:tcPr>
          <w:p w14:paraId="6802E99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6</w:t>
            </w:r>
          </w:p>
        </w:tc>
      </w:tr>
      <w:tr w:rsidR="0039334C" w:rsidRPr="00CE1276" w14:paraId="39C6B0E8" w14:textId="77777777" w:rsidTr="00DD5ED6">
        <w:tc>
          <w:tcPr>
            <w:tcW w:w="1890" w:type="dxa"/>
            <w:gridSpan w:val="2"/>
            <w:tcBorders>
              <w:top w:val="nil"/>
              <w:left w:val="nil"/>
              <w:bottom w:val="nil"/>
            </w:tcBorders>
          </w:tcPr>
          <w:p w14:paraId="40CB050E"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RMSD bonds (Å)</w:t>
            </w:r>
          </w:p>
        </w:tc>
        <w:tc>
          <w:tcPr>
            <w:tcW w:w="720" w:type="dxa"/>
            <w:tcBorders>
              <w:top w:val="nil"/>
              <w:bottom w:val="nil"/>
              <w:right w:val="nil"/>
            </w:tcBorders>
          </w:tcPr>
          <w:p w14:paraId="478DC56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0.005</w:t>
            </w:r>
          </w:p>
        </w:tc>
        <w:tc>
          <w:tcPr>
            <w:tcW w:w="900" w:type="dxa"/>
            <w:tcBorders>
              <w:top w:val="nil"/>
              <w:left w:val="nil"/>
              <w:bottom w:val="nil"/>
              <w:right w:val="nil"/>
            </w:tcBorders>
          </w:tcPr>
          <w:p w14:paraId="24DBAA2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90" w:type="dxa"/>
            <w:tcBorders>
              <w:top w:val="nil"/>
              <w:left w:val="nil"/>
              <w:bottom w:val="nil"/>
              <w:right w:val="nil"/>
            </w:tcBorders>
          </w:tcPr>
          <w:p w14:paraId="1A1CA0C6"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00" w:type="dxa"/>
            <w:tcBorders>
              <w:top w:val="nil"/>
              <w:left w:val="nil"/>
              <w:bottom w:val="nil"/>
              <w:right w:val="nil"/>
            </w:tcBorders>
          </w:tcPr>
          <w:p w14:paraId="57507B49"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00" w:type="dxa"/>
            <w:tcBorders>
              <w:top w:val="nil"/>
              <w:left w:val="nil"/>
              <w:bottom w:val="nil"/>
              <w:right w:val="nil"/>
            </w:tcBorders>
          </w:tcPr>
          <w:p w14:paraId="4596719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90" w:type="dxa"/>
            <w:tcBorders>
              <w:top w:val="nil"/>
              <w:left w:val="nil"/>
              <w:bottom w:val="nil"/>
              <w:right w:val="nil"/>
            </w:tcBorders>
          </w:tcPr>
          <w:p w14:paraId="378F9D8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90" w:type="dxa"/>
            <w:tcBorders>
              <w:top w:val="nil"/>
              <w:left w:val="nil"/>
              <w:bottom w:val="nil"/>
              <w:right w:val="nil"/>
            </w:tcBorders>
          </w:tcPr>
          <w:p w14:paraId="1B9BBD7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1170" w:type="dxa"/>
            <w:tcBorders>
              <w:top w:val="nil"/>
              <w:left w:val="nil"/>
              <w:bottom w:val="nil"/>
              <w:right w:val="nil"/>
            </w:tcBorders>
          </w:tcPr>
          <w:p w14:paraId="40C0E54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c>
          <w:tcPr>
            <w:tcW w:w="990" w:type="dxa"/>
            <w:tcBorders>
              <w:top w:val="nil"/>
              <w:left w:val="nil"/>
              <w:bottom w:val="nil"/>
              <w:right w:val="nil"/>
            </w:tcBorders>
          </w:tcPr>
          <w:p w14:paraId="4329E86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0.009</w:t>
            </w:r>
          </w:p>
        </w:tc>
      </w:tr>
      <w:tr w:rsidR="0039334C" w:rsidRPr="00CE1276" w14:paraId="1446C8E3" w14:textId="77777777" w:rsidTr="00DD5ED6">
        <w:tc>
          <w:tcPr>
            <w:tcW w:w="1890" w:type="dxa"/>
            <w:gridSpan w:val="2"/>
            <w:tcBorders>
              <w:top w:val="nil"/>
              <w:left w:val="nil"/>
              <w:bottom w:val="nil"/>
            </w:tcBorders>
          </w:tcPr>
          <w:p w14:paraId="167D922B"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RMSD angles (</w:t>
            </w:r>
            <w:r w:rsidRPr="00CE1276">
              <w:rPr>
                <w:rFonts w:ascii="Palatino Linotype" w:hAnsi="Palatino Linotype"/>
                <w:sz w:val="20"/>
                <w:szCs w:val="20"/>
              </w:rPr>
              <w:sym w:font="Symbol" w:char="F0B0"/>
            </w:r>
            <w:r w:rsidRPr="00CE1276">
              <w:rPr>
                <w:rFonts w:ascii="Palatino Linotype" w:hAnsi="Palatino Linotype"/>
                <w:sz w:val="20"/>
                <w:szCs w:val="20"/>
              </w:rPr>
              <w:t>)</w:t>
            </w:r>
          </w:p>
        </w:tc>
        <w:tc>
          <w:tcPr>
            <w:tcW w:w="720" w:type="dxa"/>
            <w:tcBorders>
              <w:top w:val="nil"/>
              <w:bottom w:val="nil"/>
              <w:right w:val="nil"/>
            </w:tcBorders>
          </w:tcPr>
          <w:p w14:paraId="6A5D45F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0.793</w:t>
            </w:r>
          </w:p>
        </w:tc>
        <w:tc>
          <w:tcPr>
            <w:tcW w:w="900" w:type="dxa"/>
            <w:tcBorders>
              <w:top w:val="nil"/>
              <w:left w:val="nil"/>
              <w:bottom w:val="nil"/>
              <w:right w:val="nil"/>
            </w:tcBorders>
          </w:tcPr>
          <w:p w14:paraId="17515C5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1.206</w:t>
            </w:r>
          </w:p>
        </w:tc>
        <w:tc>
          <w:tcPr>
            <w:tcW w:w="990" w:type="dxa"/>
            <w:tcBorders>
              <w:top w:val="nil"/>
              <w:left w:val="nil"/>
              <w:bottom w:val="nil"/>
              <w:right w:val="nil"/>
            </w:tcBorders>
          </w:tcPr>
          <w:p w14:paraId="274F252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1.105</w:t>
            </w:r>
          </w:p>
        </w:tc>
        <w:tc>
          <w:tcPr>
            <w:tcW w:w="900" w:type="dxa"/>
            <w:tcBorders>
              <w:top w:val="nil"/>
              <w:left w:val="nil"/>
              <w:bottom w:val="nil"/>
              <w:right w:val="nil"/>
            </w:tcBorders>
          </w:tcPr>
          <w:p w14:paraId="22513CE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1.085</w:t>
            </w:r>
          </w:p>
        </w:tc>
        <w:tc>
          <w:tcPr>
            <w:tcW w:w="900" w:type="dxa"/>
            <w:tcBorders>
              <w:top w:val="nil"/>
              <w:left w:val="nil"/>
              <w:bottom w:val="nil"/>
              <w:right w:val="nil"/>
            </w:tcBorders>
          </w:tcPr>
          <w:p w14:paraId="219B68A7"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1.068</w:t>
            </w:r>
          </w:p>
        </w:tc>
        <w:tc>
          <w:tcPr>
            <w:tcW w:w="990" w:type="dxa"/>
            <w:tcBorders>
              <w:top w:val="nil"/>
              <w:left w:val="nil"/>
              <w:bottom w:val="nil"/>
              <w:right w:val="nil"/>
            </w:tcBorders>
          </w:tcPr>
          <w:p w14:paraId="620AA19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1.006</w:t>
            </w:r>
          </w:p>
        </w:tc>
        <w:tc>
          <w:tcPr>
            <w:tcW w:w="990" w:type="dxa"/>
            <w:tcBorders>
              <w:top w:val="nil"/>
              <w:left w:val="nil"/>
              <w:bottom w:val="nil"/>
              <w:right w:val="nil"/>
            </w:tcBorders>
          </w:tcPr>
          <w:p w14:paraId="4CE6E0C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1.074</w:t>
            </w:r>
          </w:p>
        </w:tc>
        <w:tc>
          <w:tcPr>
            <w:tcW w:w="1170" w:type="dxa"/>
            <w:tcBorders>
              <w:top w:val="nil"/>
              <w:left w:val="nil"/>
              <w:bottom w:val="nil"/>
              <w:right w:val="nil"/>
            </w:tcBorders>
          </w:tcPr>
          <w:p w14:paraId="504AC701"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1.120</w:t>
            </w:r>
          </w:p>
        </w:tc>
        <w:tc>
          <w:tcPr>
            <w:tcW w:w="990" w:type="dxa"/>
            <w:tcBorders>
              <w:top w:val="nil"/>
              <w:left w:val="nil"/>
              <w:bottom w:val="nil"/>
              <w:right w:val="nil"/>
            </w:tcBorders>
          </w:tcPr>
          <w:p w14:paraId="5FC1437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1.081</w:t>
            </w:r>
          </w:p>
        </w:tc>
      </w:tr>
      <w:tr w:rsidR="0039334C" w:rsidRPr="00CE1276" w14:paraId="741A5F63" w14:textId="77777777" w:rsidTr="00DD5ED6">
        <w:tc>
          <w:tcPr>
            <w:tcW w:w="1890" w:type="dxa"/>
            <w:gridSpan w:val="2"/>
            <w:tcBorders>
              <w:top w:val="nil"/>
              <w:left w:val="nil"/>
              <w:bottom w:val="nil"/>
            </w:tcBorders>
          </w:tcPr>
          <w:p w14:paraId="7A9561F6"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Rama. favored (%)</w:t>
            </w:r>
          </w:p>
        </w:tc>
        <w:tc>
          <w:tcPr>
            <w:tcW w:w="720" w:type="dxa"/>
            <w:tcBorders>
              <w:top w:val="nil"/>
              <w:bottom w:val="nil"/>
              <w:right w:val="nil"/>
            </w:tcBorders>
          </w:tcPr>
          <w:p w14:paraId="4FDC0EB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98.7</w:t>
            </w:r>
          </w:p>
        </w:tc>
        <w:tc>
          <w:tcPr>
            <w:tcW w:w="900" w:type="dxa"/>
            <w:tcBorders>
              <w:top w:val="nil"/>
              <w:left w:val="nil"/>
              <w:bottom w:val="nil"/>
              <w:right w:val="nil"/>
            </w:tcBorders>
          </w:tcPr>
          <w:p w14:paraId="482DF93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96.5</w:t>
            </w:r>
          </w:p>
        </w:tc>
        <w:tc>
          <w:tcPr>
            <w:tcW w:w="990" w:type="dxa"/>
            <w:tcBorders>
              <w:top w:val="nil"/>
              <w:left w:val="nil"/>
              <w:bottom w:val="nil"/>
              <w:right w:val="nil"/>
            </w:tcBorders>
          </w:tcPr>
          <w:p w14:paraId="26BEB8A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95.6</w:t>
            </w:r>
          </w:p>
        </w:tc>
        <w:tc>
          <w:tcPr>
            <w:tcW w:w="900" w:type="dxa"/>
            <w:tcBorders>
              <w:top w:val="nil"/>
              <w:left w:val="nil"/>
              <w:bottom w:val="nil"/>
              <w:right w:val="nil"/>
            </w:tcBorders>
          </w:tcPr>
          <w:p w14:paraId="7DBEBA4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96.1</w:t>
            </w:r>
          </w:p>
        </w:tc>
        <w:tc>
          <w:tcPr>
            <w:tcW w:w="900" w:type="dxa"/>
            <w:tcBorders>
              <w:top w:val="nil"/>
              <w:left w:val="nil"/>
              <w:bottom w:val="nil"/>
              <w:right w:val="nil"/>
            </w:tcBorders>
          </w:tcPr>
          <w:p w14:paraId="18FE21CC"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96.5</w:t>
            </w:r>
          </w:p>
        </w:tc>
        <w:tc>
          <w:tcPr>
            <w:tcW w:w="990" w:type="dxa"/>
            <w:tcBorders>
              <w:top w:val="nil"/>
              <w:left w:val="nil"/>
              <w:bottom w:val="nil"/>
              <w:right w:val="nil"/>
            </w:tcBorders>
          </w:tcPr>
          <w:p w14:paraId="6863527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97.8</w:t>
            </w:r>
          </w:p>
        </w:tc>
        <w:tc>
          <w:tcPr>
            <w:tcW w:w="990" w:type="dxa"/>
            <w:tcBorders>
              <w:top w:val="nil"/>
              <w:left w:val="nil"/>
              <w:bottom w:val="nil"/>
              <w:right w:val="nil"/>
            </w:tcBorders>
          </w:tcPr>
          <w:p w14:paraId="455FAAB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96.5</w:t>
            </w:r>
          </w:p>
        </w:tc>
        <w:tc>
          <w:tcPr>
            <w:tcW w:w="1170" w:type="dxa"/>
            <w:tcBorders>
              <w:top w:val="nil"/>
              <w:left w:val="nil"/>
              <w:bottom w:val="nil"/>
              <w:right w:val="nil"/>
            </w:tcBorders>
          </w:tcPr>
          <w:p w14:paraId="02264379"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97.4</w:t>
            </w:r>
          </w:p>
        </w:tc>
        <w:tc>
          <w:tcPr>
            <w:tcW w:w="990" w:type="dxa"/>
            <w:tcBorders>
              <w:top w:val="nil"/>
              <w:left w:val="nil"/>
              <w:bottom w:val="nil"/>
              <w:right w:val="nil"/>
            </w:tcBorders>
          </w:tcPr>
          <w:p w14:paraId="10F7238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96.1</w:t>
            </w:r>
          </w:p>
        </w:tc>
      </w:tr>
      <w:tr w:rsidR="0039334C" w:rsidRPr="00CE1276" w14:paraId="5200AE8B" w14:textId="77777777" w:rsidTr="00DD5ED6">
        <w:tc>
          <w:tcPr>
            <w:tcW w:w="1890" w:type="dxa"/>
            <w:gridSpan w:val="2"/>
            <w:tcBorders>
              <w:top w:val="nil"/>
              <w:left w:val="nil"/>
              <w:bottom w:val="nil"/>
            </w:tcBorders>
          </w:tcPr>
          <w:p w14:paraId="32CA410B"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Rama. outliers (%)</w:t>
            </w:r>
          </w:p>
        </w:tc>
        <w:tc>
          <w:tcPr>
            <w:tcW w:w="720" w:type="dxa"/>
            <w:tcBorders>
              <w:top w:val="nil"/>
              <w:bottom w:val="nil"/>
              <w:right w:val="nil"/>
            </w:tcBorders>
          </w:tcPr>
          <w:p w14:paraId="142E0204"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w:t>
            </w:r>
          </w:p>
        </w:tc>
        <w:tc>
          <w:tcPr>
            <w:tcW w:w="900" w:type="dxa"/>
            <w:tcBorders>
              <w:top w:val="nil"/>
              <w:left w:val="nil"/>
              <w:bottom w:val="nil"/>
              <w:right w:val="nil"/>
            </w:tcBorders>
          </w:tcPr>
          <w:p w14:paraId="440FFDB6"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w:t>
            </w:r>
          </w:p>
        </w:tc>
        <w:tc>
          <w:tcPr>
            <w:tcW w:w="990" w:type="dxa"/>
            <w:tcBorders>
              <w:top w:val="nil"/>
              <w:left w:val="nil"/>
              <w:bottom w:val="nil"/>
              <w:right w:val="nil"/>
            </w:tcBorders>
          </w:tcPr>
          <w:p w14:paraId="34851A0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0.4</w:t>
            </w:r>
          </w:p>
        </w:tc>
        <w:tc>
          <w:tcPr>
            <w:tcW w:w="900" w:type="dxa"/>
            <w:tcBorders>
              <w:top w:val="nil"/>
              <w:left w:val="nil"/>
              <w:bottom w:val="nil"/>
              <w:right w:val="nil"/>
            </w:tcBorders>
          </w:tcPr>
          <w:p w14:paraId="7144D33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0.4</w:t>
            </w:r>
          </w:p>
        </w:tc>
        <w:tc>
          <w:tcPr>
            <w:tcW w:w="900" w:type="dxa"/>
            <w:tcBorders>
              <w:top w:val="nil"/>
              <w:left w:val="nil"/>
              <w:bottom w:val="nil"/>
              <w:right w:val="nil"/>
            </w:tcBorders>
          </w:tcPr>
          <w:p w14:paraId="7866C54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0.4</w:t>
            </w:r>
          </w:p>
        </w:tc>
        <w:tc>
          <w:tcPr>
            <w:tcW w:w="990" w:type="dxa"/>
            <w:tcBorders>
              <w:top w:val="nil"/>
              <w:left w:val="nil"/>
              <w:bottom w:val="nil"/>
              <w:right w:val="nil"/>
            </w:tcBorders>
          </w:tcPr>
          <w:p w14:paraId="19AC3EB2"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0.4</w:t>
            </w:r>
          </w:p>
        </w:tc>
        <w:tc>
          <w:tcPr>
            <w:tcW w:w="990" w:type="dxa"/>
            <w:tcBorders>
              <w:top w:val="nil"/>
              <w:left w:val="nil"/>
              <w:bottom w:val="nil"/>
              <w:right w:val="nil"/>
            </w:tcBorders>
          </w:tcPr>
          <w:p w14:paraId="7FEDE1C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w:t>
            </w:r>
          </w:p>
        </w:tc>
        <w:tc>
          <w:tcPr>
            <w:tcW w:w="1170" w:type="dxa"/>
            <w:tcBorders>
              <w:top w:val="nil"/>
              <w:left w:val="nil"/>
              <w:bottom w:val="nil"/>
              <w:right w:val="nil"/>
            </w:tcBorders>
          </w:tcPr>
          <w:p w14:paraId="63FC0C40"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0.0</w:t>
            </w:r>
          </w:p>
        </w:tc>
        <w:tc>
          <w:tcPr>
            <w:tcW w:w="990" w:type="dxa"/>
            <w:tcBorders>
              <w:top w:val="nil"/>
              <w:left w:val="nil"/>
              <w:bottom w:val="nil"/>
              <w:right w:val="nil"/>
            </w:tcBorders>
          </w:tcPr>
          <w:p w14:paraId="576ED57B"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0.4</w:t>
            </w:r>
          </w:p>
        </w:tc>
      </w:tr>
      <w:tr w:rsidR="0039334C" w:rsidRPr="00CE1276" w14:paraId="6CB8EDF9" w14:textId="77777777" w:rsidTr="00DD5ED6">
        <w:tc>
          <w:tcPr>
            <w:tcW w:w="1890" w:type="dxa"/>
            <w:gridSpan w:val="2"/>
            <w:tcBorders>
              <w:top w:val="nil"/>
              <w:left w:val="nil"/>
              <w:bottom w:val="single" w:sz="4" w:space="0" w:color="auto"/>
            </w:tcBorders>
          </w:tcPr>
          <w:p w14:paraId="7F34E2AF" w14:textId="77777777" w:rsidR="0039334C" w:rsidRPr="00CE1276" w:rsidRDefault="0039334C" w:rsidP="00DD5ED6">
            <w:pPr>
              <w:spacing w:line="276" w:lineRule="auto"/>
              <w:rPr>
                <w:rFonts w:ascii="Palatino Linotype" w:hAnsi="Palatino Linotype"/>
                <w:sz w:val="20"/>
                <w:szCs w:val="20"/>
              </w:rPr>
            </w:pPr>
            <w:r w:rsidRPr="00CE1276">
              <w:rPr>
                <w:rFonts w:ascii="Palatino Linotype" w:hAnsi="Palatino Linotype"/>
                <w:sz w:val="20"/>
                <w:szCs w:val="20"/>
              </w:rPr>
              <w:t>Clash score</w:t>
            </w:r>
          </w:p>
        </w:tc>
        <w:tc>
          <w:tcPr>
            <w:tcW w:w="720" w:type="dxa"/>
            <w:tcBorders>
              <w:top w:val="nil"/>
              <w:bottom w:val="single" w:sz="4" w:space="0" w:color="auto"/>
              <w:right w:val="nil"/>
            </w:tcBorders>
          </w:tcPr>
          <w:p w14:paraId="2AE94BC3"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4</w:t>
            </w:r>
          </w:p>
        </w:tc>
        <w:tc>
          <w:tcPr>
            <w:tcW w:w="900" w:type="dxa"/>
            <w:tcBorders>
              <w:top w:val="nil"/>
              <w:left w:val="nil"/>
              <w:bottom w:val="single" w:sz="4" w:space="0" w:color="auto"/>
              <w:right w:val="nil"/>
            </w:tcBorders>
          </w:tcPr>
          <w:p w14:paraId="530C38CD"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9</w:t>
            </w:r>
          </w:p>
        </w:tc>
        <w:tc>
          <w:tcPr>
            <w:tcW w:w="990" w:type="dxa"/>
            <w:tcBorders>
              <w:top w:val="nil"/>
              <w:left w:val="nil"/>
              <w:bottom w:val="single" w:sz="4" w:space="0" w:color="auto"/>
              <w:right w:val="nil"/>
            </w:tcBorders>
          </w:tcPr>
          <w:p w14:paraId="16EBFCD2"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5</w:t>
            </w:r>
          </w:p>
        </w:tc>
        <w:tc>
          <w:tcPr>
            <w:tcW w:w="900" w:type="dxa"/>
            <w:tcBorders>
              <w:top w:val="nil"/>
              <w:left w:val="nil"/>
              <w:bottom w:val="single" w:sz="4" w:space="0" w:color="auto"/>
              <w:right w:val="nil"/>
            </w:tcBorders>
          </w:tcPr>
          <w:p w14:paraId="764ED0CA"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4</w:t>
            </w:r>
          </w:p>
        </w:tc>
        <w:tc>
          <w:tcPr>
            <w:tcW w:w="900" w:type="dxa"/>
            <w:tcBorders>
              <w:top w:val="nil"/>
              <w:left w:val="nil"/>
              <w:bottom w:val="single" w:sz="4" w:space="0" w:color="auto"/>
              <w:right w:val="nil"/>
            </w:tcBorders>
          </w:tcPr>
          <w:p w14:paraId="48ACC0AE"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6</w:t>
            </w:r>
          </w:p>
        </w:tc>
        <w:tc>
          <w:tcPr>
            <w:tcW w:w="990" w:type="dxa"/>
            <w:tcBorders>
              <w:top w:val="nil"/>
              <w:left w:val="nil"/>
              <w:bottom w:val="single" w:sz="4" w:space="0" w:color="auto"/>
              <w:right w:val="nil"/>
            </w:tcBorders>
          </w:tcPr>
          <w:p w14:paraId="2668B13F"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6</w:t>
            </w:r>
          </w:p>
        </w:tc>
        <w:tc>
          <w:tcPr>
            <w:tcW w:w="990" w:type="dxa"/>
            <w:tcBorders>
              <w:top w:val="nil"/>
              <w:left w:val="nil"/>
              <w:bottom w:val="single" w:sz="4" w:space="0" w:color="auto"/>
              <w:right w:val="nil"/>
            </w:tcBorders>
          </w:tcPr>
          <w:p w14:paraId="19649628"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7</w:t>
            </w:r>
          </w:p>
        </w:tc>
        <w:tc>
          <w:tcPr>
            <w:tcW w:w="1170" w:type="dxa"/>
            <w:tcBorders>
              <w:top w:val="nil"/>
              <w:left w:val="nil"/>
              <w:bottom w:val="single" w:sz="4" w:space="0" w:color="auto"/>
              <w:right w:val="nil"/>
            </w:tcBorders>
          </w:tcPr>
          <w:p w14:paraId="42E12EF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10</w:t>
            </w:r>
          </w:p>
        </w:tc>
        <w:tc>
          <w:tcPr>
            <w:tcW w:w="990" w:type="dxa"/>
            <w:tcBorders>
              <w:top w:val="nil"/>
              <w:left w:val="nil"/>
              <w:bottom w:val="single" w:sz="4" w:space="0" w:color="auto"/>
              <w:right w:val="nil"/>
            </w:tcBorders>
          </w:tcPr>
          <w:p w14:paraId="53D35035" w14:textId="77777777" w:rsidR="0039334C" w:rsidRPr="00CE1276" w:rsidRDefault="0039334C" w:rsidP="00DD5ED6">
            <w:pPr>
              <w:spacing w:line="276" w:lineRule="auto"/>
              <w:jc w:val="right"/>
              <w:rPr>
                <w:rFonts w:ascii="Palatino Linotype" w:hAnsi="Palatino Linotype"/>
                <w:sz w:val="20"/>
                <w:szCs w:val="20"/>
              </w:rPr>
            </w:pPr>
            <w:r w:rsidRPr="00CE1276">
              <w:rPr>
                <w:rFonts w:ascii="Palatino Linotype" w:hAnsi="Palatino Linotype"/>
                <w:sz w:val="20"/>
                <w:szCs w:val="20"/>
              </w:rPr>
              <w:t>7</w:t>
            </w:r>
          </w:p>
        </w:tc>
      </w:tr>
    </w:tbl>
    <w:p w14:paraId="0D8E58CE" w14:textId="77777777" w:rsidR="0039334C" w:rsidRDefault="0039334C" w:rsidP="0039334C">
      <w:pPr>
        <w:spacing w:line="276" w:lineRule="auto"/>
        <w:rPr>
          <w:rFonts w:ascii="Palatino Linotype" w:hAnsi="Palatino Linotype"/>
        </w:rPr>
      </w:pPr>
    </w:p>
    <w:p w14:paraId="28F18751" w14:textId="77777777" w:rsidR="0039334C" w:rsidRDefault="0039334C" w:rsidP="0039334C">
      <w:pPr>
        <w:rPr>
          <w:rFonts w:ascii="Palatino Linotype" w:hAnsi="Palatino Linotype"/>
          <w:b/>
          <w:bCs/>
        </w:rPr>
      </w:pPr>
      <w:r>
        <w:rPr>
          <w:rFonts w:ascii="Palatino Linotype" w:hAnsi="Palatino Linotype"/>
          <w:b/>
          <w:bCs/>
        </w:rPr>
        <w:br w:type="page"/>
      </w:r>
    </w:p>
    <w:p w14:paraId="54E0F5E8" w14:textId="77777777" w:rsidR="0039334C" w:rsidRDefault="0039334C" w:rsidP="0039334C">
      <w:pPr>
        <w:rPr>
          <w:rFonts w:ascii="Palatino Linotype" w:hAnsi="Palatino Linotype"/>
          <w:b/>
          <w:bCs/>
        </w:rPr>
      </w:pPr>
      <w:r w:rsidRPr="00C64117">
        <w:rPr>
          <w:rFonts w:ascii="Palatino Linotype" w:hAnsi="Palatino Linotype"/>
          <w:b/>
          <w:bCs/>
        </w:rPr>
        <w:lastRenderedPageBreak/>
        <w:t>Supplementary Figures and Legends</w:t>
      </w:r>
    </w:p>
    <w:p w14:paraId="5546AA0F" w14:textId="77777777" w:rsidR="0039334C" w:rsidRPr="002369D1" w:rsidRDefault="0039334C" w:rsidP="0039334C">
      <w:pPr>
        <w:rPr>
          <w:rFonts w:ascii="Palatino Linotype" w:hAnsi="Palatino Linotype"/>
        </w:rPr>
      </w:pPr>
    </w:p>
    <w:p w14:paraId="12F6E70E" w14:textId="77777777" w:rsidR="0039334C" w:rsidRDefault="0039334C" w:rsidP="0039334C">
      <w:pPr>
        <w:spacing w:line="276" w:lineRule="auto"/>
        <w:rPr>
          <w:rFonts w:ascii="Palatino Linotype" w:hAnsi="Palatino Linotype"/>
        </w:rPr>
      </w:pPr>
      <w:r>
        <w:rPr>
          <w:rFonts w:ascii="Palatino Linotype" w:hAnsi="Palatino Linotype"/>
          <w:noProof/>
        </w:rPr>
        <w:drawing>
          <wp:inline distT="0" distB="0" distL="0" distR="0" wp14:anchorId="77C7859A" wp14:editId="3C5D4FB8">
            <wp:extent cx="5943477" cy="4979669"/>
            <wp:effectExtent l="0" t="0" r="63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5">
                      <a:extLst>
                        <a:ext uri="{28A0092B-C50C-407E-A947-70E740481C1C}">
                          <a14:useLocalDpi xmlns:a14="http://schemas.microsoft.com/office/drawing/2010/main" val="0"/>
                        </a:ext>
                      </a:extLst>
                    </a:blip>
                    <a:stretch>
                      <a:fillRect/>
                    </a:stretch>
                  </pic:blipFill>
                  <pic:spPr>
                    <a:xfrm>
                      <a:off x="0" y="0"/>
                      <a:ext cx="5943477" cy="4979669"/>
                    </a:xfrm>
                    <a:prstGeom prst="rect">
                      <a:avLst/>
                    </a:prstGeom>
                  </pic:spPr>
                </pic:pic>
              </a:graphicData>
            </a:graphic>
          </wp:inline>
        </w:drawing>
      </w:r>
    </w:p>
    <w:p w14:paraId="250AC341" w14:textId="77777777" w:rsidR="0039334C" w:rsidRDefault="0039334C" w:rsidP="0039334C">
      <w:pPr>
        <w:spacing w:line="276" w:lineRule="auto"/>
        <w:rPr>
          <w:rFonts w:ascii="Palatino Linotype" w:hAnsi="Palatino Linotype"/>
        </w:rPr>
      </w:pPr>
    </w:p>
    <w:p w14:paraId="28F14CD0" w14:textId="77777777" w:rsidR="0039334C" w:rsidRDefault="0039334C" w:rsidP="0039334C">
      <w:pPr>
        <w:spacing w:line="276" w:lineRule="auto"/>
        <w:rPr>
          <w:rFonts w:ascii="Palatino Linotype" w:hAnsi="Palatino Linotype"/>
        </w:rPr>
      </w:pPr>
      <w:r>
        <w:rPr>
          <w:rFonts w:ascii="Palatino Linotype" w:hAnsi="Palatino Linotype"/>
        </w:rPr>
        <w:t xml:space="preserve">Figure S1.  Orthographical views of EC and CP half channels.  Parts of the structure are omitted to reveal the interior.  The acidic residues in the half channels are highlighted in red.  Those in the EC half channel are deprotonated.  Asp96 in the hydrophobic CP half channel could be protonated </w:t>
      </w:r>
      <w:r>
        <w:rPr>
          <w:rFonts w:ascii="Palatino Linotype" w:hAnsi="Palatino Linotype"/>
        </w:rPr>
        <w:fldChar w:fldCharType="begin"/>
      </w:r>
      <w:r>
        <w:rPr>
          <w:rFonts w:ascii="Palatino Linotype" w:hAnsi="Palatino Linotype"/>
        </w:rPr>
        <w:instrText xml:space="preserve"> ADDIN ZOTERO_ITEM CSL_CITATION {"citationID":"EtDXr7Bw","properties":{"formattedCitation":"(Gerwert et al., 1989)","plainCitation":"(Gerwert et al., 1989)","noteIndex":0},"citationItems":[{"id":5854,"uris":["http://zotero.org/users/local/Med5doT8/items/YKZHX9JD"],"uri":["http://zotero.org/users/local/Med5doT8/items/YKZHX9JD"],"itemData":{"id":5854,"type":"article-journal","container-title":"Proceedings of the National Academy of Sciences","DOI":"10.1073/pnas.86.13.4943","ISSN":"0027-8424, 1091-6490","issue":"13","journalAbbreviation":"Proceedings of the National Academy of Sciences","language":"en","page":"4943-4947","source":"DOI.org (Crossref)","title":"Role of aspartate-96 in proton translocation by bacteriorhodopsin.","volume":"86","author":[{"family":"Gerwert","given":"K."},{"family":"Hess","given":"B."},{"family":"Soppa","given":"J."},{"family":"Oesterhelt","given":"D."}],"issued":{"date-parts":[["1989",7,1]]}}}],"schema":"https://github.com/citation-style-language/schema/raw/master/csl-citation.json"} </w:instrText>
      </w:r>
      <w:r>
        <w:rPr>
          <w:rFonts w:ascii="Palatino Linotype" w:hAnsi="Palatino Linotype"/>
        </w:rPr>
        <w:fldChar w:fldCharType="separate"/>
      </w:r>
      <w:r>
        <w:rPr>
          <w:rFonts w:ascii="Palatino Linotype" w:hAnsi="Palatino Linotype"/>
          <w:noProof/>
        </w:rPr>
        <w:t>(Gerwert et al., 1989)</w:t>
      </w:r>
      <w:r>
        <w:rPr>
          <w:rFonts w:ascii="Palatino Linotype" w:hAnsi="Palatino Linotype"/>
        </w:rPr>
        <w:fldChar w:fldCharType="end"/>
      </w:r>
      <w:r>
        <w:rPr>
          <w:rFonts w:ascii="Palatino Linotype" w:hAnsi="Palatino Linotype"/>
        </w:rPr>
        <w:t>.  Arg82 in blue is protonated at neutral pH to form a positive charged guanidinium ion</w:t>
      </w:r>
      <w:r w:rsidRPr="001917D7">
        <w:rPr>
          <w:rFonts w:ascii="Palatino Linotype" w:hAnsi="Palatino Linotype"/>
        </w:rPr>
        <w:t xml:space="preserve"> </w:t>
      </w:r>
      <w:r>
        <w:rPr>
          <w:rFonts w:ascii="Palatino Linotype" w:hAnsi="Palatino Linotype"/>
        </w:rPr>
        <w:t xml:space="preserve">with a </w:t>
      </w:r>
      <w:proofErr w:type="spellStart"/>
      <w:r>
        <w:rPr>
          <w:rFonts w:ascii="Palatino Linotype" w:hAnsi="Palatino Linotype"/>
        </w:rPr>
        <w:t>p</w:t>
      </w:r>
      <w:r w:rsidRPr="006525E9">
        <w:rPr>
          <w:rFonts w:ascii="Palatino Linotype" w:hAnsi="Palatino Linotype"/>
          <w:i/>
          <w:iCs/>
        </w:rPr>
        <w:t>K</w:t>
      </w:r>
      <w:r w:rsidRPr="006525E9">
        <w:rPr>
          <w:rFonts w:ascii="Palatino Linotype" w:hAnsi="Palatino Linotype"/>
          <w:vertAlign w:val="subscript"/>
        </w:rPr>
        <w:t>a</w:t>
      </w:r>
      <w:proofErr w:type="spellEnd"/>
      <w:r>
        <w:rPr>
          <w:rFonts w:ascii="Palatino Linotype" w:hAnsi="Palatino Linotype"/>
        </w:rPr>
        <w:t xml:space="preserve"> of 12.5.  Tyr57 and 83 with a </w:t>
      </w:r>
      <w:proofErr w:type="spellStart"/>
      <w:r>
        <w:rPr>
          <w:rFonts w:ascii="Palatino Linotype" w:hAnsi="Palatino Linotype"/>
        </w:rPr>
        <w:t>p</w:t>
      </w:r>
      <w:r w:rsidRPr="006525E9">
        <w:rPr>
          <w:rFonts w:ascii="Palatino Linotype" w:hAnsi="Palatino Linotype"/>
          <w:i/>
          <w:iCs/>
        </w:rPr>
        <w:t>K</w:t>
      </w:r>
      <w:r w:rsidRPr="006525E9">
        <w:rPr>
          <w:rFonts w:ascii="Palatino Linotype" w:hAnsi="Palatino Linotype"/>
          <w:vertAlign w:val="subscript"/>
        </w:rPr>
        <w:t>a</w:t>
      </w:r>
      <w:proofErr w:type="spellEnd"/>
      <w:r>
        <w:rPr>
          <w:rFonts w:ascii="Palatino Linotype" w:hAnsi="Palatino Linotype"/>
        </w:rPr>
        <w:t xml:space="preserve"> of 10 in blue could be deprotonated at alkaline </w:t>
      </w:r>
      <w:proofErr w:type="spellStart"/>
      <w:r>
        <w:rPr>
          <w:rFonts w:ascii="Palatino Linotype" w:hAnsi="Palatino Linotype"/>
        </w:rPr>
        <w:t>pH.</w:t>
      </w:r>
      <w:proofErr w:type="spellEnd"/>
    </w:p>
    <w:p w14:paraId="4C1C83E1" w14:textId="77777777" w:rsidR="0039334C" w:rsidRDefault="0039334C" w:rsidP="0039334C">
      <w:pPr>
        <w:spacing w:line="276" w:lineRule="auto"/>
        <w:rPr>
          <w:rFonts w:ascii="Palatino Linotype" w:hAnsi="Palatino Linotype"/>
        </w:rPr>
      </w:pPr>
    </w:p>
    <w:p w14:paraId="7CFC310A"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62C81989" wp14:editId="318898DA">
            <wp:extent cx="4572000" cy="650630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4572000" cy="6506307"/>
                    </a:xfrm>
                    <a:prstGeom prst="rect">
                      <a:avLst/>
                    </a:prstGeom>
                  </pic:spPr>
                </pic:pic>
              </a:graphicData>
            </a:graphic>
          </wp:inline>
        </w:drawing>
      </w:r>
    </w:p>
    <w:p w14:paraId="71F258D2" w14:textId="77777777" w:rsidR="0039334C" w:rsidRDefault="0039334C" w:rsidP="0039334C">
      <w:pPr>
        <w:spacing w:line="276" w:lineRule="auto"/>
        <w:rPr>
          <w:rFonts w:ascii="Palatino Linotype" w:hAnsi="Palatino Linotype"/>
        </w:rPr>
      </w:pPr>
    </w:p>
    <w:p w14:paraId="79466ACB" w14:textId="77777777" w:rsidR="0039334C" w:rsidRDefault="0039334C" w:rsidP="0039334C">
      <w:pPr>
        <w:spacing w:line="276" w:lineRule="auto"/>
        <w:rPr>
          <w:rFonts w:ascii="Palatino Linotype" w:hAnsi="Palatino Linotype"/>
        </w:rPr>
      </w:pPr>
      <w:r>
        <w:rPr>
          <w:rFonts w:ascii="Palatino Linotype" w:hAnsi="Palatino Linotype"/>
        </w:rPr>
        <w:t>Figure S2.  Two orthographical views of early intermediates.  The refined conformations of the retinal and several key side chains are rendered in stick models of various colors.  These early intermediates are compared with the resting state in white ribbon and stick model.  Wat402 is rendered in small spheres.  A zoom-in view of the SB is presented in the inset.  N</w:t>
      </w:r>
      <w:r w:rsidRPr="0058363F">
        <w:rPr>
          <w:rFonts w:ascii="Palatino Linotype" w:hAnsi="Palatino Linotype"/>
          <w:vertAlign w:val="subscript"/>
        </w:rPr>
        <w:sym w:font="Symbol" w:char="F07A"/>
      </w:r>
      <w:r>
        <w:rPr>
          <w:rFonts w:ascii="Palatino Linotype" w:hAnsi="Palatino Linotype"/>
        </w:rPr>
        <w:t xml:space="preserve"> is shown in blue spheres.  Its trajectory marked by a spline curve shows a </w:t>
      </w:r>
      <w:r>
        <w:rPr>
          <w:rFonts w:ascii="Palatino Linotype" w:hAnsi="Palatino Linotype"/>
        </w:rPr>
        <w:lastRenderedPageBreak/>
        <w:t>sharp U-turn at I’ state.  The SB moves toward the distal direction during I and J due to a creased retinal (Fig. 2b).</w:t>
      </w:r>
    </w:p>
    <w:p w14:paraId="1D7BED5A" w14:textId="77777777" w:rsidR="0039334C" w:rsidRDefault="0039334C" w:rsidP="0039334C">
      <w:pPr>
        <w:spacing w:line="276" w:lineRule="auto"/>
        <w:rPr>
          <w:rFonts w:ascii="Palatino Linotype" w:hAnsi="Palatino Linotype"/>
        </w:rPr>
      </w:pPr>
    </w:p>
    <w:p w14:paraId="364D560F" w14:textId="77777777" w:rsidR="0039334C" w:rsidRDefault="0039334C" w:rsidP="0039334C">
      <w:pPr>
        <w:rPr>
          <w:rFonts w:ascii="Palatino Linotype" w:hAnsi="Palatino Linotype"/>
        </w:rPr>
      </w:pPr>
      <w:r>
        <w:rPr>
          <w:rFonts w:ascii="Palatino Linotype" w:hAnsi="Palatino Linotype"/>
        </w:rPr>
        <w:br w:type="page"/>
      </w:r>
    </w:p>
    <w:p w14:paraId="4FEB5869" w14:textId="77777777" w:rsidR="0039334C" w:rsidRDefault="0039334C" w:rsidP="0039334C">
      <w:pPr>
        <w:spacing w:line="276" w:lineRule="auto"/>
        <w:rPr>
          <w:rFonts w:ascii="Palatino Linotype" w:hAnsi="Palatino Linotype"/>
        </w:rPr>
      </w:pPr>
      <w:r>
        <w:rPr>
          <w:rFonts w:ascii="Palatino Linotype" w:hAnsi="Palatino Linotype"/>
          <w:noProof/>
        </w:rPr>
        <w:lastRenderedPageBreak/>
        <w:drawing>
          <wp:inline distT="0" distB="0" distL="0" distR="0" wp14:anchorId="605CB53D" wp14:editId="5FA1E164">
            <wp:extent cx="5943600" cy="4086225"/>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7">
                      <a:extLst>
                        <a:ext uri="{28A0092B-C50C-407E-A947-70E740481C1C}">
                          <a14:useLocalDpi xmlns:a14="http://schemas.microsoft.com/office/drawing/2010/main" val="0"/>
                        </a:ext>
                      </a:extLst>
                    </a:blip>
                    <a:stretch>
                      <a:fillRect/>
                    </a:stretch>
                  </pic:blipFill>
                  <pic:spPr>
                    <a:xfrm>
                      <a:off x="0" y="0"/>
                      <a:ext cx="5943600" cy="4086225"/>
                    </a:xfrm>
                    <a:prstGeom prst="rect">
                      <a:avLst/>
                    </a:prstGeom>
                  </pic:spPr>
                </pic:pic>
              </a:graphicData>
            </a:graphic>
          </wp:inline>
        </w:drawing>
      </w:r>
    </w:p>
    <w:p w14:paraId="12ABA19E" w14:textId="77777777" w:rsidR="0039334C" w:rsidRDefault="0039334C" w:rsidP="0039334C">
      <w:pPr>
        <w:spacing w:line="276" w:lineRule="auto"/>
        <w:rPr>
          <w:rFonts w:ascii="Palatino Linotype" w:hAnsi="Palatino Linotype"/>
        </w:rPr>
      </w:pPr>
    </w:p>
    <w:p w14:paraId="5D63EC55" w14:textId="77777777" w:rsidR="0039334C" w:rsidRDefault="0039334C" w:rsidP="0039334C">
      <w:pPr>
        <w:spacing w:line="276" w:lineRule="auto"/>
        <w:rPr>
          <w:rFonts w:ascii="Palatino Linotype" w:hAnsi="Palatino Linotype"/>
        </w:rPr>
      </w:pPr>
      <w:r>
        <w:rPr>
          <w:rFonts w:ascii="Palatino Linotype" w:hAnsi="Palatino Linotype"/>
        </w:rPr>
        <w:t xml:space="preserve">Figure S3.  Refined structure of I state.  (a, b, and c) Three orthographical views of retinal in I state.  The refined retinal conformation in purple is compared with the resting state in white.  The SB is pointing toward inboard with a perfect </w:t>
      </w:r>
      <w:r w:rsidRPr="0058363F">
        <w:rPr>
          <w:rFonts w:ascii="Palatino Linotype" w:hAnsi="Palatino Linotype"/>
          <w:i/>
          <w:iCs/>
        </w:rPr>
        <w:t>syn</w:t>
      </w:r>
      <w:r>
        <w:rPr>
          <w:rFonts w:ascii="Palatino Linotype" w:hAnsi="Palatino Linotype"/>
        </w:rPr>
        <w:t xml:space="preserve"> conformation at the single bond N</w:t>
      </w:r>
      <w:r w:rsidRPr="0058363F">
        <w:rPr>
          <w:rFonts w:ascii="Palatino Linotype" w:hAnsi="Palatino Linotype"/>
          <w:vertAlign w:val="subscript"/>
        </w:rPr>
        <w:sym w:font="Symbol" w:char="F07A"/>
      </w:r>
      <w:r>
        <w:rPr>
          <w:rFonts w:ascii="Palatino Linotype" w:hAnsi="Palatino Linotype"/>
        </w:rPr>
        <w:t>-C</w:t>
      </w:r>
      <w:r w:rsidRPr="0058363F">
        <w:rPr>
          <w:rFonts w:ascii="Palatino Linotype" w:hAnsi="Palatino Linotype"/>
          <w:vertAlign w:val="subscript"/>
        </w:rPr>
        <w:sym w:font="Symbol" w:char="F065"/>
      </w:r>
      <w:r>
        <w:rPr>
          <w:rFonts w:ascii="Palatino Linotype" w:hAnsi="Palatino Linotype"/>
        </w:rPr>
        <w:t>.  C</w:t>
      </w:r>
      <w:r w:rsidRPr="0032587D">
        <w:rPr>
          <w:rFonts w:ascii="Palatino Linotype" w:hAnsi="Palatino Linotype"/>
          <w:vertAlign w:val="subscript"/>
        </w:rPr>
        <w:t>20</w:t>
      </w:r>
      <w:r>
        <w:rPr>
          <w:rFonts w:ascii="Palatino Linotype" w:hAnsi="Palatino Linotype"/>
        </w:rPr>
        <w:t xml:space="preserve"> methyl group remains tilted toward outboard.  Wat402 with good electron density is displaced toward outboard and remains H-bonded with both Asp85 and 212.  (d) Zoom-in view of SB and Wat402.  Wat402 is 3.7 Å away from the SB N</w:t>
      </w:r>
      <w:r w:rsidRPr="0058363F">
        <w:rPr>
          <w:rFonts w:ascii="Palatino Linotype" w:hAnsi="Palatino Linotype"/>
          <w:vertAlign w:val="subscript"/>
        </w:rPr>
        <w:sym w:font="Symbol" w:char="F07A"/>
      </w:r>
      <w:r>
        <w:rPr>
          <w:rFonts w:ascii="Palatino Linotype" w:hAnsi="Palatino Linotype"/>
        </w:rPr>
        <w:t>.  The would-be H-bond directions of the SB and Wat402 are pointing toward the opposite directions as marked by the arrows.  This geometry makes not only a H-bond impossible but also any proton transfer difficult.</w:t>
      </w:r>
    </w:p>
    <w:p w14:paraId="5D6E7316" w14:textId="77777777" w:rsidR="0039334C" w:rsidRDefault="0039334C" w:rsidP="0039334C">
      <w:pPr>
        <w:spacing w:line="276" w:lineRule="auto"/>
        <w:rPr>
          <w:rFonts w:ascii="Palatino Linotype" w:hAnsi="Palatino Linotype"/>
        </w:rPr>
      </w:pPr>
    </w:p>
    <w:p w14:paraId="7141F6A5" w14:textId="77777777" w:rsidR="0039334C" w:rsidRDefault="0039334C" w:rsidP="0039334C">
      <w:pPr>
        <w:spacing w:line="276" w:lineRule="auto"/>
        <w:ind w:left="-1080"/>
        <w:rPr>
          <w:rFonts w:ascii="Palatino Linotype" w:hAnsi="Palatino Linotype"/>
        </w:rPr>
      </w:pPr>
      <w:r>
        <w:rPr>
          <w:rFonts w:ascii="Palatino Linotype" w:hAnsi="Palatino Linotype"/>
          <w:noProof/>
        </w:rPr>
        <w:lastRenderedPageBreak/>
        <w:drawing>
          <wp:inline distT="0" distB="0" distL="0" distR="0" wp14:anchorId="6050994F" wp14:editId="0F165FB1">
            <wp:extent cx="7315200" cy="7315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ongCoef.pdf"/>
                    <pic:cNvPicPr/>
                  </pic:nvPicPr>
                  <pic:blipFill>
                    <a:blip r:embed="rId8">
                      <a:extLst>
                        <a:ext uri="{28A0092B-C50C-407E-A947-70E740481C1C}">
                          <a14:useLocalDpi xmlns:a14="http://schemas.microsoft.com/office/drawing/2010/main" val="0"/>
                        </a:ext>
                      </a:extLst>
                    </a:blip>
                    <a:stretch>
                      <a:fillRect/>
                    </a:stretch>
                  </pic:blipFill>
                  <pic:spPr>
                    <a:xfrm>
                      <a:off x="0" y="0"/>
                      <a:ext cx="7315200" cy="7315200"/>
                    </a:xfrm>
                    <a:prstGeom prst="rect">
                      <a:avLst/>
                    </a:prstGeom>
                  </pic:spPr>
                </pic:pic>
              </a:graphicData>
            </a:graphic>
          </wp:inline>
        </w:drawing>
      </w:r>
    </w:p>
    <w:p w14:paraId="0AA0081D" w14:textId="77777777" w:rsidR="0039334C" w:rsidRDefault="0039334C" w:rsidP="0039334C">
      <w:pPr>
        <w:spacing w:line="276" w:lineRule="auto"/>
        <w:rPr>
          <w:rFonts w:ascii="Palatino Linotype" w:hAnsi="Palatino Linotype"/>
        </w:rPr>
      </w:pPr>
    </w:p>
    <w:p w14:paraId="3863F0DD" w14:textId="77777777" w:rsidR="0039334C" w:rsidRDefault="0039334C" w:rsidP="0039334C">
      <w:pPr>
        <w:spacing w:line="276" w:lineRule="auto"/>
        <w:rPr>
          <w:rFonts w:ascii="Palatino Linotype" w:hAnsi="Palatino Linotype"/>
        </w:rPr>
      </w:pPr>
      <w:r>
        <w:rPr>
          <w:rFonts w:ascii="Palatino Linotype" w:hAnsi="Palatino Linotype"/>
        </w:rPr>
        <w:t xml:space="preserve">Figure S4.  SVD analysis of difference Fourier maps at long delays &gt; 10 ns.  SVD analyses of difference Fourier maps result in time-dependent coefficients </w:t>
      </w:r>
      <w:r w:rsidRPr="004C1FE6">
        <w:rPr>
          <w:rFonts w:ascii="Palatino Linotype" w:hAnsi="Palatino Linotype"/>
          <w:i/>
          <w:iCs/>
        </w:rPr>
        <w:t>c</w:t>
      </w:r>
      <w:r w:rsidRPr="004C1FE6">
        <w:rPr>
          <w:rFonts w:ascii="Palatino Linotype" w:hAnsi="Palatino Linotype"/>
          <w:i/>
          <w:iCs/>
          <w:vertAlign w:val="subscript"/>
        </w:rPr>
        <w:t>k</w:t>
      </w:r>
      <w:r>
        <w:rPr>
          <w:rFonts w:ascii="Palatino Linotype" w:hAnsi="Palatino Linotype"/>
        </w:rPr>
        <w:t>(</w:t>
      </w:r>
      <w:r w:rsidRPr="004C1FE6">
        <w:rPr>
          <w:rFonts w:ascii="Palatino Linotype" w:hAnsi="Palatino Linotype"/>
          <w:i/>
          <w:iCs/>
        </w:rPr>
        <w:t>t</w:t>
      </w:r>
      <w:r>
        <w:rPr>
          <w:rFonts w:ascii="Palatino Linotype" w:hAnsi="Palatino Linotype"/>
        </w:rPr>
        <w:t xml:space="preserve">), where </w:t>
      </w:r>
      <w:r w:rsidRPr="004C1FE6">
        <w:rPr>
          <w:rFonts w:ascii="Palatino Linotype" w:hAnsi="Palatino Linotype"/>
          <w:i/>
          <w:iCs/>
        </w:rPr>
        <w:t>k</w:t>
      </w:r>
      <w:r>
        <w:rPr>
          <w:rFonts w:ascii="Palatino Linotype" w:hAnsi="Palatino Linotype"/>
        </w:rPr>
        <w:t xml:space="preserve"> = </w:t>
      </w:r>
      <w:r>
        <w:rPr>
          <w:rFonts w:ascii="Palatino Linotype" w:hAnsi="Palatino Linotype"/>
        </w:rPr>
        <w:lastRenderedPageBreak/>
        <w:t xml:space="preserve">1, 2, …, each corresponding to a time-independent components </w:t>
      </w:r>
      <w:proofErr w:type="spellStart"/>
      <w:r w:rsidRPr="004C1FE6">
        <w:rPr>
          <w:rFonts w:ascii="Palatino Linotype" w:hAnsi="Palatino Linotype"/>
          <w:b/>
          <w:bCs/>
          <w:i/>
          <w:iCs/>
        </w:rPr>
        <w:t>U</w:t>
      </w:r>
      <w:r w:rsidRPr="004C1FE6">
        <w:rPr>
          <w:rFonts w:ascii="Palatino Linotype" w:hAnsi="Palatino Linotype"/>
          <w:i/>
          <w:iCs/>
          <w:vertAlign w:val="subscript"/>
        </w:rPr>
        <w:t>k</w:t>
      </w:r>
      <w:proofErr w:type="spellEnd"/>
      <w:r>
        <w:rPr>
          <w:rFonts w:ascii="Palatino Linotype" w:hAnsi="Palatino Linotype"/>
        </w:rPr>
        <w:t xml:space="preserve">.  Each raw difference map at a time delay </w:t>
      </w:r>
      <w:r w:rsidRPr="00005047">
        <w:rPr>
          <w:rFonts w:ascii="Palatino Linotype" w:hAnsi="Palatino Linotype"/>
          <w:i/>
          <w:iCs/>
        </w:rPr>
        <w:t>t</w:t>
      </w:r>
      <w:r>
        <w:rPr>
          <w:rFonts w:ascii="Palatino Linotype" w:hAnsi="Palatino Linotype"/>
        </w:rPr>
        <w:t xml:space="preserve"> can be closely represented by a linear combination of these components, </w:t>
      </w:r>
      <w:r w:rsidRPr="00005047">
        <w:rPr>
          <w:rFonts w:ascii="Palatino Linotype" w:hAnsi="Palatino Linotype"/>
          <w:i/>
          <w:iCs/>
        </w:rPr>
        <w:t>c</w:t>
      </w:r>
      <w:r w:rsidRPr="00005047">
        <w:rPr>
          <w:rFonts w:ascii="Palatino Linotype" w:hAnsi="Palatino Linotype"/>
          <w:vertAlign w:val="subscript"/>
        </w:rPr>
        <w:t>1</w:t>
      </w:r>
      <w:r>
        <w:rPr>
          <w:rFonts w:ascii="Palatino Linotype" w:hAnsi="Palatino Linotype"/>
        </w:rPr>
        <w:t>(</w:t>
      </w:r>
      <w:r w:rsidRPr="00005047">
        <w:rPr>
          <w:rFonts w:ascii="Palatino Linotype" w:hAnsi="Palatino Linotype"/>
          <w:i/>
          <w:iCs/>
        </w:rPr>
        <w:t>t</w:t>
      </w:r>
      <w:r>
        <w:rPr>
          <w:rFonts w:ascii="Palatino Linotype" w:hAnsi="Palatino Linotype"/>
        </w:rPr>
        <w:t>)</w:t>
      </w:r>
      <w:r w:rsidRPr="00005047">
        <w:rPr>
          <w:rFonts w:ascii="Palatino Linotype" w:hAnsi="Palatino Linotype"/>
          <w:b/>
          <w:bCs/>
          <w:i/>
          <w:iCs/>
        </w:rPr>
        <w:t>U</w:t>
      </w:r>
      <w:r w:rsidRPr="008B4524">
        <w:rPr>
          <w:rFonts w:ascii="Palatino Linotype" w:hAnsi="Palatino Linotype"/>
          <w:vertAlign w:val="subscript"/>
        </w:rPr>
        <w:t>1</w:t>
      </w:r>
      <w:r>
        <w:rPr>
          <w:rFonts w:ascii="Palatino Linotype" w:hAnsi="Palatino Linotype"/>
        </w:rPr>
        <w:t xml:space="preserve"> + </w:t>
      </w:r>
      <w:r w:rsidRPr="002F66B7">
        <w:rPr>
          <w:rFonts w:ascii="Palatino Linotype" w:hAnsi="Palatino Linotype"/>
          <w:i/>
          <w:iCs/>
        </w:rPr>
        <w:t>c</w:t>
      </w:r>
      <w:r w:rsidRPr="002F66B7">
        <w:rPr>
          <w:rFonts w:ascii="Palatino Linotype" w:hAnsi="Palatino Linotype"/>
          <w:vertAlign w:val="subscript"/>
        </w:rPr>
        <w:t>2</w:t>
      </w:r>
      <w:r w:rsidRPr="00005047">
        <w:rPr>
          <w:rFonts w:ascii="Palatino Linotype" w:hAnsi="Palatino Linotype"/>
        </w:rPr>
        <w:t>(</w:t>
      </w:r>
      <w:r w:rsidRPr="00005047">
        <w:rPr>
          <w:rFonts w:ascii="Palatino Linotype" w:hAnsi="Palatino Linotype"/>
          <w:i/>
          <w:iCs/>
        </w:rPr>
        <w:t>t</w:t>
      </w:r>
      <w:r w:rsidRPr="00005047">
        <w:rPr>
          <w:rFonts w:ascii="Palatino Linotype" w:hAnsi="Palatino Linotype"/>
        </w:rPr>
        <w:t>)</w:t>
      </w:r>
      <w:r w:rsidRPr="002F66B7">
        <w:rPr>
          <w:rFonts w:ascii="Palatino Linotype" w:hAnsi="Palatino Linotype"/>
          <w:b/>
          <w:bCs/>
          <w:i/>
          <w:iCs/>
        </w:rPr>
        <w:t>U</w:t>
      </w:r>
      <w:r w:rsidRPr="002F66B7">
        <w:rPr>
          <w:rFonts w:ascii="Palatino Linotype" w:hAnsi="Palatino Linotype"/>
          <w:vertAlign w:val="subscript"/>
        </w:rPr>
        <w:t>2</w:t>
      </w:r>
      <w:r>
        <w:rPr>
          <w:rFonts w:ascii="Palatino Linotype" w:hAnsi="Palatino Linotype"/>
        </w:rPr>
        <w:t xml:space="preserve"> + …, that is called a reconstituted difference map.  Each of these components </w:t>
      </w:r>
      <w:proofErr w:type="spellStart"/>
      <w:r w:rsidRPr="004C1FE6">
        <w:rPr>
          <w:rFonts w:ascii="Palatino Linotype" w:hAnsi="Palatino Linotype"/>
          <w:b/>
          <w:bCs/>
          <w:i/>
          <w:iCs/>
        </w:rPr>
        <w:t>U</w:t>
      </w:r>
      <w:r w:rsidRPr="004C1FE6">
        <w:rPr>
          <w:rFonts w:ascii="Palatino Linotype" w:hAnsi="Palatino Linotype"/>
          <w:i/>
          <w:iCs/>
          <w:vertAlign w:val="subscript"/>
        </w:rPr>
        <w:t>k</w:t>
      </w:r>
      <w:proofErr w:type="spellEnd"/>
      <w:r>
        <w:rPr>
          <w:rFonts w:ascii="Palatino Linotype" w:hAnsi="Palatino Linotype"/>
        </w:rPr>
        <w:t xml:space="preserve"> and the reconstituted difference maps can be rendered in the same way as an observed difference map.  The coefficient set </w:t>
      </w:r>
      <w:r w:rsidRPr="004C1FE6">
        <w:rPr>
          <w:rFonts w:ascii="Palatino Linotype" w:hAnsi="Palatino Linotype"/>
          <w:i/>
          <w:iCs/>
        </w:rPr>
        <w:t>c</w:t>
      </w:r>
      <w:r w:rsidRPr="004C1FE6">
        <w:rPr>
          <w:rFonts w:ascii="Palatino Linotype" w:hAnsi="Palatino Linotype"/>
          <w:i/>
          <w:iCs/>
          <w:vertAlign w:val="subscript"/>
        </w:rPr>
        <w:t>k</w:t>
      </w:r>
      <w:r>
        <w:rPr>
          <w:rFonts w:ascii="Palatino Linotype" w:hAnsi="Palatino Linotype"/>
        </w:rPr>
        <w:t>(</w:t>
      </w:r>
      <w:r w:rsidRPr="004C1FE6">
        <w:rPr>
          <w:rFonts w:ascii="Palatino Linotype" w:hAnsi="Palatino Linotype"/>
          <w:i/>
          <w:iCs/>
        </w:rPr>
        <w:t>t</w:t>
      </w:r>
      <w:r>
        <w:rPr>
          <w:rFonts w:ascii="Palatino Linotype" w:hAnsi="Palatino Linotype"/>
        </w:rPr>
        <w:t xml:space="preserve">) is therefore a trace of the photocycle trajectory, when these time-dependent functions are plotted in a multi-dimensional space or plotted together against the common variable </w:t>
      </w:r>
      <w:r w:rsidRPr="00086493">
        <w:rPr>
          <w:rFonts w:ascii="Palatino Linotype" w:hAnsi="Palatino Linotype"/>
          <w:i/>
          <w:iCs/>
        </w:rPr>
        <w:t>t</w:t>
      </w:r>
      <w:r>
        <w:rPr>
          <w:rFonts w:ascii="Palatino Linotype" w:hAnsi="Palatino Linotype"/>
        </w:rPr>
        <w:t xml:space="preserve">.  See Methods for detail.  (a) Singular values before and after rotation </w:t>
      </w:r>
      <w:r>
        <w:rPr>
          <w:rFonts w:ascii="Palatino Linotype" w:hAnsi="Palatino Linotype"/>
        </w:rPr>
        <w:fldChar w:fldCharType="begin"/>
      </w:r>
      <w:r>
        <w:rPr>
          <w:rFonts w:ascii="Palatino Linotype" w:hAnsi="Palatino Linotype"/>
        </w:rPr>
        <w:instrText xml:space="preserve"> ADDIN ZOTERO_ITEM CSL_CITATION {"citationID":"n1ZAKPc0","properties":{"formattedCitation":"(Ren, 2019, 2021)","plainCitation":"(Ren, 2019, 2021)","noteIndex":0},"citationItems":[{"id":5648,"uris":["http://zotero.org/users/local/Med5doT8/items/UJH63CZI"],"uri":["http://zotero.org/users/local/Med5doT8/items/UJH63CZI"],"itemData":{"id":5648,"type":"article-journal","abstract":"Direct visualization of electronic and molecular events during biochemical reactions is essential to mechanistic insights. This Letter presents an in-depth analysis of the serial crystallographic data sets collected by Barends and Schlichting et al. ( Science 2015, 350, 445) that probe the ligand photodissociation in carbonmonoxy myoglobin. This analysis reveals electron density changes caused by the formation of high-spin 3d atomic orbitals of the heme iron upon photolysis and their dynamic behaviors within the first few picoseconds. The heme iron is found popping out of and recoiling back into the heme plane in succession. These findings provide long-awaited visual validations for previous works using ultrafast spectroscopy and molecular dynamics simulations. Electron density variations are also found largely in the solvent during the first period of a low-frequency oscillation. This work demonstrates the importance of the analytical methods in detecting and isolating weak, transient signals of electronic changes arising from chemical reactions.","container-title":"The Journal of Physical Chemistry Letters","DOI":"10.1021/acs.jpclett.9b02375","journalAbbreviation":"J. Phys. Chem. Lett.","page":"7148-7163","source":"ACS Publications","title":"Ultrafast structural changes decomposed from serial crystallographic data","volume":"10","author":[{"family":"Ren","given":"Zhong"}],"issued":{"date-parts":[["2019",10,8]]}}},{"id":6759,"uris":["http://zotero.org/users/local/Med5doT8/items/KIC7BABI"],"uri":["http://zotero.org/users/local/Med5doT8/items/KIC7BABI"],"itemData":{"id":6759,"type":"article-journal","abstract":"Photoisomerization of retinoids inside a confined protein pocket represents a critical chemical event in many important biological processes from animal vision, non-visual light effects, to bacterial light sensing and harvesting.  Light driven proton pumping in bacteriorhodopsin entails exquisite electronic and conformational reconfigurations during its photocycle.  However, it has been a major challenge to delineate transient molecular events preceding and following the photoisomerization of the retinal from noisy electron density maps when varying populations of intermediates coexist and evolve as a function of time.  Here I report several distinct early photoproducts deconvoluted from the recently observed mixtures in time-resolved serial crystallography.  This deconvolution substantially improves the quality of the electron density maps hence demonstrates that the all-trans retinal undergoes extensive isomerization sampling before it proceeds to the productive 13-cis configuration.  Upon light absorption, the chromophore attempts to perform trans-to-cis isomerization at every double bond coupled with the stalled anti-to-syn rotations at multiple single bonds along its polyene chain.  Such isomerization sampling pushes all seven transmembrane helices to bend outward, resulting in a transient expansion of the retinal binding pocket, and later, a contraction due to recoiling.  These ultrafast responses observed at the atomic resolution support that the productive photoreaction in bacteriorhodopsin is initiated by light-induced charge separation in the prosthetic chromophore yet governed by stereoselectivity of its protein pocket.  The method of a numerical resolution of concurrent events from mixed observations is also generally applicable.","container-title":"bioRxiv","DOI":"10.1101/2021.09.16.460656","language":"en","note":"DOI: 10.1101/2021.09.16.460656","page":"doi:10.1101/2021.09.16.460656","source":"DOI.org (Crossref)","title":"Photoinduced isomerization sampling of retinal in bacteriorhodopsin","author":[{"family":"Ren","given":"Zhong"}],"issued":{"date-parts":[["2021",9,16]]}}}],"schema":"https://github.com/citation-style-language/schema/raw/master/csl-citation.json"} </w:instrText>
      </w:r>
      <w:r>
        <w:rPr>
          <w:rFonts w:ascii="Palatino Linotype" w:hAnsi="Palatino Linotype"/>
        </w:rPr>
        <w:fldChar w:fldCharType="separate"/>
      </w:r>
      <w:r>
        <w:rPr>
          <w:rFonts w:ascii="Palatino Linotype" w:hAnsi="Palatino Linotype"/>
          <w:noProof/>
        </w:rPr>
        <w:t>(Ren, 2019, 2021)</w:t>
      </w:r>
      <w:r>
        <w:rPr>
          <w:rFonts w:ascii="Palatino Linotype" w:hAnsi="Palatino Linotype"/>
        </w:rPr>
        <w:fldChar w:fldCharType="end"/>
      </w:r>
      <w:r>
        <w:rPr>
          <w:rFonts w:ascii="Palatino Linotype" w:hAnsi="Palatino Linotype"/>
        </w:rPr>
        <w:t xml:space="preserve">.  19 components stand out.  (b-g) Time-dependent coefficients of four components </w:t>
      </w:r>
      <w:r w:rsidRPr="00005047">
        <w:rPr>
          <w:rFonts w:ascii="Palatino Linotype" w:hAnsi="Palatino Linotype"/>
          <w:b/>
          <w:bCs/>
          <w:i/>
          <w:iCs/>
        </w:rPr>
        <w:t>U</w:t>
      </w:r>
      <w:r w:rsidRPr="008B4524">
        <w:rPr>
          <w:rFonts w:ascii="Palatino Linotype" w:hAnsi="Palatino Linotype"/>
          <w:vertAlign w:val="subscript"/>
        </w:rPr>
        <w:t>1</w:t>
      </w:r>
      <w:r>
        <w:rPr>
          <w:rFonts w:ascii="Palatino Linotype" w:hAnsi="Palatino Linotype"/>
        </w:rPr>
        <w:t xml:space="preserve">, </w:t>
      </w:r>
      <w:r w:rsidRPr="002F66B7">
        <w:rPr>
          <w:rFonts w:ascii="Palatino Linotype" w:hAnsi="Palatino Linotype"/>
          <w:b/>
          <w:bCs/>
          <w:i/>
          <w:iCs/>
        </w:rPr>
        <w:t>U</w:t>
      </w:r>
      <w:r w:rsidRPr="002F66B7">
        <w:rPr>
          <w:rFonts w:ascii="Palatino Linotype" w:hAnsi="Palatino Linotype"/>
          <w:vertAlign w:val="subscript"/>
        </w:rPr>
        <w:t>2</w:t>
      </w:r>
      <w:r>
        <w:rPr>
          <w:rFonts w:ascii="Palatino Linotype" w:hAnsi="Palatino Linotype"/>
        </w:rPr>
        <w:t xml:space="preserve">, </w:t>
      </w:r>
      <w:r w:rsidRPr="00005047">
        <w:rPr>
          <w:rFonts w:ascii="Palatino Linotype" w:hAnsi="Palatino Linotype"/>
          <w:b/>
          <w:bCs/>
          <w:i/>
          <w:iCs/>
        </w:rPr>
        <w:t>U</w:t>
      </w:r>
      <w:r>
        <w:rPr>
          <w:rFonts w:ascii="Palatino Linotype" w:hAnsi="Palatino Linotype"/>
          <w:vertAlign w:val="subscript"/>
        </w:rPr>
        <w:t>3</w:t>
      </w:r>
      <w:r>
        <w:rPr>
          <w:rFonts w:ascii="Palatino Linotype" w:hAnsi="Palatino Linotype"/>
        </w:rPr>
        <w:t xml:space="preserve">, and </w:t>
      </w:r>
      <w:r w:rsidRPr="002F66B7">
        <w:rPr>
          <w:rFonts w:ascii="Palatino Linotype" w:hAnsi="Palatino Linotype"/>
          <w:b/>
          <w:bCs/>
          <w:i/>
          <w:iCs/>
        </w:rPr>
        <w:t>U</w:t>
      </w:r>
      <w:r>
        <w:rPr>
          <w:rFonts w:ascii="Palatino Linotype" w:hAnsi="Palatino Linotype"/>
          <w:vertAlign w:val="subscript"/>
        </w:rPr>
        <w:t>6</w:t>
      </w:r>
      <w:r>
        <w:rPr>
          <w:rFonts w:ascii="Palatino Linotype" w:hAnsi="Palatino Linotype"/>
        </w:rPr>
        <w:t>.  Each pair of the adjacent orthographical views, horizontal or vertical, can be folded along a straight line between them to erect a three-dimensional space.  Each colored trace represents difference maps in a time series calculated with a common reference.  Those time series with a dark reference are plotted with thick lines with dots.  Other series are in thin lines without dots.</w:t>
      </w:r>
    </w:p>
    <w:p w14:paraId="6D1C2E31" w14:textId="77777777" w:rsidR="0039334C" w:rsidRDefault="0039334C" w:rsidP="0039334C">
      <w:pPr>
        <w:spacing w:line="276" w:lineRule="auto"/>
        <w:rPr>
          <w:rFonts w:ascii="Palatino Linotype" w:hAnsi="Palatino Linotype"/>
        </w:rPr>
      </w:pPr>
    </w:p>
    <w:p w14:paraId="6D24FAD2" w14:textId="77777777" w:rsidR="0039334C" w:rsidRDefault="0039334C" w:rsidP="0039334C">
      <w:pPr>
        <w:rPr>
          <w:rFonts w:ascii="Palatino Linotype" w:hAnsi="Palatino Linotype"/>
        </w:rPr>
      </w:pPr>
      <w:r>
        <w:rPr>
          <w:rFonts w:ascii="Palatino Linotype" w:hAnsi="Palatino Linotype"/>
        </w:rPr>
        <w:br w:type="page"/>
      </w:r>
    </w:p>
    <w:p w14:paraId="3EB72F38" w14:textId="77777777" w:rsidR="0039334C" w:rsidRDefault="0039334C" w:rsidP="0039334C">
      <w:pPr>
        <w:spacing w:line="276" w:lineRule="auto"/>
        <w:ind w:left="-1080"/>
        <w:rPr>
          <w:rFonts w:ascii="Palatino Linotype" w:hAnsi="Palatino Linotype"/>
        </w:rPr>
      </w:pPr>
      <w:r>
        <w:rPr>
          <w:rFonts w:ascii="Palatino Linotype" w:hAnsi="Palatino Linotype"/>
          <w:noProof/>
        </w:rPr>
        <w:lastRenderedPageBreak/>
        <w:drawing>
          <wp:inline distT="0" distB="0" distL="0" distR="0" wp14:anchorId="6861C3AB" wp14:editId="099C6412">
            <wp:extent cx="7315200" cy="788884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U1236.pdf"/>
                    <pic:cNvPicPr/>
                  </pic:nvPicPr>
                  <pic:blipFill>
                    <a:blip r:embed="rId9">
                      <a:extLst>
                        <a:ext uri="{28A0092B-C50C-407E-A947-70E740481C1C}">
                          <a14:useLocalDpi xmlns:a14="http://schemas.microsoft.com/office/drawing/2010/main" val="0"/>
                        </a:ext>
                      </a:extLst>
                    </a:blip>
                    <a:stretch>
                      <a:fillRect/>
                    </a:stretch>
                  </pic:blipFill>
                  <pic:spPr>
                    <a:xfrm>
                      <a:off x="0" y="0"/>
                      <a:ext cx="7315200" cy="7888849"/>
                    </a:xfrm>
                    <a:prstGeom prst="rect">
                      <a:avLst/>
                    </a:prstGeom>
                  </pic:spPr>
                </pic:pic>
              </a:graphicData>
            </a:graphic>
          </wp:inline>
        </w:drawing>
      </w:r>
    </w:p>
    <w:p w14:paraId="149B4499" w14:textId="77777777" w:rsidR="0039334C" w:rsidRDefault="0039334C" w:rsidP="0039334C">
      <w:pPr>
        <w:spacing w:line="276" w:lineRule="auto"/>
        <w:rPr>
          <w:rFonts w:ascii="Palatino Linotype" w:hAnsi="Palatino Linotype"/>
        </w:rPr>
      </w:pPr>
    </w:p>
    <w:p w14:paraId="23A35F7A" w14:textId="77777777" w:rsidR="0039334C" w:rsidRDefault="0039334C" w:rsidP="0039334C">
      <w:pPr>
        <w:spacing w:line="276" w:lineRule="auto"/>
        <w:rPr>
          <w:rFonts w:ascii="Palatino Linotype" w:hAnsi="Palatino Linotype"/>
        </w:rPr>
      </w:pPr>
      <w:r>
        <w:rPr>
          <w:rFonts w:ascii="Palatino Linotype" w:hAnsi="Palatino Linotype"/>
        </w:rPr>
        <w:lastRenderedPageBreak/>
        <w:t xml:space="preserve">Figure S5.  Component maps </w:t>
      </w:r>
      <w:r w:rsidRPr="00B30D36">
        <w:rPr>
          <w:rFonts w:ascii="Palatino Linotype" w:hAnsi="Palatino Linotype"/>
          <w:b/>
          <w:bCs/>
          <w:i/>
          <w:iCs/>
        </w:rPr>
        <w:t>U</w:t>
      </w:r>
      <w:r w:rsidRPr="00B30D36">
        <w:rPr>
          <w:rFonts w:ascii="Palatino Linotype" w:hAnsi="Palatino Linotype"/>
          <w:vertAlign w:val="subscript"/>
        </w:rPr>
        <w:t>1</w:t>
      </w:r>
      <w:r>
        <w:rPr>
          <w:rFonts w:ascii="Palatino Linotype" w:hAnsi="Palatino Linotype"/>
        </w:rPr>
        <w:t xml:space="preserve">, </w:t>
      </w:r>
      <w:r w:rsidRPr="00B30D36">
        <w:rPr>
          <w:rFonts w:ascii="Palatino Linotype" w:hAnsi="Palatino Linotype"/>
          <w:b/>
          <w:bCs/>
          <w:i/>
          <w:iCs/>
        </w:rPr>
        <w:t>U</w:t>
      </w:r>
      <w:r>
        <w:rPr>
          <w:rFonts w:ascii="Palatino Linotype" w:hAnsi="Palatino Linotype"/>
          <w:vertAlign w:val="subscript"/>
        </w:rPr>
        <w:t>2</w:t>
      </w:r>
      <w:r>
        <w:rPr>
          <w:rFonts w:ascii="Palatino Linotype" w:hAnsi="Palatino Linotype"/>
        </w:rPr>
        <w:t xml:space="preserve">, </w:t>
      </w:r>
      <w:r w:rsidRPr="00B30D36">
        <w:rPr>
          <w:rFonts w:ascii="Palatino Linotype" w:hAnsi="Palatino Linotype"/>
          <w:b/>
          <w:bCs/>
          <w:i/>
          <w:iCs/>
        </w:rPr>
        <w:t>U</w:t>
      </w:r>
      <w:r>
        <w:rPr>
          <w:rFonts w:ascii="Palatino Linotype" w:hAnsi="Palatino Linotype"/>
          <w:vertAlign w:val="subscript"/>
        </w:rPr>
        <w:t>3</w:t>
      </w:r>
      <w:r>
        <w:rPr>
          <w:rFonts w:ascii="Palatino Linotype" w:hAnsi="Palatino Linotype"/>
        </w:rPr>
        <w:t xml:space="preserve">, and </w:t>
      </w:r>
      <w:r w:rsidRPr="00B30D36">
        <w:rPr>
          <w:rFonts w:ascii="Palatino Linotype" w:hAnsi="Palatino Linotype"/>
          <w:b/>
          <w:bCs/>
          <w:i/>
          <w:iCs/>
        </w:rPr>
        <w:t>U</w:t>
      </w:r>
      <w:r>
        <w:rPr>
          <w:rFonts w:ascii="Palatino Linotype" w:hAnsi="Palatino Linotype"/>
          <w:vertAlign w:val="subscript"/>
        </w:rPr>
        <w:t>6</w:t>
      </w:r>
      <w:r>
        <w:rPr>
          <w:rFonts w:ascii="Palatino Linotype" w:hAnsi="Palatino Linotype"/>
        </w:rPr>
        <w:t xml:space="preserve"> from long delays.  The main chain and side chains of the protein are rendered with ribbons and sticks, respectively.  The retinal and Lys216 are in purple sticks.  Several key waters are in blue spheres.  Parts of the structure are omitted to reveal more of the interior.  The maps are contoured at </w:t>
      </w:r>
      <w:r>
        <w:rPr>
          <w:rFonts w:ascii="Palatino Linotype" w:hAnsi="Palatino Linotype"/>
        </w:rPr>
        <w:sym w:font="Symbol" w:char="F0B1"/>
      </w:r>
      <w:r>
        <w:rPr>
          <w:rFonts w:ascii="Palatino Linotype" w:hAnsi="Palatino Linotype"/>
        </w:rPr>
        <w:t>3</w:t>
      </w:r>
      <w:r w:rsidRPr="00B30D36">
        <w:rPr>
          <w:rFonts w:ascii="Palatino Linotype" w:hAnsi="Palatino Linotype"/>
          <w:i/>
          <w:iCs/>
        </w:rPr>
        <w:sym w:font="Symbol" w:char="F073"/>
      </w:r>
      <w:r>
        <w:rPr>
          <w:rFonts w:ascii="Palatino Linotype" w:hAnsi="Palatino Linotype"/>
        </w:rPr>
        <w:t xml:space="preserve"> in green and red, respectively.  (a) Two orthographical views of </w:t>
      </w:r>
      <w:r w:rsidRPr="00B30D36">
        <w:rPr>
          <w:rFonts w:ascii="Palatino Linotype" w:hAnsi="Palatino Linotype"/>
          <w:b/>
          <w:bCs/>
          <w:i/>
          <w:iCs/>
        </w:rPr>
        <w:t>U</w:t>
      </w:r>
      <w:r w:rsidRPr="00B30D36">
        <w:rPr>
          <w:rFonts w:ascii="Palatino Linotype" w:hAnsi="Palatino Linotype"/>
          <w:vertAlign w:val="subscript"/>
        </w:rPr>
        <w:t>1</w:t>
      </w:r>
      <w:r>
        <w:rPr>
          <w:rFonts w:ascii="Palatino Linotype" w:hAnsi="Palatino Linotype"/>
        </w:rPr>
        <w:t xml:space="preserve">.  The signals are distributed over the EC half of the molecule.  (b) Two orthographical views of </w:t>
      </w:r>
      <w:r w:rsidRPr="00B30D36">
        <w:rPr>
          <w:rFonts w:ascii="Palatino Linotype" w:hAnsi="Palatino Linotype"/>
          <w:b/>
          <w:bCs/>
          <w:i/>
          <w:iCs/>
        </w:rPr>
        <w:t>U</w:t>
      </w:r>
      <w:r>
        <w:rPr>
          <w:rFonts w:ascii="Palatino Linotype" w:hAnsi="Palatino Linotype"/>
          <w:vertAlign w:val="subscript"/>
        </w:rPr>
        <w:t>2</w:t>
      </w:r>
      <w:r>
        <w:rPr>
          <w:rFonts w:ascii="Palatino Linotype" w:hAnsi="Palatino Linotype"/>
        </w:rPr>
        <w:t xml:space="preserve">.  The signals are concentrated around the proximal segment of the retinal.  (c) Three orthographical views of </w:t>
      </w:r>
      <w:r w:rsidRPr="00B30D36">
        <w:rPr>
          <w:rFonts w:ascii="Palatino Linotype" w:hAnsi="Palatino Linotype"/>
          <w:b/>
          <w:bCs/>
          <w:i/>
          <w:iCs/>
        </w:rPr>
        <w:t>U</w:t>
      </w:r>
      <w:r>
        <w:rPr>
          <w:rFonts w:ascii="Palatino Linotype" w:hAnsi="Palatino Linotype"/>
          <w:vertAlign w:val="subscript"/>
        </w:rPr>
        <w:t>3</w:t>
      </w:r>
      <w:r>
        <w:rPr>
          <w:rFonts w:ascii="Palatino Linotype" w:hAnsi="Palatino Linotype"/>
        </w:rPr>
        <w:t xml:space="preserve">.  Widespread signals are associated with all seven helices.  (d) Two orthographical views of </w:t>
      </w:r>
      <w:r w:rsidRPr="00B30D36">
        <w:rPr>
          <w:rFonts w:ascii="Palatino Linotype" w:hAnsi="Palatino Linotype"/>
          <w:b/>
          <w:bCs/>
          <w:i/>
          <w:iCs/>
        </w:rPr>
        <w:t>U</w:t>
      </w:r>
      <w:r>
        <w:rPr>
          <w:rFonts w:ascii="Palatino Linotype" w:hAnsi="Palatino Linotype"/>
          <w:vertAlign w:val="subscript"/>
        </w:rPr>
        <w:t>6</w:t>
      </w:r>
      <w:r>
        <w:rPr>
          <w:rFonts w:ascii="Palatino Linotype" w:hAnsi="Palatino Linotype"/>
        </w:rPr>
        <w:t>.  The signals are over the EC half of the molecule.</w:t>
      </w:r>
    </w:p>
    <w:p w14:paraId="4D928025" w14:textId="77777777" w:rsidR="0039334C" w:rsidRDefault="0039334C" w:rsidP="0039334C">
      <w:pPr>
        <w:spacing w:line="276" w:lineRule="auto"/>
        <w:rPr>
          <w:rFonts w:ascii="Palatino Linotype" w:hAnsi="Palatino Linotype"/>
        </w:rPr>
      </w:pPr>
    </w:p>
    <w:p w14:paraId="084AE775"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4FB7BE0F" wp14:editId="57033624">
            <wp:extent cx="3657599" cy="6270171"/>
            <wp:effectExtent l="0" t="0" r="63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U4U5.pdf"/>
                    <pic:cNvPicPr/>
                  </pic:nvPicPr>
                  <pic:blipFill>
                    <a:blip r:embed="rId10">
                      <a:extLst>
                        <a:ext uri="{28A0092B-C50C-407E-A947-70E740481C1C}">
                          <a14:useLocalDpi xmlns:a14="http://schemas.microsoft.com/office/drawing/2010/main" val="0"/>
                        </a:ext>
                      </a:extLst>
                    </a:blip>
                    <a:stretch>
                      <a:fillRect/>
                    </a:stretch>
                  </pic:blipFill>
                  <pic:spPr>
                    <a:xfrm>
                      <a:off x="0" y="0"/>
                      <a:ext cx="3657599" cy="6270171"/>
                    </a:xfrm>
                    <a:prstGeom prst="rect">
                      <a:avLst/>
                    </a:prstGeom>
                  </pic:spPr>
                </pic:pic>
              </a:graphicData>
            </a:graphic>
          </wp:inline>
        </w:drawing>
      </w:r>
    </w:p>
    <w:p w14:paraId="3C9E2914" w14:textId="77777777" w:rsidR="0039334C" w:rsidRDefault="0039334C" w:rsidP="0039334C">
      <w:pPr>
        <w:spacing w:line="276" w:lineRule="auto"/>
        <w:rPr>
          <w:rFonts w:ascii="Palatino Linotype" w:hAnsi="Palatino Linotype"/>
        </w:rPr>
      </w:pPr>
    </w:p>
    <w:p w14:paraId="1A9AB93D" w14:textId="77777777" w:rsidR="0039334C" w:rsidRDefault="0039334C" w:rsidP="0039334C">
      <w:pPr>
        <w:spacing w:line="276" w:lineRule="auto"/>
        <w:rPr>
          <w:rFonts w:ascii="Palatino Linotype" w:hAnsi="Palatino Linotype"/>
        </w:rPr>
      </w:pPr>
      <w:r>
        <w:rPr>
          <w:rFonts w:ascii="Palatino Linotype" w:hAnsi="Palatino Linotype"/>
        </w:rPr>
        <w:t xml:space="preserve">Figure S6.  Component maps </w:t>
      </w:r>
      <w:r w:rsidRPr="00B30D36">
        <w:rPr>
          <w:rFonts w:ascii="Palatino Linotype" w:hAnsi="Palatino Linotype"/>
          <w:b/>
          <w:bCs/>
          <w:i/>
          <w:iCs/>
        </w:rPr>
        <w:t>U</w:t>
      </w:r>
      <w:r>
        <w:rPr>
          <w:rFonts w:ascii="Palatino Linotype" w:hAnsi="Palatino Linotype"/>
          <w:vertAlign w:val="subscript"/>
        </w:rPr>
        <w:t>4</w:t>
      </w:r>
      <w:r>
        <w:rPr>
          <w:rFonts w:ascii="Palatino Linotype" w:hAnsi="Palatino Linotype"/>
        </w:rPr>
        <w:t xml:space="preserve"> and </w:t>
      </w:r>
      <w:r w:rsidRPr="00B30D36">
        <w:rPr>
          <w:rFonts w:ascii="Palatino Linotype" w:hAnsi="Palatino Linotype"/>
          <w:b/>
          <w:bCs/>
          <w:i/>
          <w:iCs/>
        </w:rPr>
        <w:t>U</w:t>
      </w:r>
      <w:r>
        <w:rPr>
          <w:rFonts w:ascii="Palatino Linotype" w:hAnsi="Palatino Linotype"/>
          <w:vertAlign w:val="subscript"/>
        </w:rPr>
        <w:t>5</w:t>
      </w:r>
      <w:r>
        <w:rPr>
          <w:rFonts w:ascii="Palatino Linotype" w:hAnsi="Palatino Linotype"/>
        </w:rPr>
        <w:t xml:space="preserve"> from long delays.  The main chain and side chains of the protein are rendered with ribbons and sticks, respectively.  The retinal and Lys216 are in purple sticks.  Several key waters are in blue spheres.  Parts of the structure are omitted to reveal more of the interior.  The maps are contoured at </w:t>
      </w:r>
      <w:r>
        <w:rPr>
          <w:rFonts w:ascii="Palatino Linotype" w:hAnsi="Palatino Linotype"/>
        </w:rPr>
        <w:sym w:font="Symbol" w:char="F0B1"/>
      </w:r>
      <w:r>
        <w:rPr>
          <w:rFonts w:ascii="Palatino Linotype" w:hAnsi="Palatino Linotype"/>
        </w:rPr>
        <w:t>3</w:t>
      </w:r>
      <w:r w:rsidRPr="00B30D36">
        <w:rPr>
          <w:rFonts w:ascii="Palatino Linotype" w:hAnsi="Palatino Linotype"/>
          <w:i/>
          <w:iCs/>
        </w:rPr>
        <w:sym w:font="Symbol" w:char="F073"/>
      </w:r>
      <w:r>
        <w:rPr>
          <w:rFonts w:ascii="Palatino Linotype" w:hAnsi="Palatino Linotype"/>
        </w:rPr>
        <w:t xml:space="preserve"> in green and red, respectively.  These components are not associated with a clear time dependency.  Therefore, they are isolated but not used in structure refinement.  (a) Two orthographical views of </w:t>
      </w:r>
      <w:r w:rsidRPr="00B30D36">
        <w:rPr>
          <w:rFonts w:ascii="Palatino Linotype" w:hAnsi="Palatino Linotype"/>
          <w:b/>
          <w:bCs/>
          <w:i/>
          <w:iCs/>
        </w:rPr>
        <w:t>U</w:t>
      </w:r>
      <w:r>
        <w:rPr>
          <w:rFonts w:ascii="Palatino Linotype" w:hAnsi="Palatino Linotype"/>
          <w:vertAlign w:val="subscript"/>
        </w:rPr>
        <w:t>4</w:t>
      </w:r>
      <w:r>
        <w:rPr>
          <w:rFonts w:ascii="Palatino Linotype" w:hAnsi="Palatino Linotype"/>
        </w:rPr>
        <w:t xml:space="preserve">.  Some signals are distributed over the EC half of the </w:t>
      </w:r>
      <w:r>
        <w:rPr>
          <w:rFonts w:ascii="Palatino Linotype" w:hAnsi="Palatino Linotype"/>
        </w:rPr>
        <w:lastRenderedPageBreak/>
        <w:t xml:space="preserve">molecule.  (b) Two orthographical views of </w:t>
      </w:r>
      <w:r w:rsidRPr="00B30D36">
        <w:rPr>
          <w:rFonts w:ascii="Palatino Linotype" w:hAnsi="Palatino Linotype"/>
          <w:b/>
          <w:bCs/>
          <w:i/>
          <w:iCs/>
        </w:rPr>
        <w:t>U</w:t>
      </w:r>
      <w:r>
        <w:rPr>
          <w:rFonts w:ascii="Palatino Linotype" w:hAnsi="Palatino Linotype"/>
          <w:vertAlign w:val="subscript"/>
        </w:rPr>
        <w:t>5</w:t>
      </w:r>
      <w:r>
        <w:rPr>
          <w:rFonts w:ascii="Palatino Linotype" w:hAnsi="Palatino Linotype"/>
        </w:rPr>
        <w:t>.  Some signals are located around the CP segments of helices E and F.</w:t>
      </w:r>
    </w:p>
    <w:p w14:paraId="3CC10BE3" w14:textId="77777777" w:rsidR="0039334C" w:rsidRDefault="0039334C" w:rsidP="0039334C">
      <w:pPr>
        <w:spacing w:line="276" w:lineRule="auto"/>
        <w:rPr>
          <w:rFonts w:ascii="Palatino Linotype" w:hAnsi="Palatino Linotype"/>
        </w:rPr>
      </w:pPr>
    </w:p>
    <w:p w14:paraId="54F1DC2E" w14:textId="77777777" w:rsidR="0039334C" w:rsidRDefault="0039334C" w:rsidP="0039334C">
      <w:pPr>
        <w:rPr>
          <w:rFonts w:ascii="Palatino Linotype" w:hAnsi="Palatino Linotype"/>
        </w:rPr>
      </w:pPr>
      <w:r>
        <w:rPr>
          <w:rFonts w:ascii="Palatino Linotype" w:hAnsi="Palatino Linotype"/>
        </w:rPr>
        <w:br w:type="page"/>
      </w:r>
    </w:p>
    <w:p w14:paraId="5D98ACF2" w14:textId="77777777" w:rsidR="0039334C" w:rsidRDefault="0039334C" w:rsidP="0039334C">
      <w:pPr>
        <w:spacing w:line="276" w:lineRule="auto"/>
        <w:rPr>
          <w:rFonts w:ascii="Palatino Linotype" w:hAnsi="Palatino Linotype"/>
        </w:rPr>
      </w:pPr>
      <w:r>
        <w:rPr>
          <w:rFonts w:ascii="Palatino Linotype" w:hAnsi="Palatino Linotype"/>
          <w:noProof/>
        </w:rPr>
        <w:lastRenderedPageBreak/>
        <w:drawing>
          <wp:inline distT="0" distB="0" distL="0" distR="0" wp14:anchorId="3140E41D" wp14:editId="217BE8A1">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52FB0C2" w14:textId="77777777" w:rsidR="0039334C" w:rsidRDefault="0039334C" w:rsidP="0039334C">
      <w:pPr>
        <w:spacing w:line="276" w:lineRule="auto"/>
        <w:rPr>
          <w:rFonts w:ascii="Palatino Linotype" w:hAnsi="Palatino Linotype"/>
        </w:rPr>
      </w:pPr>
    </w:p>
    <w:p w14:paraId="519CCB15" w14:textId="77777777" w:rsidR="0039334C" w:rsidRDefault="0039334C" w:rsidP="0039334C">
      <w:pPr>
        <w:spacing w:line="276" w:lineRule="auto"/>
        <w:rPr>
          <w:rFonts w:ascii="Palatino Linotype" w:hAnsi="Palatino Linotype"/>
        </w:rPr>
      </w:pPr>
      <w:r>
        <w:rPr>
          <w:rFonts w:ascii="Palatino Linotype" w:hAnsi="Palatino Linotype"/>
        </w:rPr>
        <w:t xml:space="preserve">Figure S7.  Exponential fitting of SVD coefficients of long delays.  (a, b, and c) The time dependencies of the SVD coefficients </w:t>
      </w:r>
      <w:r w:rsidRPr="007A6CC1">
        <w:rPr>
          <w:rFonts w:ascii="Palatino Linotype" w:hAnsi="Palatino Linotype"/>
          <w:i/>
          <w:iCs/>
        </w:rPr>
        <w:t>c</w:t>
      </w:r>
      <w:r w:rsidRPr="007A6CC1">
        <w:rPr>
          <w:rFonts w:ascii="Palatino Linotype" w:hAnsi="Palatino Linotype"/>
          <w:vertAlign w:val="subscript"/>
        </w:rPr>
        <w:t>1</w:t>
      </w:r>
      <w:r>
        <w:rPr>
          <w:rFonts w:ascii="Palatino Linotype" w:hAnsi="Palatino Linotype"/>
        </w:rPr>
        <w:t>(</w:t>
      </w:r>
      <w:r w:rsidRPr="00D0000C">
        <w:rPr>
          <w:rFonts w:ascii="Palatino Linotype" w:hAnsi="Palatino Linotype"/>
          <w:i/>
          <w:iCs/>
        </w:rPr>
        <w:t>t</w:t>
      </w:r>
      <w:r>
        <w:rPr>
          <w:rFonts w:ascii="Palatino Linotype" w:hAnsi="Palatino Linotype"/>
        </w:rPr>
        <w:t xml:space="preserve">), </w:t>
      </w:r>
      <w:r w:rsidRPr="007A6CC1">
        <w:rPr>
          <w:rFonts w:ascii="Palatino Linotype" w:hAnsi="Palatino Linotype"/>
          <w:i/>
          <w:iCs/>
        </w:rPr>
        <w:t>c</w:t>
      </w:r>
      <w:r w:rsidRPr="007A6CC1">
        <w:rPr>
          <w:rFonts w:ascii="Palatino Linotype" w:hAnsi="Palatino Linotype"/>
          <w:vertAlign w:val="subscript"/>
        </w:rPr>
        <w:t>3</w:t>
      </w:r>
      <w:r>
        <w:rPr>
          <w:rFonts w:ascii="Palatino Linotype" w:hAnsi="Palatino Linotype"/>
        </w:rPr>
        <w:t>(</w:t>
      </w:r>
      <w:r w:rsidRPr="00D0000C">
        <w:rPr>
          <w:rFonts w:ascii="Palatino Linotype" w:hAnsi="Palatino Linotype"/>
          <w:i/>
          <w:iCs/>
        </w:rPr>
        <w:t>t</w:t>
      </w:r>
      <w:r>
        <w:rPr>
          <w:rFonts w:ascii="Palatino Linotype" w:hAnsi="Palatino Linotype"/>
        </w:rPr>
        <w:t xml:space="preserve">), and </w:t>
      </w:r>
      <w:r w:rsidRPr="007A6CC1">
        <w:rPr>
          <w:rFonts w:ascii="Palatino Linotype" w:hAnsi="Palatino Linotype"/>
          <w:i/>
          <w:iCs/>
        </w:rPr>
        <w:t>c</w:t>
      </w:r>
      <w:r w:rsidRPr="007A6CC1">
        <w:rPr>
          <w:rFonts w:ascii="Palatino Linotype" w:hAnsi="Palatino Linotype"/>
          <w:vertAlign w:val="subscript"/>
        </w:rPr>
        <w:t>6</w:t>
      </w:r>
      <w:r>
        <w:rPr>
          <w:rFonts w:ascii="Palatino Linotype" w:hAnsi="Palatino Linotype"/>
        </w:rPr>
        <w:t>(</w:t>
      </w:r>
      <w:r w:rsidRPr="00D0000C">
        <w:rPr>
          <w:rFonts w:ascii="Palatino Linotype" w:hAnsi="Palatino Linotype"/>
          <w:i/>
          <w:iCs/>
        </w:rPr>
        <w:t>t</w:t>
      </w:r>
      <w:r>
        <w:rPr>
          <w:rFonts w:ascii="Palatino Linotype" w:hAnsi="Palatino Linotype"/>
        </w:rPr>
        <w:t xml:space="preserve">) of the long delays are modeled with exponential functions (Methods).  The time constant </w:t>
      </w:r>
      <w:r w:rsidRPr="00FC412D">
        <w:rPr>
          <w:rFonts w:ascii="Palatino Linotype" w:hAnsi="Palatino Linotype"/>
          <w:i/>
          <w:iCs/>
        </w:rPr>
        <w:sym w:font="Symbol" w:char="F074"/>
      </w:r>
      <w:r w:rsidRPr="00FC412D">
        <w:rPr>
          <w:rFonts w:ascii="Palatino Linotype" w:hAnsi="Palatino Linotype"/>
          <w:i/>
          <w:iCs/>
          <w:vertAlign w:val="subscript"/>
        </w:rPr>
        <w:t>k</w:t>
      </w:r>
      <w:r>
        <w:rPr>
          <w:rFonts w:ascii="Palatino Linotype" w:hAnsi="Palatino Linotype"/>
        </w:rPr>
        <w:t xml:space="preserve"> associated with the major change in each coefficient models a step in the reaction scheme K </w:t>
      </w:r>
      <w:r w:rsidRPr="0061192E">
        <w:rPr>
          <w:rFonts w:ascii="Palatino Linotype" w:hAnsi="Palatino Linotype"/>
        </w:rPr>
        <w:sym w:font="Wingdings" w:char="F0E0"/>
      </w:r>
      <w:r>
        <w:rPr>
          <w:rFonts w:ascii="Palatino Linotype" w:hAnsi="Palatino Linotype"/>
        </w:rPr>
        <w:t xml:space="preserve"> L </w:t>
      </w:r>
      <w:r w:rsidRPr="0061192E">
        <w:rPr>
          <w:rFonts w:ascii="Palatino Linotype" w:hAnsi="Palatino Linotype"/>
        </w:rPr>
        <w:sym w:font="Wingdings" w:char="F0E0"/>
      </w:r>
      <w:r>
        <w:rPr>
          <w:rFonts w:ascii="Palatino Linotype" w:hAnsi="Palatino Linotype"/>
        </w:rPr>
        <w:t xml:space="preserve"> M</w:t>
      </w:r>
      <w:r w:rsidRPr="0061192E">
        <w:rPr>
          <w:rFonts w:ascii="Palatino Linotype" w:hAnsi="Palatino Linotype"/>
          <w:vertAlign w:val="subscript"/>
        </w:rPr>
        <w:t>1</w:t>
      </w:r>
      <w:r>
        <w:rPr>
          <w:rFonts w:ascii="Palatino Linotype" w:hAnsi="Palatino Linotype"/>
        </w:rPr>
        <w:t xml:space="preserve"> </w:t>
      </w:r>
      <w:r w:rsidRPr="0061192E">
        <w:rPr>
          <w:rFonts w:ascii="Palatino Linotype" w:hAnsi="Palatino Linotype"/>
        </w:rPr>
        <w:sym w:font="Wingdings" w:char="F0E0"/>
      </w:r>
      <w:r>
        <w:rPr>
          <w:rFonts w:ascii="Palatino Linotype" w:hAnsi="Palatino Linotype"/>
        </w:rPr>
        <w:t xml:space="preserve"> M</w:t>
      </w:r>
      <w:r w:rsidRPr="0061192E">
        <w:rPr>
          <w:rFonts w:ascii="Palatino Linotype" w:hAnsi="Palatino Linotype"/>
          <w:vertAlign w:val="subscript"/>
        </w:rPr>
        <w:t>2</w:t>
      </w:r>
      <w:r>
        <w:rPr>
          <w:rFonts w:ascii="Palatino Linotype" w:hAnsi="Palatino Linotype"/>
        </w:rPr>
        <w:t xml:space="preserve">.  </w:t>
      </w:r>
      <w:r w:rsidRPr="0061192E">
        <w:rPr>
          <w:rFonts w:ascii="Palatino Linotype" w:hAnsi="Palatino Linotype"/>
          <w:i/>
          <w:iCs/>
        </w:rPr>
        <w:sym w:font="Symbol" w:char="F074"/>
      </w:r>
      <w:r w:rsidRPr="0061192E">
        <w:rPr>
          <w:rFonts w:ascii="Palatino Linotype" w:hAnsi="Palatino Linotype"/>
          <w:vertAlign w:val="subscript"/>
        </w:rPr>
        <w:t>3</w:t>
      </w:r>
      <w:r>
        <w:rPr>
          <w:rFonts w:ascii="Palatino Linotype" w:hAnsi="Palatino Linotype"/>
        </w:rPr>
        <w:t xml:space="preserve"> = 2.1</w:t>
      </w:r>
      <w:r>
        <w:rPr>
          <w:rFonts w:ascii="Palatino Linotype" w:hAnsi="Palatino Linotype"/>
        </w:rPr>
        <w:sym w:font="Symbol" w:char="F0B1"/>
      </w:r>
      <w:r>
        <w:rPr>
          <w:rFonts w:ascii="Palatino Linotype" w:hAnsi="Palatino Linotype"/>
        </w:rPr>
        <w:t xml:space="preserve">1 </w:t>
      </w:r>
      <w:r>
        <w:rPr>
          <w:rFonts w:ascii="Palatino Linotype" w:hAnsi="Palatino Linotype"/>
        </w:rPr>
        <w:sym w:font="Symbol" w:char="F06D"/>
      </w:r>
      <w:r>
        <w:rPr>
          <w:rFonts w:ascii="Palatino Linotype" w:hAnsi="Palatino Linotype"/>
        </w:rPr>
        <w:t>s or a rate of 470 ms</w:t>
      </w:r>
      <w:r w:rsidRPr="00435527">
        <w:rPr>
          <w:rFonts w:ascii="Palatino Linotype" w:hAnsi="Palatino Linotype"/>
          <w:vertAlign w:val="superscript"/>
        </w:rPr>
        <w:t>-1</w:t>
      </w:r>
      <w:r>
        <w:rPr>
          <w:rFonts w:ascii="Palatino Linotype" w:hAnsi="Palatino Linotype"/>
        </w:rPr>
        <w:t xml:space="preserve"> is the rate of increase in </w:t>
      </w:r>
      <w:r w:rsidRPr="00435527">
        <w:rPr>
          <w:rFonts w:ascii="Palatino Linotype" w:hAnsi="Palatino Linotype"/>
          <w:i/>
          <w:iCs/>
        </w:rPr>
        <w:t>c</w:t>
      </w:r>
      <w:r w:rsidRPr="00435527">
        <w:rPr>
          <w:rFonts w:ascii="Palatino Linotype" w:hAnsi="Palatino Linotype"/>
          <w:vertAlign w:val="subscript"/>
        </w:rPr>
        <w:t>3</w:t>
      </w:r>
      <w:r>
        <w:rPr>
          <w:rFonts w:ascii="Palatino Linotype" w:hAnsi="Palatino Linotype"/>
        </w:rPr>
        <w:t>(</w:t>
      </w:r>
      <w:r w:rsidRPr="00D0000C">
        <w:rPr>
          <w:rFonts w:ascii="Palatino Linotype" w:hAnsi="Palatino Linotype"/>
          <w:i/>
          <w:iCs/>
        </w:rPr>
        <w:t>t</w:t>
      </w:r>
      <w:r>
        <w:rPr>
          <w:rFonts w:ascii="Palatino Linotype" w:hAnsi="Palatino Linotype"/>
        </w:rPr>
        <w:t xml:space="preserve">).  </w:t>
      </w:r>
      <w:r w:rsidRPr="0061192E">
        <w:rPr>
          <w:rFonts w:ascii="Palatino Linotype" w:hAnsi="Palatino Linotype"/>
          <w:i/>
          <w:iCs/>
        </w:rPr>
        <w:sym w:font="Symbol" w:char="F074"/>
      </w:r>
      <w:r>
        <w:rPr>
          <w:rFonts w:ascii="Palatino Linotype" w:hAnsi="Palatino Linotype"/>
          <w:vertAlign w:val="subscript"/>
        </w:rPr>
        <w:t>1</w:t>
      </w:r>
      <w:r>
        <w:rPr>
          <w:rFonts w:ascii="Palatino Linotype" w:hAnsi="Palatino Linotype"/>
        </w:rPr>
        <w:t xml:space="preserve"> = 27</w:t>
      </w:r>
      <w:r>
        <w:rPr>
          <w:rFonts w:ascii="Palatino Linotype" w:hAnsi="Palatino Linotype"/>
        </w:rPr>
        <w:sym w:font="Symbol" w:char="F0B1"/>
      </w:r>
      <w:r>
        <w:rPr>
          <w:rFonts w:ascii="Palatino Linotype" w:hAnsi="Palatino Linotype"/>
        </w:rPr>
        <w:t xml:space="preserve">10 </w:t>
      </w:r>
      <w:r>
        <w:rPr>
          <w:rFonts w:ascii="Palatino Linotype" w:hAnsi="Palatino Linotype"/>
        </w:rPr>
        <w:sym w:font="Symbol" w:char="F06D"/>
      </w:r>
      <w:r>
        <w:rPr>
          <w:rFonts w:ascii="Palatino Linotype" w:hAnsi="Palatino Linotype"/>
        </w:rPr>
        <w:t>s or a rate of 37 ms</w:t>
      </w:r>
      <w:r w:rsidRPr="00435527">
        <w:rPr>
          <w:rFonts w:ascii="Palatino Linotype" w:hAnsi="Palatino Linotype"/>
          <w:vertAlign w:val="superscript"/>
        </w:rPr>
        <w:t>-1</w:t>
      </w:r>
      <w:r>
        <w:rPr>
          <w:rFonts w:ascii="Palatino Linotype" w:hAnsi="Palatino Linotype"/>
        </w:rPr>
        <w:t xml:space="preserve"> describes the jump in </w:t>
      </w:r>
      <w:r w:rsidRPr="00435527">
        <w:rPr>
          <w:rFonts w:ascii="Palatino Linotype" w:hAnsi="Palatino Linotype"/>
          <w:i/>
          <w:iCs/>
        </w:rPr>
        <w:t>c</w:t>
      </w:r>
      <w:r w:rsidRPr="00435527">
        <w:rPr>
          <w:rFonts w:ascii="Palatino Linotype" w:hAnsi="Palatino Linotype"/>
          <w:vertAlign w:val="subscript"/>
        </w:rPr>
        <w:t>1</w:t>
      </w:r>
      <w:r>
        <w:rPr>
          <w:rFonts w:ascii="Palatino Linotype" w:hAnsi="Palatino Linotype"/>
        </w:rPr>
        <w:t>(</w:t>
      </w:r>
      <w:r w:rsidRPr="00D0000C">
        <w:rPr>
          <w:rFonts w:ascii="Palatino Linotype" w:hAnsi="Palatino Linotype"/>
          <w:i/>
          <w:iCs/>
        </w:rPr>
        <w:t>t</w:t>
      </w:r>
      <w:r>
        <w:rPr>
          <w:rFonts w:ascii="Palatino Linotype" w:hAnsi="Palatino Linotype"/>
        </w:rPr>
        <w:t xml:space="preserve">).  </w:t>
      </w:r>
      <w:r w:rsidRPr="0061192E">
        <w:rPr>
          <w:rFonts w:ascii="Palatino Linotype" w:hAnsi="Palatino Linotype"/>
          <w:i/>
          <w:iCs/>
        </w:rPr>
        <w:sym w:font="Symbol" w:char="F074"/>
      </w:r>
      <w:r>
        <w:rPr>
          <w:rFonts w:ascii="Palatino Linotype" w:hAnsi="Palatino Linotype"/>
          <w:vertAlign w:val="subscript"/>
        </w:rPr>
        <w:t>6</w:t>
      </w:r>
      <w:r>
        <w:rPr>
          <w:rFonts w:ascii="Palatino Linotype" w:hAnsi="Palatino Linotype"/>
        </w:rPr>
        <w:t xml:space="preserve"> = 290</w:t>
      </w:r>
      <w:r>
        <w:rPr>
          <w:rFonts w:ascii="Palatino Linotype" w:hAnsi="Palatino Linotype"/>
        </w:rPr>
        <w:sym w:font="Symbol" w:char="F0B1"/>
      </w:r>
      <w:r>
        <w:rPr>
          <w:rFonts w:ascii="Palatino Linotype" w:hAnsi="Palatino Linotype"/>
        </w:rPr>
        <w:t xml:space="preserve">100 </w:t>
      </w:r>
      <w:r>
        <w:rPr>
          <w:rFonts w:ascii="Palatino Linotype" w:hAnsi="Palatino Linotype"/>
        </w:rPr>
        <w:sym w:font="Symbol" w:char="F06D"/>
      </w:r>
      <w:r>
        <w:rPr>
          <w:rFonts w:ascii="Palatino Linotype" w:hAnsi="Palatino Linotype"/>
        </w:rPr>
        <w:t>s or a rate of 4 ms</w:t>
      </w:r>
      <w:r w:rsidRPr="00435527">
        <w:rPr>
          <w:rFonts w:ascii="Palatino Linotype" w:hAnsi="Palatino Linotype"/>
          <w:vertAlign w:val="superscript"/>
        </w:rPr>
        <w:t>-1</w:t>
      </w:r>
      <w:r>
        <w:rPr>
          <w:rFonts w:ascii="Palatino Linotype" w:hAnsi="Palatino Linotype"/>
        </w:rPr>
        <w:t xml:space="preserve"> seems to separate M</w:t>
      </w:r>
      <w:r w:rsidRPr="00435527">
        <w:rPr>
          <w:rFonts w:ascii="Palatino Linotype" w:hAnsi="Palatino Linotype"/>
          <w:vertAlign w:val="subscript"/>
        </w:rPr>
        <w:t>1</w:t>
      </w:r>
      <w:r>
        <w:rPr>
          <w:rFonts w:ascii="Palatino Linotype" w:hAnsi="Palatino Linotype"/>
        </w:rPr>
        <w:t xml:space="preserve"> and M</w:t>
      </w:r>
      <w:r w:rsidRPr="00435527">
        <w:rPr>
          <w:rFonts w:ascii="Palatino Linotype" w:hAnsi="Palatino Linotype"/>
          <w:vertAlign w:val="subscript"/>
        </w:rPr>
        <w:t>2</w:t>
      </w:r>
      <w:r>
        <w:rPr>
          <w:rFonts w:ascii="Palatino Linotype" w:hAnsi="Palatino Linotype"/>
        </w:rPr>
        <w:t xml:space="preserve">.  The fitted exponential functions are plotted as the gray curves through the black dots derived from SVD in three orthographical views of the three-dimensional subspace of </w:t>
      </w:r>
      <w:r w:rsidRPr="007A6CC1">
        <w:rPr>
          <w:rFonts w:ascii="Palatino Linotype" w:hAnsi="Palatino Linotype"/>
          <w:i/>
          <w:iCs/>
        </w:rPr>
        <w:t>c</w:t>
      </w:r>
      <w:r w:rsidRPr="007A6CC1">
        <w:rPr>
          <w:rFonts w:ascii="Palatino Linotype" w:hAnsi="Palatino Linotype"/>
          <w:vertAlign w:val="subscript"/>
        </w:rPr>
        <w:t>1</w:t>
      </w:r>
      <w:r>
        <w:rPr>
          <w:rFonts w:ascii="Palatino Linotype" w:hAnsi="Palatino Linotype"/>
        </w:rPr>
        <w:t xml:space="preserve">, </w:t>
      </w:r>
      <w:r w:rsidRPr="007A6CC1">
        <w:rPr>
          <w:rFonts w:ascii="Palatino Linotype" w:hAnsi="Palatino Linotype"/>
          <w:i/>
          <w:iCs/>
        </w:rPr>
        <w:t>c</w:t>
      </w:r>
      <w:r w:rsidRPr="007A6CC1">
        <w:rPr>
          <w:rFonts w:ascii="Palatino Linotype" w:hAnsi="Palatino Linotype"/>
          <w:vertAlign w:val="subscript"/>
        </w:rPr>
        <w:t>3</w:t>
      </w:r>
      <w:r>
        <w:rPr>
          <w:rFonts w:ascii="Palatino Linotype" w:hAnsi="Palatino Linotype"/>
        </w:rPr>
        <w:t xml:space="preserve">, and </w:t>
      </w:r>
      <w:r w:rsidRPr="007A6CC1">
        <w:rPr>
          <w:rFonts w:ascii="Palatino Linotype" w:hAnsi="Palatino Linotype"/>
          <w:i/>
          <w:iCs/>
        </w:rPr>
        <w:t>c</w:t>
      </w:r>
      <w:r w:rsidRPr="007A6CC1">
        <w:rPr>
          <w:rFonts w:ascii="Palatino Linotype" w:hAnsi="Palatino Linotype"/>
          <w:vertAlign w:val="subscript"/>
        </w:rPr>
        <w:t>6</w:t>
      </w:r>
      <w:r>
        <w:rPr>
          <w:rFonts w:ascii="Palatino Linotype" w:hAnsi="Palatino Linotype"/>
        </w:rPr>
        <w:t>.  The large colored dots mark the relatively pure states of K, L, M</w:t>
      </w:r>
      <w:r w:rsidRPr="00435527">
        <w:rPr>
          <w:rFonts w:ascii="Palatino Linotype" w:hAnsi="Palatino Linotype"/>
          <w:vertAlign w:val="subscript"/>
        </w:rPr>
        <w:t>1</w:t>
      </w:r>
      <w:r>
        <w:rPr>
          <w:rFonts w:ascii="Palatino Linotype" w:hAnsi="Palatino Linotype"/>
        </w:rPr>
        <w:t>, and M</w:t>
      </w:r>
      <w:r w:rsidRPr="00435527">
        <w:rPr>
          <w:rFonts w:ascii="Palatino Linotype" w:hAnsi="Palatino Linotype"/>
          <w:vertAlign w:val="subscript"/>
        </w:rPr>
        <w:t>2</w:t>
      </w:r>
      <w:r>
        <w:rPr>
          <w:rFonts w:ascii="Palatino Linotype" w:hAnsi="Palatino Linotype"/>
        </w:rPr>
        <w:t xml:space="preserve">.  (d) SVD coefficients and their exponential fittings as functions of time.  The relatively pure states are marked as color bars at the approximate time.  The result of exponential fitting shows the time-dependency clearer.  The second component map </w:t>
      </w:r>
      <w:r w:rsidRPr="005D422C">
        <w:rPr>
          <w:rFonts w:ascii="Palatino Linotype" w:hAnsi="Palatino Linotype"/>
          <w:b/>
          <w:bCs/>
          <w:i/>
          <w:iCs/>
        </w:rPr>
        <w:t>U</w:t>
      </w:r>
      <w:r w:rsidRPr="005D422C">
        <w:rPr>
          <w:rFonts w:ascii="Palatino Linotype" w:hAnsi="Palatino Linotype"/>
          <w:vertAlign w:val="subscript"/>
        </w:rPr>
        <w:t>2</w:t>
      </w:r>
      <w:r>
        <w:rPr>
          <w:rFonts w:ascii="Palatino Linotype" w:hAnsi="Palatino Linotype"/>
        </w:rPr>
        <w:t xml:space="preserve"> seems to be a constant component without a time-dependent trend (Fig. S4cde).  It describes significant changes near the SB and the retinal anchor (Figs. 3ab and S5b).  The </w:t>
      </w:r>
      <w:r>
        <w:rPr>
          <w:rFonts w:ascii="Palatino Linotype" w:hAnsi="Palatino Linotype"/>
        </w:rPr>
        <w:lastRenderedPageBreak/>
        <w:t xml:space="preserve">third component map </w:t>
      </w:r>
      <w:r w:rsidRPr="00446A6A">
        <w:rPr>
          <w:rFonts w:ascii="Palatino Linotype" w:hAnsi="Palatino Linotype"/>
          <w:b/>
          <w:bCs/>
          <w:i/>
          <w:iCs/>
        </w:rPr>
        <w:t>U</w:t>
      </w:r>
      <w:r w:rsidRPr="00446A6A">
        <w:rPr>
          <w:rFonts w:ascii="Palatino Linotype" w:hAnsi="Palatino Linotype"/>
          <w:vertAlign w:val="subscript"/>
        </w:rPr>
        <w:t>3</w:t>
      </w:r>
      <w:r>
        <w:rPr>
          <w:rFonts w:ascii="Palatino Linotype" w:hAnsi="Palatino Linotype"/>
        </w:rPr>
        <w:t xml:space="preserve"> increases sharply and consistently around 1 </w:t>
      </w:r>
      <w:r>
        <w:rPr>
          <w:rFonts w:ascii="Palatino Linotype" w:hAnsi="Palatino Linotype"/>
        </w:rPr>
        <w:sym w:font="Symbol" w:char="F06D"/>
      </w:r>
      <w:r>
        <w:rPr>
          <w:rFonts w:ascii="Palatino Linotype" w:hAnsi="Palatino Linotype"/>
        </w:rPr>
        <w:t xml:space="preserve">s (Figs. S4beg).  This component contains widespread signals associated with all seven helices (Fig. S5c), therefore describes the global changes during K </w:t>
      </w:r>
      <w:r w:rsidRPr="00446A6A">
        <w:rPr>
          <w:rFonts w:ascii="Palatino Linotype" w:hAnsi="Palatino Linotype"/>
        </w:rPr>
        <w:sym w:font="Wingdings" w:char="F0E0"/>
      </w:r>
      <w:r>
        <w:rPr>
          <w:rFonts w:ascii="Palatino Linotype" w:hAnsi="Palatino Linotype"/>
        </w:rPr>
        <w:t xml:space="preserve"> L transition.  The first component </w:t>
      </w:r>
      <w:r w:rsidRPr="004C4B2B">
        <w:rPr>
          <w:rFonts w:ascii="Palatino Linotype" w:hAnsi="Palatino Linotype"/>
          <w:b/>
          <w:bCs/>
          <w:i/>
          <w:iCs/>
        </w:rPr>
        <w:t>U</w:t>
      </w:r>
      <w:r w:rsidRPr="004C4B2B">
        <w:rPr>
          <w:rFonts w:ascii="Palatino Linotype" w:hAnsi="Palatino Linotype"/>
          <w:vertAlign w:val="subscript"/>
        </w:rPr>
        <w:t>1</w:t>
      </w:r>
      <w:r>
        <w:rPr>
          <w:rFonts w:ascii="Palatino Linotype" w:hAnsi="Palatino Linotype"/>
        </w:rPr>
        <w:t xml:space="preserve"> increases at 10 </w:t>
      </w:r>
      <w:r>
        <w:rPr>
          <w:rFonts w:ascii="Palatino Linotype" w:hAnsi="Palatino Linotype"/>
        </w:rPr>
        <w:sym w:font="Symbol" w:char="F06D"/>
      </w:r>
      <w:r>
        <w:rPr>
          <w:rFonts w:ascii="Palatino Linotype" w:hAnsi="Palatino Linotype"/>
        </w:rPr>
        <w:t xml:space="preserve">s (Figs. S4bdf), which could reflect the changes during L </w:t>
      </w:r>
      <w:r w:rsidRPr="004C4B2B">
        <w:rPr>
          <w:rFonts w:ascii="Palatino Linotype" w:hAnsi="Palatino Linotype"/>
        </w:rPr>
        <w:sym w:font="Wingdings" w:char="F0E0"/>
      </w:r>
      <w:r>
        <w:rPr>
          <w:rFonts w:ascii="Palatino Linotype" w:hAnsi="Palatino Linotype"/>
        </w:rPr>
        <w:t xml:space="preserve"> M transition.  </w:t>
      </w:r>
      <w:r w:rsidRPr="004C4B2B">
        <w:rPr>
          <w:rFonts w:ascii="Palatino Linotype" w:hAnsi="Palatino Linotype"/>
          <w:b/>
          <w:bCs/>
          <w:i/>
          <w:iCs/>
        </w:rPr>
        <w:t>U</w:t>
      </w:r>
      <w:r w:rsidRPr="004C4B2B">
        <w:rPr>
          <w:rFonts w:ascii="Palatino Linotype" w:hAnsi="Palatino Linotype"/>
          <w:vertAlign w:val="subscript"/>
        </w:rPr>
        <w:t>1</w:t>
      </w:r>
      <w:r>
        <w:rPr>
          <w:rFonts w:ascii="Palatino Linotype" w:hAnsi="Palatino Linotype"/>
        </w:rPr>
        <w:t xml:space="preserve"> clearly contains signals over the EC half of the molecule (Fig. S5a), which indicates events related to the proton release.  Similarly, the sixth component </w:t>
      </w:r>
      <w:r w:rsidRPr="004007AC">
        <w:rPr>
          <w:rFonts w:ascii="Palatino Linotype" w:hAnsi="Palatino Linotype"/>
          <w:b/>
          <w:bCs/>
          <w:i/>
          <w:iCs/>
        </w:rPr>
        <w:t>U</w:t>
      </w:r>
      <w:r w:rsidRPr="004007AC">
        <w:rPr>
          <w:rFonts w:ascii="Palatino Linotype" w:hAnsi="Palatino Linotype"/>
          <w:vertAlign w:val="subscript"/>
        </w:rPr>
        <w:t>6</w:t>
      </w:r>
      <w:r>
        <w:rPr>
          <w:rFonts w:ascii="Palatino Linotype" w:hAnsi="Palatino Linotype"/>
        </w:rPr>
        <w:t xml:space="preserve"> also shows additional signals on the EC half to a lesser extent (Fig. S5d).  This component seems to increase at a rather late time around hundreds of </w:t>
      </w:r>
      <w:r>
        <w:rPr>
          <w:rFonts w:ascii="Palatino Linotype" w:hAnsi="Palatino Linotype"/>
        </w:rPr>
        <w:sym w:font="Symbol" w:char="F06D"/>
      </w:r>
      <w:r>
        <w:rPr>
          <w:rFonts w:ascii="Palatino Linotype" w:hAnsi="Palatino Linotype"/>
        </w:rPr>
        <w:t>s (Figs. S4cfg), which splits the M state into M</w:t>
      </w:r>
      <w:r w:rsidRPr="004007AC">
        <w:rPr>
          <w:rFonts w:ascii="Palatino Linotype" w:hAnsi="Palatino Linotype"/>
          <w:vertAlign w:val="subscript"/>
        </w:rPr>
        <w:t>1</w:t>
      </w:r>
      <w:r>
        <w:rPr>
          <w:rFonts w:ascii="Palatino Linotype" w:hAnsi="Palatino Linotype"/>
        </w:rPr>
        <w:t xml:space="preserve"> and M</w:t>
      </w:r>
      <w:r w:rsidRPr="004007AC">
        <w:rPr>
          <w:rFonts w:ascii="Palatino Linotype" w:hAnsi="Palatino Linotype"/>
          <w:vertAlign w:val="subscript"/>
        </w:rPr>
        <w:t>2</w:t>
      </w:r>
      <w:r>
        <w:rPr>
          <w:rFonts w:ascii="Palatino Linotype" w:hAnsi="Palatino Linotype"/>
        </w:rPr>
        <w:t>.</w:t>
      </w:r>
    </w:p>
    <w:p w14:paraId="0727BED9" w14:textId="77777777" w:rsidR="0039334C" w:rsidRDefault="0039334C" w:rsidP="0039334C">
      <w:pPr>
        <w:rPr>
          <w:rFonts w:ascii="Palatino Linotype" w:hAnsi="Palatino Linotype"/>
        </w:rPr>
      </w:pPr>
    </w:p>
    <w:p w14:paraId="1AD1329F"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299835E4" wp14:editId="4F5837A8">
            <wp:extent cx="4572000" cy="6858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K.2Fo-Fc.pdf"/>
                    <pic:cNvPicPr/>
                  </pic:nvPicPr>
                  <pic:blipFill>
                    <a:blip r:embed="rId12">
                      <a:extLst>
                        <a:ext uri="{28A0092B-C50C-407E-A947-70E740481C1C}">
                          <a14:useLocalDpi xmlns:a14="http://schemas.microsoft.com/office/drawing/2010/main" val="0"/>
                        </a:ext>
                      </a:extLst>
                    </a:blip>
                    <a:stretch>
                      <a:fillRect/>
                    </a:stretch>
                  </pic:blipFill>
                  <pic:spPr>
                    <a:xfrm>
                      <a:off x="0" y="0"/>
                      <a:ext cx="4572000" cy="6858000"/>
                    </a:xfrm>
                    <a:prstGeom prst="rect">
                      <a:avLst/>
                    </a:prstGeom>
                  </pic:spPr>
                </pic:pic>
              </a:graphicData>
            </a:graphic>
          </wp:inline>
        </w:drawing>
      </w:r>
    </w:p>
    <w:p w14:paraId="668FC28B" w14:textId="77777777" w:rsidR="0039334C" w:rsidRDefault="0039334C" w:rsidP="0039334C">
      <w:pPr>
        <w:spacing w:line="276" w:lineRule="auto"/>
        <w:rPr>
          <w:rFonts w:ascii="Palatino Linotype" w:hAnsi="Palatino Linotype"/>
        </w:rPr>
      </w:pPr>
    </w:p>
    <w:p w14:paraId="342744F5" w14:textId="77777777" w:rsidR="0039334C" w:rsidRDefault="0039334C" w:rsidP="0039334C">
      <w:pPr>
        <w:spacing w:line="276" w:lineRule="auto"/>
        <w:rPr>
          <w:rFonts w:ascii="Palatino Linotype" w:hAnsi="Palatino Linotype"/>
        </w:rPr>
      </w:pPr>
      <w:r>
        <w:rPr>
          <w:rFonts w:ascii="Palatino Linotype" w:hAnsi="Palatino Linotype"/>
        </w:rPr>
        <w:t>Figure S8.  Two orthographical views of the 2Fo-Fc map of K contoured at 6</w:t>
      </w:r>
      <w:r w:rsidRPr="00C4466A">
        <w:rPr>
          <w:rFonts w:ascii="Palatino Linotype" w:hAnsi="Palatino Linotype"/>
          <w:i/>
          <w:iCs/>
        </w:rPr>
        <w:sym w:font="Symbol" w:char="F073"/>
      </w:r>
      <w:r>
        <w:rPr>
          <w:rFonts w:ascii="Palatino Linotype" w:hAnsi="Palatino Linotype"/>
        </w:rPr>
        <w:t xml:space="preserve">.  Here </w:t>
      </w:r>
      <w:proofErr w:type="spellStart"/>
      <w:r>
        <w:rPr>
          <w:rFonts w:ascii="Palatino Linotype" w:hAnsi="Palatino Linotype"/>
        </w:rPr>
        <w:t>Fo</w:t>
      </w:r>
      <w:proofErr w:type="spellEnd"/>
      <w:r>
        <w:rPr>
          <w:rFonts w:ascii="Palatino Linotype" w:hAnsi="Palatino Linotype"/>
        </w:rPr>
        <w:t xml:space="preserve"> is the reconstituted structure factor amplitudes rather than observed amplitudes (Table S2).  Fc is the structure factor amplitudes calculated from the refined structure (Methods).  The same applies to the other 2Fo-Fc maps.</w:t>
      </w:r>
    </w:p>
    <w:p w14:paraId="618D4B83"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065BFAFB" wp14:editId="11B82596">
            <wp:extent cx="4572000" cy="6858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2Fo-Fc.pdf"/>
                    <pic:cNvPicPr/>
                  </pic:nvPicPr>
                  <pic:blipFill>
                    <a:blip r:embed="rId13">
                      <a:extLst>
                        <a:ext uri="{28A0092B-C50C-407E-A947-70E740481C1C}">
                          <a14:useLocalDpi xmlns:a14="http://schemas.microsoft.com/office/drawing/2010/main" val="0"/>
                        </a:ext>
                      </a:extLst>
                    </a:blip>
                    <a:stretch>
                      <a:fillRect/>
                    </a:stretch>
                  </pic:blipFill>
                  <pic:spPr>
                    <a:xfrm>
                      <a:off x="0" y="0"/>
                      <a:ext cx="4572000" cy="6858000"/>
                    </a:xfrm>
                    <a:prstGeom prst="rect">
                      <a:avLst/>
                    </a:prstGeom>
                  </pic:spPr>
                </pic:pic>
              </a:graphicData>
            </a:graphic>
          </wp:inline>
        </w:drawing>
      </w:r>
    </w:p>
    <w:p w14:paraId="0496B8A2" w14:textId="77777777" w:rsidR="0039334C" w:rsidRDefault="0039334C" w:rsidP="0039334C">
      <w:pPr>
        <w:spacing w:line="276" w:lineRule="auto"/>
        <w:rPr>
          <w:rFonts w:ascii="Palatino Linotype" w:hAnsi="Palatino Linotype"/>
        </w:rPr>
      </w:pPr>
    </w:p>
    <w:p w14:paraId="2535E2BD" w14:textId="77777777" w:rsidR="0039334C" w:rsidRDefault="0039334C" w:rsidP="0039334C">
      <w:pPr>
        <w:spacing w:line="276" w:lineRule="auto"/>
        <w:rPr>
          <w:rFonts w:ascii="Palatino Linotype" w:hAnsi="Palatino Linotype"/>
        </w:rPr>
      </w:pPr>
      <w:r>
        <w:rPr>
          <w:rFonts w:ascii="Palatino Linotype" w:hAnsi="Palatino Linotype"/>
        </w:rPr>
        <w:t>Figure S9.  Two orthographical views of the 2Fo-Fc map of L contoured at 3.5</w:t>
      </w:r>
      <w:r w:rsidRPr="00C4466A">
        <w:rPr>
          <w:rFonts w:ascii="Palatino Linotype" w:hAnsi="Palatino Linotype"/>
          <w:i/>
          <w:iCs/>
        </w:rPr>
        <w:sym w:font="Symbol" w:char="F073"/>
      </w:r>
      <w:r>
        <w:rPr>
          <w:rFonts w:ascii="Palatino Linotype" w:hAnsi="Palatino Linotype"/>
        </w:rPr>
        <w:t xml:space="preserve">.  Here </w:t>
      </w:r>
      <w:proofErr w:type="spellStart"/>
      <w:r>
        <w:rPr>
          <w:rFonts w:ascii="Palatino Linotype" w:hAnsi="Palatino Linotype"/>
        </w:rPr>
        <w:t>Fo</w:t>
      </w:r>
      <w:proofErr w:type="spellEnd"/>
      <w:r>
        <w:rPr>
          <w:rFonts w:ascii="Palatino Linotype" w:hAnsi="Palatino Linotype"/>
        </w:rPr>
        <w:t xml:space="preserve"> is the reconstituted structure factor amplitudes rather than observed amplitudes (Table S2).  Fc is the structure factor amplitudes calculated from the refined structure (Methods).</w:t>
      </w:r>
    </w:p>
    <w:p w14:paraId="1F4835DE" w14:textId="77777777" w:rsidR="0039334C" w:rsidRDefault="0039334C" w:rsidP="0039334C">
      <w:pPr>
        <w:spacing w:line="276" w:lineRule="auto"/>
        <w:rPr>
          <w:rFonts w:ascii="Palatino Linotype" w:hAnsi="Palatino Linotype"/>
        </w:rPr>
      </w:pPr>
    </w:p>
    <w:p w14:paraId="30474AE2" w14:textId="77777777" w:rsidR="0039334C" w:rsidRDefault="0039334C" w:rsidP="0039334C">
      <w:pPr>
        <w:spacing w:line="276" w:lineRule="auto"/>
        <w:ind w:left="-1080"/>
        <w:jc w:val="center"/>
        <w:rPr>
          <w:rFonts w:ascii="Palatino Linotype" w:hAnsi="Palatino Linotype"/>
        </w:rPr>
      </w:pPr>
      <w:r>
        <w:rPr>
          <w:rFonts w:ascii="Palatino Linotype" w:hAnsi="Palatino Linotype"/>
          <w:noProof/>
        </w:rPr>
        <w:drawing>
          <wp:inline distT="0" distB="0" distL="0" distR="0" wp14:anchorId="60869A05" wp14:editId="26CFAA4E">
            <wp:extent cx="7315200" cy="500422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elixC.pdf"/>
                    <pic:cNvPicPr/>
                  </pic:nvPicPr>
                  <pic:blipFill>
                    <a:blip r:embed="rId14">
                      <a:extLst>
                        <a:ext uri="{28A0092B-C50C-407E-A947-70E740481C1C}">
                          <a14:useLocalDpi xmlns:a14="http://schemas.microsoft.com/office/drawing/2010/main" val="0"/>
                        </a:ext>
                      </a:extLst>
                    </a:blip>
                    <a:stretch>
                      <a:fillRect/>
                    </a:stretch>
                  </pic:blipFill>
                  <pic:spPr>
                    <a:xfrm>
                      <a:off x="0" y="0"/>
                      <a:ext cx="7315200" cy="5004222"/>
                    </a:xfrm>
                    <a:prstGeom prst="rect">
                      <a:avLst/>
                    </a:prstGeom>
                  </pic:spPr>
                </pic:pic>
              </a:graphicData>
            </a:graphic>
          </wp:inline>
        </w:drawing>
      </w:r>
    </w:p>
    <w:p w14:paraId="3A1093A6" w14:textId="77777777" w:rsidR="0039334C" w:rsidRDefault="0039334C" w:rsidP="0039334C">
      <w:pPr>
        <w:spacing w:line="276" w:lineRule="auto"/>
        <w:rPr>
          <w:rFonts w:ascii="Palatino Linotype" w:hAnsi="Palatino Linotype"/>
        </w:rPr>
      </w:pPr>
    </w:p>
    <w:p w14:paraId="28FD0F16" w14:textId="77777777" w:rsidR="0039334C" w:rsidRDefault="0039334C" w:rsidP="0039334C">
      <w:pPr>
        <w:spacing w:line="276" w:lineRule="auto"/>
        <w:rPr>
          <w:rFonts w:ascii="Palatino Linotype" w:hAnsi="Palatino Linotype"/>
        </w:rPr>
      </w:pPr>
      <w:r>
        <w:rPr>
          <w:rFonts w:ascii="Palatino Linotype" w:hAnsi="Palatino Linotype"/>
        </w:rPr>
        <w:t xml:space="preserve">Figure S10.  Irregularities in helices C, F, and G.  </w:t>
      </w:r>
      <w:proofErr w:type="spellStart"/>
      <w:r>
        <w:rPr>
          <w:rFonts w:ascii="Palatino Linotype" w:hAnsi="Palatino Linotype"/>
        </w:rPr>
        <w:t>bR</w:t>
      </w:r>
      <w:proofErr w:type="spellEnd"/>
      <w:r>
        <w:rPr>
          <w:rFonts w:ascii="Palatino Linotype" w:hAnsi="Palatino Linotype"/>
        </w:rPr>
        <w:t xml:space="preserve"> in the resting state and L are rendered in white and pink, respectively.  (a) Kinked helix C.  All main chain H-bonds are regular except that Pro91 in helix C causes a kink.  This kink was noticed as soon as the </w:t>
      </w:r>
      <w:proofErr w:type="spellStart"/>
      <w:r>
        <w:rPr>
          <w:rFonts w:ascii="Palatino Linotype" w:hAnsi="Palatino Linotype"/>
        </w:rPr>
        <w:t>bR</w:t>
      </w:r>
      <w:proofErr w:type="spellEnd"/>
      <w:r>
        <w:rPr>
          <w:rFonts w:ascii="Palatino Linotype" w:hAnsi="Palatino Linotype"/>
        </w:rPr>
        <w:t xml:space="preserve"> structure was determined to a reasonable resolution </w:t>
      </w:r>
      <w:r>
        <w:rPr>
          <w:rFonts w:ascii="Palatino Linotype" w:hAnsi="Palatino Linotype"/>
        </w:rPr>
        <w:fldChar w:fldCharType="begin"/>
      </w:r>
      <w:r>
        <w:rPr>
          <w:rFonts w:ascii="Palatino Linotype" w:hAnsi="Palatino Linotype"/>
        </w:rPr>
        <w:instrText xml:space="preserve"> ADDIN ZOTERO_ITEM CSL_CITATION {"citationID":"L8BWKjph","properties":{"formattedCitation":"(Grigorieff et al., 1996)","plainCitation":"(Grigorieff et al., 1996)","noteIndex":0},"citationItems":[{"id":5689,"uris":["http://zotero.org/users/local/Med5doT8/items/NJZL4ZJ7"],"uri":["http://zotero.org/users/local/Med5doT8/items/NJZL4ZJ7"],"itemData":{"id":5689,"type":"article-journal","container-title":"Journal of Molecular Biology","DOI":"10.1006/jmbi.1996.0328","ISSN":"00222836","issue":"3","journalAbbreviation":"Journal of Molecular Biology","language":"en","page":"393-421","source":"DOI.org (Crossref)","title":"Electron-crystallographic refinement of the structure of bacteriorhodopsin","volume":"259","author":[{"family":"Grigorieff","given":"N."},{"family":"Ceska","given":"T.A."},{"family":"Downing","given":"K.H."},{"family":"Baldwin","given":"J.M."},{"family":"Henderson","given":"R."}],"issued":{"date-parts":[["1996",6]]}}}],"schema":"https://github.com/citation-style-language/schema/raw/master/csl-citation.json"} </w:instrText>
      </w:r>
      <w:r>
        <w:rPr>
          <w:rFonts w:ascii="Palatino Linotype" w:hAnsi="Palatino Linotype"/>
        </w:rPr>
        <w:fldChar w:fldCharType="separate"/>
      </w:r>
      <w:r>
        <w:rPr>
          <w:rFonts w:ascii="Palatino Linotype" w:hAnsi="Palatino Linotype"/>
          <w:noProof/>
        </w:rPr>
        <w:t>(Grigorieff et al., 1996)</w:t>
      </w:r>
      <w:r>
        <w:rPr>
          <w:rFonts w:ascii="Palatino Linotype" w:hAnsi="Palatino Linotype"/>
        </w:rPr>
        <w:fldChar w:fldCharType="end"/>
      </w:r>
      <w:r>
        <w:rPr>
          <w:rFonts w:ascii="Palatino Linotype" w:hAnsi="Palatino Linotype"/>
        </w:rPr>
        <w:t>.  In the resting retinal, the corner of C</w:t>
      </w:r>
      <w:r w:rsidRPr="00357CD3">
        <w:rPr>
          <w:rFonts w:ascii="Palatino Linotype" w:hAnsi="Palatino Linotype"/>
          <w:vertAlign w:val="subscript"/>
        </w:rPr>
        <w:sym w:font="Symbol" w:char="F065"/>
      </w:r>
      <w:r>
        <w:rPr>
          <w:rFonts w:ascii="Palatino Linotype" w:hAnsi="Palatino Linotype"/>
        </w:rPr>
        <w:t xml:space="preserve"> makes a contact with Thr89 and pushes the helix inboard.  In </w:t>
      </w:r>
      <w:proofErr w:type="spellStart"/>
      <w:r>
        <w:rPr>
          <w:rFonts w:ascii="Palatino Linotype" w:hAnsi="Palatino Linotype"/>
        </w:rPr>
        <w:t>bR</w:t>
      </w:r>
      <w:proofErr w:type="spellEnd"/>
      <w:r>
        <w:rPr>
          <w:rFonts w:ascii="Palatino Linotype" w:hAnsi="Palatino Linotype"/>
        </w:rPr>
        <w:t>, J, K, and L, C</w:t>
      </w:r>
      <w:r w:rsidRPr="00357CD3">
        <w:rPr>
          <w:rFonts w:ascii="Palatino Linotype" w:hAnsi="Palatino Linotype"/>
          <w:vertAlign w:val="subscript"/>
        </w:rPr>
        <w:sym w:font="Symbol" w:char="F065"/>
      </w:r>
      <w:r>
        <w:rPr>
          <w:rFonts w:ascii="Palatino Linotype" w:hAnsi="Palatino Linotype"/>
        </w:rPr>
        <w:t xml:space="preserve"> moves more and more outboard (Fig. 3f).  So does Thr89.  The opposite motions occur in L, M</w:t>
      </w:r>
      <w:r w:rsidRPr="003C12E6">
        <w:rPr>
          <w:rFonts w:ascii="Palatino Linotype" w:hAnsi="Palatino Linotype"/>
          <w:vertAlign w:val="subscript"/>
        </w:rPr>
        <w:t>1</w:t>
      </w:r>
      <w:r>
        <w:rPr>
          <w:rFonts w:ascii="Palatino Linotype" w:hAnsi="Palatino Linotype"/>
        </w:rPr>
        <w:t>, M</w:t>
      </w:r>
      <w:r w:rsidRPr="003C12E6">
        <w:rPr>
          <w:rFonts w:ascii="Palatino Linotype" w:hAnsi="Palatino Linotype"/>
          <w:vertAlign w:val="subscript"/>
        </w:rPr>
        <w:t>2</w:t>
      </w:r>
      <w:r>
        <w:rPr>
          <w:rFonts w:ascii="Palatino Linotype" w:hAnsi="Palatino Linotype"/>
        </w:rPr>
        <w:t xml:space="preserve">, and back to </w:t>
      </w:r>
      <w:proofErr w:type="spellStart"/>
      <w:r>
        <w:rPr>
          <w:rFonts w:ascii="Palatino Linotype" w:hAnsi="Palatino Linotype"/>
        </w:rPr>
        <w:t>bR</w:t>
      </w:r>
      <w:proofErr w:type="spellEnd"/>
      <w:r>
        <w:rPr>
          <w:rFonts w:ascii="Palatino Linotype" w:hAnsi="Palatino Linotype"/>
        </w:rPr>
        <w:t xml:space="preserve"> (Fig. 4c).  Thr90 also contributes to the seal.  Pro91 is located exactly at right place to facilitate this spring-loaded bend.  (b) Stretched helix F.  Pro186 removes one H-bond in helix F.  Several would-be H-bonds in the main chain around Pro186 are stretched to 3.6-4.2 Å in the resting state, such as Val180O-Ala184N, Leu181O-Tyr185N, and Ser183O-Val187N.  </w:t>
      </w:r>
      <w:r>
        <w:rPr>
          <w:rFonts w:ascii="Palatino Linotype" w:hAnsi="Palatino Linotype"/>
        </w:rPr>
        <w:lastRenderedPageBreak/>
        <w:t>Pro186 and these stretched H-bonds marked by dashed lines effectively breaks helix F into two segments.  In J, K, and L, Trp182 is pushed by C</w:t>
      </w:r>
      <w:r w:rsidRPr="00F9309F">
        <w:rPr>
          <w:rFonts w:ascii="Palatino Linotype" w:hAnsi="Palatino Linotype"/>
          <w:vertAlign w:val="subscript"/>
        </w:rPr>
        <w:t>20</w:t>
      </w:r>
      <w:r>
        <w:rPr>
          <w:rFonts w:ascii="Palatino Linotype" w:hAnsi="Palatino Linotype"/>
        </w:rPr>
        <w:t xml:space="preserve"> methyl group more and more toward the CP.  The breakage in helix F stretches even more.  P186L mutant is likely to feature an intact </w:t>
      </w:r>
      <w:r>
        <w:rPr>
          <w:rFonts w:ascii="Palatino Linotype" w:hAnsi="Palatino Linotype"/>
        </w:rPr>
        <w:sym w:font="Symbol" w:char="F061"/>
      </w:r>
      <w:r>
        <w:rPr>
          <w:rFonts w:ascii="Palatino Linotype" w:hAnsi="Palatino Linotype"/>
        </w:rPr>
        <w:t xml:space="preserve"> helix F with uninterrupted main chain H-bonds.  Its proton pumping activity is severely affected </w:t>
      </w:r>
      <w:r>
        <w:rPr>
          <w:rFonts w:ascii="Palatino Linotype" w:hAnsi="Palatino Linotype"/>
        </w:rPr>
        <w:fldChar w:fldCharType="begin"/>
      </w:r>
      <w:r>
        <w:rPr>
          <w:rFonts w:ascii="Palatino Linotype" w:hAnsi="Palatino Linotype"/>
        </w:rPr>
        <w:instrText xml:space="preserve"> ADDIN ZOTERO_ITEM CSL_CITATION {"citationID":"qVVan6Rt","properties":{"formattedCitation":"(Hackett et al., 1987)","plainCitation":"(Hackett et al., 1987)","noteIndex":0},"citationItems":[{"id":6487,"uris":["http://zotero.org/users/local/Med5doT8/items/Y9NH4CPP"],"uri":["http://zotero.org/users/local/Med5doT8/items/Y9NH4CPP"],"itemData":{"id":6487,"type":"article-journal","container-title":"Journal of Biological Chemistry","DOI":"10.1016/S0021-9258(18)48077-5","ISSN":"00219258","issue":"19","journalAbbreviation":"Journal of Biological Chemistry","language":"en","page":"9277-9284","source":"DOI.org (Crossref)","title":"Structure-function studies on bacteriorhodopsin. V. Effects of amino acid substitutions in the putative helix F.","volume":"262","author":[{"family":"Hackett","given":"N R"},{"family":"Stern","given":"L J"},{"family":"Chao","given":"B H"},{"family":"Kronis","given":"K A"},{"family":"Khorana","given":"H G"}],"issued":{"date-parts":[["1987",7]]}}}],"schema":"https://github.com/citation-style-language/schema/raw/master/csl-citation.json"} </w:instrText>
      </w:r>
      <w:r>
        <w:rPr>
          <w:rFonts w:ascii="Palatino Linotype" w:hAnsi="Palatino Linotype"/>
        </w:rPr>
        <w:fldChar w:fldCharType="separate"/>
      </w:r>
      <w:r>
        <w:rPr>
          <w:rFonts w:ascii="Palatino Linotype" w:hAnsi="Palatino Linotype"/>
          <w:noProof/>
        </w:rPr>
        <w:t>(Hackett et al., 1987)</w:t>
      </w:r>
      <w:r>
        <w:rPr>
          <w:rFonts w:ascii="Palatino Linotype" w:hAnsi="Palatino Linotype"/>
        </w:rPr>
        <w:fldChar w:fldCharType="end"/>
      </w:r>
      <w:r>
        <w:rPr>
          <w:rFonts w:ascii="Palatino Linotype" w:hAnsi="Palatino Linotype"/>
        </w:rPr>
        <w:t xml:space="preserve">.  A more rigid helix F would increase the difficult to displace Trp182 toward the CP direction and hinder the opening of the CP half channel for proton uptake.  (c) </w:t>
      </w:r>
      <w:r>
        <w:rPr>
          <w:rFonts w:ascii="Palatino Linotype" w:hAnsi="Palatino Linotype"/>
        </w:rPr>
        <w:sym w:font="Symbol" w:char="F070"/>
      </w:r>
      <w:r>
        <w:rPr>
          <w:rFonts w:ascii="Palatino Linotype" w:hAnsi="Palatino Linotype"/>
        </w:rPr>
        <w:t xml:space="preserve"> helical segment in helix G.  The retinal anchor is in a </w:t>
      </w:r>
      <w:r>
        <w:rPr>
          <w:rFonts w:ascii="Palatino Linotype" w:hAnsi="Palatino Linotype"/>
        </w:rPr>
        <w:sym w:font="Symbol" w:char="F070"/>
      </w:r>
      <w:r>
        <w:rPr>
          <w:rFonts w:ascii="Palatino Linotype" w:hAnsi="Palatino Linotype"/>
        </w:rPr>
        <w:t xml:space="preserve"> helical segment with two main chain H-bonds Val213O-Gly218N and Ser214O-Phe219N.  Unlike the regular </w:t>
      </w:r>
      <w:r>
        <w:rPr>
          <w:rFonts w:ascii="Palatino Linotype" w:hAnsi="Palatino Linotype"/>
        </w:rPr>
        <w:sym w:font="Symbol" w:char="F061"/>
      </w:r>
      <w:r>
        <w:rPr>
          <w:rFonts w:ascii="Palatino Linotype" w:hAnsi="Palatino Linotype"/>
        </w:rPr>
        <w:t xml:space="preserve"> helix, a </w:t>
      </w:r>
      <w:r>
        <w:rPr>
          <w:rFonts w:ascii="Palatino Linotype" w:hAnsi="Palatino Linotype"/>
        </w:rPr>
        <w:sym w:font="Symbol" w:char="F070"/>
      </w:r>
      <w:r>
        <w:rPr>
          <w:rFonts w:ascii="Palatino Linotype" w:hAnsi="Palatino Linotype"/>
        </w:rPr>
        <w:t xml:space="preserve"> helix features H-bonds from the carbonyl of residue </w:t>
      </w:r>
      <w:r w:rsidRPr="00AC3F34">
        <w:rPr>
          <w:rFonts w:ascii="Palatino Linotype" w:hAnsi="Palatino Linotype"/>
          <w:i/>
          <w:iCs/>
        </w:rPr>
        <w:t>n</w:t>
      </w:r>
      <w:r>
        <w:rPr>
          <w:rFonts w:ascii="Palatino Linotype" w:hAnsi="Palatino Linotype"/>
        </w:rPr>
        <w:t xml:space="preserve"> to the amide N of residue </w:t>
      </w:r>
      <w:r w:rsidRPr="00AC3F34">
        <w:rPr>
          <w:rFonts w:ascii="Palatino Linotype" w:hAnsi="Palatino Linotype"/>
          <w:i/>
          <w:iCs/>
        </w:rPr>
        <w:t>n</w:t>
      </w:r>
      <w:r>
        <w:rPr>
          <w:rFonts w:ascii="Palatino Linotype" w:hAnsi="Palatino Linotype"/>
        </w:rPr>
        <w:t xml:space="preserve">+5.  During the transition from the </w:t>
      </w:r>
      <w:r>
        <w:rPr>
          <w:rFonts w:ascii="Palatino Linotype" w:hAnsi="Palatino Linotype"/>
        </w:rPr>
        <w:sym w:font="Symbol" w:char="F061"/>
      </w:r>
      <w:r>
        <w:rPr>
          <w:rFonts w:ascii="Palatino Linotype" w:hAnsi="Palatino Linotype"/>
        </w:rPr>
        <w:t xml:space="preserve"> helix to the </w:t>
      </w:r>
      <w:r>
        <w:rPr>
          <w:rFonts w:ascii="Palatino Linotype" w:hAnsi="Palatino Linotype"/>
        </w:rPr>
        <w:sym w:font="Symbol" w:char="F070"/>
      </w:r>
      <w:r>
        <w:rPr>
          <w:rFonts w:ascii="Palatino Linotype" w:hAnsi="Palatino Linotype"/>
        </w:rPr>
        <w:t xml:space="preserve"> helical segment, Val217N does not have a H-bond partner.  As the </w:t>
      </w:r>
      <w:r>
        <w:rPr>
          <w:rFonts w:ascii="Palatino Linotype" w:hAnsi="Palatino Linotype"/>
        </w:rPr>
        <w:sym w:font="Symbol" w:char="F070"/>
      </w:r>
      <w:r>
        <w:rPr>
          <w:rFonts w:ascii="Palatino Linotype" w:hAnsi="Palatino Linotype"/>
        </w:rPr>
        <w:t xml:space="preserve"> helical segment transitions back to the regular </w:t>
      </w:r>
      <w:r>
        <w:rPr>
          <w:rFonts w:ascii="Palatino Linotype" w:hAnsi="Palatino Linotype"/>
        </w:rPr>
        <w:sym w:font="Symbol" w:char="F061"/>
      </w:r>
      <w:r>
        <w:rPr>
          <w:rFonts w:ascii="Palatino Linotype" w:hAnsi="Palatino Linotype"/>
        </w:rPr>
        <w:t xml:space="preserve"> helical conformation, Ala215O does not join the H-bond pattern for helical formation.  Loss of main chain H-bonds on both sides of the retinal anchor allows the anchor to move 1.2 Å in L.  In addition, two nearby Gly218 and 220 increase the flexibility of the anchor.</w:t>
      </w:r>
    </w:p>
    <w:p w14:paraId="0F389949" w14:textId="77777777" w:rsidR="0039334C" w:rsidRDefault="0039334C" w:rsidP="0039334C">
      <w:pPr>
        <w:spacing w:line="276" w:lineRule="auto"/>
        <w:rPr>
          <w:rFonts w:ascii="Palatino Linotype" w:hAnsi="Palatino Linotype"/>
        </w:rPr>
      </w:pPr>
    </w:p>
    <w:p w14:paraId="095D3447" w14:textId="77777777" w:rsidR="0039334C" w:rsidRDefault="0039334C" w:rsidP="0039334C">
      <w:pPr>
        <w:spacing w:line="276" w:lineRule="auto"/>
        <w:rPr>
          <w:rFonts w:ascii="Palatino Linotype" w:hAnsi="Palatino Linotype"/>
        </w:rPr>
      </w:pPr>
      <w:r>
        <w:rPr>
          <w:rFonts w:ascii="Palatino Linotype" w:hAnsi="Palatino Linotype"/>
          <w:noProof/>
        </w:rPr>
        <w:lastRenderedPageBreak/>
        <w:drawing>
          <wp:inline distT="0" distB="0" distL="0" distR="0" wp14:anchorId="07C528D0" wp14:editId="31BB6910">
            <wp:extent cx="5943600" cy="6400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EC.pdf"/>
                    <pic:cNvPicPr/>
                  </pic:nvPicPr>
                  <pic:blipFill>
                    <a:blip r:embed="rId15">
                      <a:extLst>
                        <a:ext uri="{28A0092B-C50C-407E-A947-70E740481C1C}">
                          <a14:useLocalDpi xmlns:a14="http://schemas.microsoft.com/office/drawing/2010/main" val="0"/>
                        </a:ext>
                      </a:extLst>
                    </a:blip>
                    <a:stretch>
                      <a:fillRect/>
                    </a:stretch>
                  </pic:blipFill>
                  <pic:spPr>
                    <a:xfrm>
                      <a:off x="0" y="0"/>
                      <a:ext cx="5943600" cy="6400800"/>
                    </a:xfrm>
                    <a:prstGeom prst="rect">
                      <a:avLst/>
                    </a:prstGeom>
                  </pic:spPr>
                </pic:pic>
              </a:graphicData>
            </a:graphic>
          </wp:inline>
        </w:drawing>
      </w:r>
    </w:p>
    <w:p w14:paraId="57AB4874" w14:textId="77777777" w:rsidR="0039334C" w:rsidRDefault="0039334C" w:rsidP="0039334C">
      <w:pPr>
        <w:spacing w:line="276" w:lineRule="auto"/>
        <w:rPr>
          <w:rFonts w:ascii="Palatino Linotype" w:hAnsi="Palatino Linotype"/>
        </w:rPr>
      </w:pPr>
    </w:p>
    <w:p w14:paraId="610780FA" w14:textId="77777777" w:rsidR="0039334C" w:rsidRDefault="0039334C" w:rsidP="0039334C">
      <w:pPr>
        <w:spacing w:line="276" w:lineRule="auto"/>
        <w:rPr>
          <w:rFonts w:ascii="Palatino Linotype" w:hAnsi="Palatino Linotype"/>
        </w:rPr>
      </w:pPr>
      <w:r>
        <w:rPr>
          <w:rFonts w:ascii="Palatino Linotype" w:hAnsi="Palatino Linotype"/>
        </w:rPr>
        <w:t>Figure S11.  Tighter EC half channel in L.  (a-c) Three orthographical views of the EC half channel.  The resting state and L state are rendered in white and pink, respectively.  (d) Atomic displacements in the main chain around the EC half channel from the resting state to L are marked with arrows 10</w:t>
      </w:r>
      <w:r>
        <w:rPr>
          <w:rFonts w:ascii="Palatino Linotype" w:hAnsi="Palatino Linotype"/>
        </w:rPr>
        <w:sym w:font="Symbol" w:char="F0B4"/>
      </w:r>
      <w:r>
        <w:rPr>
          <w:rFonts w:ascii="Palatino Linotype" w:hAnsi="Palatino Linotype"/>
        </w:rPr>
        <w:t xml:space="preserve"> </w:t>
      </w:r>
      <w:proofErr w:type="gramStart"/>
      <w:r>
        <w:rPr>
          <w:rFonts w:ascii="Palatino Linotype" w:hAnsi="Palatino Linotype"/>
        </w:rPr>
        <w:t>as long as</w:t>
      </w:r>
      <w:proofErr w:type="gramEnd"/>
      <w:r>
        <w:rPr>
          <w:rFonts w:ascii="Palatino Linotype" w:hAnsi="Palatino Linotype"/>
        </w:rPr>
        <w:t xml:space="preserve"> the actual values.</w:t>
      </w:r>
    </w:p>
    <w:p w14:paraId="77EBD3CE" w14:textId="77777777" w:rsidR="0039334C" w:rsidRDefault="0039334C" w:rsidP="0039334C">
      <w:pPr>
        <w:spacing w:line="276" w:lineRule="auto"/>
        <w:rPr>
          <w:rFonts w:ascii="Palatino Linotype" w:hAnsi="Palatino Linotype"/>
        </w:rPr>
      </w:pPr>
    </w:p>
    <w:p w14:paraId="2D296FA3"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7DBA58CF" wp14:editId="70EE00C5">
            <wp:extent cx="4572000" cy="7225990"/>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1.2Fo-Fc.pdf"/>
                    <pic:cNvPicPr/>
                  </pic:nvPicPr>
                  <pic:blipFill>
                    <a:blip r:embed="rId16">
                      <a:extLst>
                        <a:ext uri="{28A0092B-C50C-407E-A947-70E740481C1C}">
                          <a14:useLocalDpi xmlns:a14="http://schemas.microsoft.com/office/drawing/2010/main" val="0"/>
                        </a:ext>
                      </a:extLst>
                    </a:blip>
                    <a:stretch>
                      <a:fillRect/>
                    </a:stretch>
                  </pic:blipFill>
                  <pic:spPr>
                    <a:xfrm>
                      <a:off x="0" y="0"/>
                      <a:ext cx="4572000" cy="7225990"/>
                    </a:xfrm>
                    <a:prstGeom prst="rect">
                      <a:avLst/>
                    </a:prstGeom>
                  </pic:spPr>
                </pic:pic>
              </a:graphicData>
            </a:graphic>
          </wp:inline>
        </w:drawing>
      </w:r>
    </w:p>
    <w:p w14:paraId="29AC85FA" w14:textId="77777777" w:rsidR="0039334C" w:rsidRDefault="0039334C" w:rsidP="0039334C">
      <w:pPr>
        <w:spacing w:line="276" w:lineRule="auto"/>
        <w:rPr>
          <w:rFonts w:ascii="Palatino Linotype" w:hAnsi="Palatino Linotype"/>
        </w:rPr>
      </w:pPr>
    </w:p>
    <w:p w14:paraId="5A9C7F6A" w14:textId="77777777" w:rsidR="0039334C" w:rsidRDefault="0039334C" w:rsidP="0039334C">
      <w:pPr>
        <w:spacing w:line="276" w:lineRule="auto"/>
        <w:rPr>
          <w:rFonts w:ascii="Palatino Linotype" w:hAnsi="Palatino Linotype"/>
        </w:rPr>
      </w:pPr>
      <w:r>
        <w:rPr>
          <w:rFonts w:ascii="Palatino Linotype" w:hAnsi="Palatino Linotype"/>
        </w:rPr>
        <w:t>Figure S12.  Two orthographical views of the 2Fo-Fc map of M</w:t>
      </w:r>
      <w:r w:rsidRPr="00B72600">
        <w:rPr>
          <w:rFonts w:ascii="Palatino Linotype" w:hAnsi="Palatino Linotype"/>
          <w:vertAlign w:val="subscript"/>
        </w:rPr>
        <w:t>1</w:t>
      </w:r>
      <w:r>
        <w:rPr>
          <w:rFonts w:ascii="Palatino Linotype" w:hAnsi="Palatino Linotype"/>
        </w:rPr>
        <w:t xml:space="preserve"> contoured at 3</w:t>
      </w:r>
      <w:r w:rsidRPr="00C4466A">
        <w:rPr>
          <w:rFonts w:ascii="Palatino Linotype" w:hAnsi="Palatino Linotype"/>
          <w:i/>
          <w:iCs/>
        </w:rPr>
        <w:sym w:font="Symbol" w:char="F073"/>
      </w:r>
      <w:r>
        <w:rPr>
          <w:rFonts w:ascii="Palatino Linotype" w:hAnsi="Palatino Linotype"/>
        </w:rPr>
        <w:t xml:space="preserve">.  Here </w:t>
      </w:r>
      <w:proofErr w:type="spellStart"/>
      <w:r>
        <w:rPr>
          <w:rFonts w:ascii="Palatino Linotype" w:hAnsi="Palatino Linotype"/>
        </w:rPr>
        <w:t>Fo</w:t>
      </w:r>
      <w:proofErr w:type="spellEnd"/>
      <w:r>
        <w:rPr>
          <w:rFonts w:ascii="Palatino Linotype" w:hAnsi="Palatino Linotype"/>
        </w:rPr>
        <w:t xml:space="preserve"> is the reconstituted structure factor amplitudes rather than observed amplitudes </w:t>
      </w:r>
      <w:r>
        <w:rPr>
          <w:rFonts w:ascii="Palatino Linotype" w:hAnsi="Palatino Linotype"/>
        </w:rPr>
        <w:lastRenderedPageBreak/>
        <w:t>(Table S2).  Fc is the structure factor amplitudes calculated from the refined structure (Methods).</w:t>
      </w:r>
    </w:p>
    <w:p w14:paraId="40D0FD2B" w14:textId="77777777" w:rsidR="0039334C" w:rsidRDefault="0039334C" w:rsidP="0039334C">
      <w:pPr>
        <w:spacing w:line="276" w:lineRule="auto"/>
        <w:rPr>
          <w:rFonts w:ascii="Palatino Linotype" w:hAnsi="Palatino Linotype"/>
        </w:rPr>
      </w:pPr>
    </w:p>
    <w:p w14:paraId="2C8D3789" w14:textId="77777777" w:rsidR="0039334C" w:rsidRDefault="0039334C" w:rsidP="0039334C">
      <w:pPr>
        <w:rPr>
          <w:rFonts w:ascii="Palatino Linotype" w:hAnsi="Palatino Linotype"/>
        </w:rPr>
      </w:pPr>
      <w:r>
        <w:rPr>
          <w:rFonts w:ascii="Palatino Linotype" w:hAnsi="Palatino Linotype"/>
        </w:rPr>
        <w:br w:type="page"/>
      </w:r>
    </w:p>
    <w:p w14:paraId="40983F3D" w14:textId="77777777" w:rsidR="0039334C" w:rsidRDefault="0039334C" w:rsidP="0039334C">
      <w:pPr>
        <w:spacing w:line="276" w:lineRule="auto"/>
        <w:jc w:val="center"/>
        <w:rPr>
          <w:rFonts w:ascii="Palatino Linotype" w:hAnsi="Palatino Linotype"/>
        </w:rPr>
      </w:pPr>
      <w:r>
        <w:rPr>
          <w:rFonts w:ascii="Palatino Linotype" w:hAnsi="Palatino Linotype"/>
          <w:noProof/>
        </w:rPr>
        <w:lastRenderedPageBreak/>
        <w:drawing>
          <wp:inline distT="0" distB="0" distL="0" distR="0" wp14:anchorId="75A08444" wp14:editId="29FF2AE7">
            <wp:extent cx="4572000" cy="6858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2.2Fo-Fc.pdf"/>
                    <pic:cNvPicPr/>
                  </pic:nvPicPr>
                  <pic:blipFill>
                    <a:blip r:embed="rId17">
                      <a:extLst>
                        <a:ext uri="{28A0092B-C50C-407E-A947-70E740481C1C}">
                          <a14:useLocalDpi xmlns:a14="http://schemas.microsoft.com/office/drawing/2010/main" val="0"/>
                        </a:ext>
                      </a:extLst>
                    </a:blip>
                    <a:stretch>
                      <a:fillRect/>
                    </a:stretch>
                  </pic:blipFill>
                  <pic:spPr>
                    <a:xfrm>
                      <a:off x="0" y="0"/>
                      <a:ext cx="4572000" cy="6858000"/>
                    </a:xfrm>
                    <a:prstGeom prst="rect">
                      <a:avLst/>
                    </a:prstGeom>
                  </pic:spPr>
                </pic:pic>
              </a:graphicData>
            </a:graphic>
          </wp:inline>
        </w:drawing>
      </w:r>
    </w:p>
    <w:p w14:paraId="2BBED10B" w14:textId="77777777" w:rsidR="0039334C" w:rsidRDefault="0039334C" w:rsidP="0039334C">
      <w:pPr>
        <w:spacing w:line="276" w:lineRule="auto"/>
        <w:rPr>
          <w:rFonts w:ascii="Palatino Linotype" w:hAnsi="Palatino Linotype"/>
        </w:rPr>
      </w:pPr>
    </w:p>
    <w:p w14:paraId="52664A38" w14:textId="77777777" w:rsidR="0039334C" w:rsidRDefault="0039334C" w:rsidP="0039334C">
      <w:pPr>
        <w:spacing w:line="276" w:lineRule="auto"/>
        <w:rPr>
          <w:rFonts w:ascii="Palatino Linotype" w:hAnsi="Palatino Linotype"/>
        </w:rPr>
      </w:pPr>
      <w:r>
        <w:rPr>
          <w:rFonts w:ascii="Palatino Linotype" w:hAnsi="Palatino Linotype"/>
        </w:rPr>
        <w:t>Figure S13.  Two orthographical views of the 2Fo-Fc map of M</w:t>
      </w:r>
      <w:r>
        <w:rPr>
          <w:rFonts w:ascii="Palatino Linotype" w:hAnsi="Palatino Linotype"/>
          <w:vertAlign w:val="subscript"/>
        </w:rPr>
        <w:t>2</w:t>
      </w:r>
      <w:r>
        <w:rPr>
          <w:rFonts w:ascii="Palatino Linotype" w:hAnsi="Palatino Linotype"/>
        </w:rPr>
        <w:t xml:space="preserve"> contoured at 5</w:t>
      </w:r>
      <w:r w:rsidRPr="00C4466A">
        <w:rPr>
          <w:rFonts w:ascii="Palatino Linotype" w:hAnsi="Palatino Linotype"/>
          <w:i/>
          <w:iCs/>
        </w:rPr>
        <w:sym w:font="Symbol" w:char="F073"/>
      </w:r>
      <w:r>
        <w:rPr>
          <w:rFonts w:ascii="Palatino Linotype" w:hAnsi="Palatino Linotype"/>
        </w:rPr>
        <w:t xml:space="preserve">.  Here </w:t>
      </w:r>
      <w:proofErr w:type="spellStart"/>
      <w:r>
        <w:rPr>
          <w:rFonts w:ascii="Palatino Linotype" w:hAnsi="Palatino Linotype"/>
        </w:rPr>
        <w:t>Fo</w:t>
      </w:r>
      <w:proofErr w:type="spellEnd"/>
      <w:r>
        <w:rPr>
          <w:rFonts w:ascii="Palatino Linotype" w:hAnsi="Palatino Linotype"/>
        </w:rPr>
        <w:t xml:space="preserve"> is the reconstituted structure factor amplitudes rather than observed amplitudes (Table S2).  Fc is the structure factor amplitudes calculated from the refined structure (Methods).</w:t>
      </w:r>
    </w:p>
    <w:p w14:paraId="393A1B2A" w14:textId="77777777" w:rsidR="0039334C" w:rsidRDefault="0039334C" w:rsidP="0039334C">
      <w:pPr>
        <w:spacing w:line="276" w:lineRule="auto"/>
        <w:rPr>
          <w:rFonts w:ascii="Palatino Linotype" w:hAnsi="Palatino Linotype"/>
        </w:rPr>
      </w:pPr>
    </w:p>
    <w:p w14:paraId="0530E56A" w14:textId="77777777" w:rsidR="0039334C" w:rsidRDefault="0039334C" w:rsidP="0039334C">
      <w:pPr>
        <w:spacing w:line="276" w:lineRule="auto"/>
        <w:jc w:val="center"/>
        <w:rPr>
          <w:rFonts w:ascii="Palatino Linotype" w:hAnsi="Palatino Linotype"/>
        </w:rPr>
      </w:pPr>
      <w:r>
        <w:rPr>
          <w:rFonts w:ascii="Palatino Linotype" w:hAnsi="Palatino Linotype"/>
          <w:noProof/>
        </w:rPr>
        <w:drawing>
          <wp:inline distT="0" distB="0" distL="0" distR="0" wp14:anchorId="3D1D9FAF" wp14:editId="3483C628">
            <wp:extent cx="4572000" cy="4572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8">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14:paraId="3FDDCE1A" w14:textId="77777777" w:rsidR="0039334C" w:rsidRDefault="0039334C" w:rsidP="0039334C">
      <w:pPr>
        <w:spacing w:line="276" w:lineRule="auto"/>
        <w:rPr>
          <w:rFonts w:ascii="Palatino Linotype" w:hAnsi="Palatino Linotype"/>
        </w:rPr>
      </w:pPr>
    </w:p>
    <w:p w14:paraId="3B3896EF" w14:textId="77777777" w:rsidR="0039334C" w:rsidRDefault="0039334C" w:rsidP="0039334C">
      <w:pPr>
        <w:spacing w:line="276" w:lineRule="auto"/>
        <w:rPr>
          <w:rFonts w:ascii="Palatino Linotype" w:hAnsi="Palatino Linotype"/>
        </w:rPr>
      </w:pPr>
      <w:r>
        <w:rPr>
          <w:rFonts w:ascii="Palatino Linotype" w:hAnsi="Palatino Linotype"/>
        </w:rPr>
        <w:t>Figure S14.  H-bond network at end of EC half channel in I state.  Two curved arrows mark two possible proton conductance pathways.  At more acidic EC pH, the pathway through Asp85 is in use and that through Asp212 is blocked by Tyr57.  At more alkaline EC pH, Tyr57 could deprotonate thus the pathway through Asp212 may help to increase the proton flow.  Both pathways conduct protons only under a concentration gradient of protons.</w:t>
      </w:r>
    </w:p>
    <w:p w14:paraId="0503205A" w14:textId="77777777" w:rsidR="0039334C" w:rsidRDefault="0039334C" w:rsidP="0039334C">
      <w:pPr>
        <w:spacing w:line="276" w:lineRule="auto"/>
        <w:rPr>
          <w:rFonts w:ascii="Palatino Linotype" w:hAnsi="Palatino Linotype"/>
        </w:rPr>
      </w:pPr>
    </w:p>
    <w:p w14:paraId="63FCC1C8" w14:textId="77777777" w:rsidR="0039334C" w:rsidRDefault="0039334C" w:rsidP="0039334C">
      <w:pPr>
        <w:spacing w:line="276" w:lineRule="auto"/>
        <w:rPr>
          <w:rFonts w:ascii="Palatino Linotype" w:hAnsi="Palatino Linotype"/>
        </w:rPr>
      </w:pPr>
      <w:r>
        <w:rPr>
          <w:rFonts w:ascii="Palatino Linotype" w:hAnsi="Palatino Linotype"/>
          <w:noProof/>
        </w:rPr>
        <w:lastRenderedPageBreak/>
        <w:drawing>
          <wp:inline distT="0" distB="0" distL="0" distR="0" wp14:anchorId="3E55AE3E" wp14:editId="780A65D3">
            <wp:extent cx="5943600" cy="5943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hortAndLongDelays.pdf"/>
                    <pic:cNvPicPr/>
                  </pic:nvPicPr>
                  <pic:blipFill>
                    <a:blip r:embed="rId19">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2A3127C" w14:textId="77777777" w:rsidR="0039334C" w:rsidRDefault="0039334C" w:rsidP="0039334C">
      <w:pPr>
        <w:spacing w:line="276" w:lineRule="auto"/>
        <w:rPr>
          <w:rFonts w:ascii="Palatino Linotype" w:hAnsi="Palatino Linotype"/>
        </w:rPr>
      </w:pPr>
    </w:p>
    <w:p w14:paraId="75091069" w14:textId="77777777" w:rsidR="0039334C" w:rsidRPr="0021348A" w:rsidRDefault="0039334C" w:rsidP="0039334C">
      <w:pPr>
        <w:spacing w:line="276" w:lineRule="auto"/>
        <w:rPr>
          <w:rFonts w:ascii="Palatino Linotype" w:hAnsi="Palatino Linotype"/>
        </w:rPr>
      </w:pPr>
      <w:r>
        <w:rPr>
          <w:rFonts w:ascii="Palatino Linotype" w:hAnsi="Palatino Linotype"/>
        </w:rPr>
        <w:t>Figure S15.  Short and long delays in two orthogonal subspaces.  A preliminary SVD analysis shows that the difference Fourier maps at short and long delays do not share common features among the major components.  This is an example to show that the third and eighth components are in two orthogonal subspaces.  Each colored trace represents difference maps in a time series calculated with a common reference.  Those time series with a dark reference are plotted in thick lines with dots.  Other series are in thin lines without dots.  Short delays are in cool colors and long delays are in warm colors.</w:t>
      </w:r>
    </w:p>
    <w:p w14:paraId="256971F9" w14:textId="77777777" w:rsidR="0039334C" w:rsidRDefault="0039334C"/>
    <w:sectPr w:rsidR="0039334C" w:rsidSect="002A4C2F">
      <w:headerReference w:type="default" r:id="rId20"/>
      <w:footerReference w:type="even" r:id="rId21"/>
      <w:footerReference w:type="default" r:id="rId22"/>
      <w:pgSz w:w="12240" w:h="15840"/>
      <w:pgMar w:top="1440" w:right="1440" w:bottom="1440" w:left="1440" w:header="936"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NewRomanPSMT">
    <w:altName w:val="Times New Roman"/>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Palatino">
    <w:altName w:val="Segoe UI Historic"/>
    <w:charset w:val="4D"/>
    <w:family w:val="auto"/>
    <w:pitch w:val="variable"/>
    <w:sig w:usb0="A00002FF" w:usb1="7800205A" w:usb2="14600000" w:usb3="00000000" w:csb0="00000193" w:csb1="00000000"/>
  </w:font>
  <w:font w:name="Courier">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0402536"/>
      <w:docPartObj>
        <w:docPartGallery w:val="Page Numbers (Bottom of Page)"/>
        <w:docPartUnique/>
      </w:docPartObj>
    </w:sdtPr>
    <w:sdtEndPr>
      <w:rPr>
        <w:rStyle w:val="PageNumber"/>
      </w:rPr>
    </w:sdtEndPr>
    <w:sdtContent>
      <w:p w14:paraId="143F7650" w14:textId="77777777" w:rsidR="009553C2" w:rsidRDefault="0039334C" w:rsidP="00607B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AAA0F8" w14:textId="77777777" w:rsidR="009553C2" w:rsidRDefault="003933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Palatino" w:hAnsi="Palatino"/>
        <w:sz w:val="20"/>
        <w:szCs w:val="20"/>
      </w:rPr>
      <w:id w:val="-1732298328"/>
      <w:docPartObj>
        <w:docPartGallery w:val="Page Numbers (Bottom of Page)"/>
        <w:docPartUnique/>
      </w:docPartObj>
    </w:sdtPr>
    <w:sdtEndPr>
      <w:rPr>
        <w:rStyle w:val="PageNumber"/>
      </w:rPr>
    </w:sdtEndPr>
    <w:sdtContent>
      <w:p w14:paraId="729A1A53" w14:textId="77777777" w:rsidR="009553C2" w:rsidRPr="00F047F4" w:rsidRDefault="0039334C" w:rsidP="00607B0C">
        <w:pPr>
          <w:pStyle w:val="Footer"/>
          <w:framePr w:wrap="none" w:vAnchor="text" w:hAnchor="margin" w:xAlign="center" w:y="1"/>
          <w:rPr>
            <w:rStyle w:val="PageNumber"/>
            <w:rFonts w:ascii="Palatino" w:hAnsi="Palatino"/>
            <w:sz w:val="20"/>
            <w:szCs w:val="20"/>
          </w:rPr>
        </w:pPr>
        <w:r w:rsidRPr="00F047F4">
          <w:rPr>
            <w:rStyle w:val="PageNumber"/>
            <w:rFonts w:ascii="Palatino" w:hAnsi="Palatino"/>
            <w:sz w:val="20"/>
            <w:szCs w:val="20"/>
          </w:rPr>
          <w:fldChar w:fldCharType="begin"/>
        </w:r>
        <w:r w:rsidRPr="00F047F4">
          <w:rPr>
            <w:rStyle w:val="PageNumber"/>
            <w:rFonts w:ascii="Palatino" w:hAnsi="Palatino"/>
            <w:sz w:val="20"/>
            <w:szCs w:val="20"/>
          </w:rPr>
          <w:instrText xml:space="preserve"> PAGE </w:instrText>
        </w:r>
        <w:r w:rsidRPr="00F047F4">
          <w:rPr>
            <w:rStyle w:val="PageNumber"/>
            <w:rFonts w:ascii="Palatino" w:hAnsi="Palatino"/>
            <w:sz w:val="20"/>
            <w:szCs w:val="20"/>
          </w:rPr>
          <w:fldChar w:fldCharType="separate"/>
        </w:r>
        <w:r w:rsidRPr="00F047F4">
          <w:rPr>
            <w:rStyle w:val="PageNumber"/>
            <w:rFonts w:ascii="Palatino" w:hAnsi="Palatino"/>
            <w:noProof/>
            <w:sz w:val="20"/>
            <w:szCs w:val="20"/>
          </w:rPr>
          <w:t>1</w:t>
        </w:r>
        <w:r w:rsidRPr="00F047F4">
          <w:rPr>
            <w:rStyle w:val="PageNumber"/>
            <w:rFonts w:ascii="Palatino" w:hAnsi="Palatino"/>
            <w:sz w:val="20"/>
            <w:szCs w:val="20"/>
          </w:rPr>
          <w:fldChar w:fldCharType="end"/>
        </w:r>
      </w:p>
    </w:sdtContent>
  </w:sdt>
  <w:p w14:paraId="1CF0E62E" w14:textId="77777777" w:rsidR="009553C2" w:rsidRPr="00F047F4" w:rsidRDefault="0039334C">
    <w:pPr>
      <w:rPr>
        <w:rFonts w:ascii="Palatino" w:hAnsi="Palatino"/>
        <w:sz w:val="20"/>
        <w:szCs w:val="2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3FAC" w14:textId="77777777" w:rsidR="009553C2" w:rsidRPr="00F047F4" w:rsidRDefault="0039334C" w:rsidP="00F047F4">
    <w:pPr>
      <w:pStyle w:val="Header"/>
      <w:jc w:val="center"/>
      <w:rPr>
        <w:rFonts w:ascii="Palatino" w:hAnsi="Palatino"/>
        <w:sz w:val="20"/>
        <w:szCs w:val="20"/>
      </w:rPr>
    </w:pPr>
    <w:r w:rsidRPr="00F047F4">
      <w:rPr>
        <w:rFonts w:ascii="Palatino" w:hAnsi="Palatino"/>
        <w:sz w:val="20"/>
        <w:szCs w:val="20"/>
      </w:rPr>
      <w:t xml:space="preserve">Ren: </w:t>
    </w:r>
    <w:r>
      <w:rPr>
        <w:rFonts w:ascii="Palatino" w:hAnsi="Palatino"/>
        <w:sz w:val="20"/>
        <w:szCs w:val="20"/>
      </w:rPr>
      <w:t>Concentration</w:t>
    </w:r>
    <w:r>
      <w:rPr>
        <w:rFonts w:ascii="Palatino" w:hAnsi="Palatino"/>
        <w:sz w:val="20"/>
        <w:szCs w:val="20"/>
      </w:rPr>
      <w:t>-driven p</w:t>
    </w:r>
    <w:r w:rsidRPr="00F047F4">
      <w:rPr>
        <w:rFonts w:ascii="Palatino" w:hAnsi="Palatino"/>
        <w:sz w:val="20"/>
        <w:szCs w:val="20"/>
      </w:rPr>
      <w:t xml:space="preserve">roton </w:t>
    </w:r>
    <w:r>
      <w:rPr>
        <w:rFonts w:ascii="Palatino" w:hAnsi="Palatino"/>
        <w:sz w:val="20"/>
        <w:szCs w:val="20"/>
      </w:rPr>
      <w:t>conductance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D1EAD"/>
    <w:multiLevelType w:val="multilevel"/>
    <w:tmpl w:val="0804CF92"/>
    <w:lvl w:ilvl="0">
      <w:start w:val="2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34C"/>
    <w:rsid w:val="00393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41552"/>
  <w15:chartTrackingRefBased/>
  <w15:docId w15:val="{E085427D-BAC2-4223-BE30-998C150F5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34C"/>
    <w:pPr>
      <w:spacing w:after="0" w:line="240" w:lineRule="auto"/>
    </w:pPr>
    <w:rPr>
      <w:rFonts w:eastAsiaTheme="minorEastAsia"/>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9334C"/>
    <w:pPr>
      <w:widowControl w:val="0"/>
      <w:autoSpaceDE w:val="0"/>
      <w:autoSpaceDN w:val="0"/>
      <w:adjustRightInd w:val="0"/>
      <w:spacing w:after="0" w:line="240" w:lineRule="auto"/>
    </w:pPr>
    <w:rPr>
      <w:rFonts w:ascii="Arial Narrow" w:eastAsiaTheme="minorEastAsia" w:hAnsi="Arial Narrow" w:cs="Arial Narrow"/>
      <w:color w:val="000000"/>
      <w:sz w:val="24"/>
      <w:szCs w:val="24"/>
      <w:lang w:eastAsia="ja-JP"/>
    </w:rPr>
  </w:style>
  <w:style w:type="character" w:styleId="PageNumber">
    <w:name w:val="page number"/>
    <w:basedOn w:val="DefaultParagraphFont"/>
    <w:unhideWhenUsed/>
    <w:rsid w:val="0039334C"/>
  </w:style>
  <w:style w:type="paragraph" w:styleId="Header">
    <w:name w:val="header"/>
    <w:basedOn w:val="Normal"/>
    <w:link w:val="HeaderChar"/>
    <w:uiPriority w:val="99"/>
    <w:unhideWhenUsed/>
    <w:rsid w:val="0039334C"/>
    <w:pPr>
      <w:tabs>
        <w:tab w:val="center" w:pos="4680"/>
        <w:tab w:val="right" w:pos="9360"/>
      </w:tabs>
    </w:pPr>
  </w:style>
  <w:style w:type="character" w:customStyle="1" w:styleId="HeaderChar">
    <w:name w:val="Header Char"/>
    <w:basedOn w:val="DefaultParagraphFont"/>
    <w:link w:val="Header"/>
    <w:uiPriority w:val="99"/>
    <w:rsid w:val="0039334C"/>
    <w:rPr>
      <w:rFonts w:eastAsiaTheme="minorEastAsia"/>
      <w:sz w:val="24"/>
      <w:szCs w:val="24"/>
      <w:lang w:eastAsia="zh-CN"/>
    </w:rPr>
  </w:style>
  <w:style w:type="paragraph" w:styleId="Footer">
    <w:name w:val="footer"/>
    <w:basedOn w:val="Normal"/>
    <w:link w:val="FooterChar"/>
    <w:uiPriority w:val="99"/>
    <w:unhideWhenUsed/>
    <w:rsid w:val="0039334C"/>
    <w:pPr>
      <w:tabs>
        <w:tab w:val="center" w:pos="4680"/>
        <w:tab w:val="right" w:pos="9360"/>
      </w:tabs>
    </w:pPr>
  </w:style>
  <w:style w:type="character" w:customStyle="1" w:styleId="FooterChar">
    <w:name w:val="Footer Char"/>
    <w:basedOn w:val="DefaultParagraphFont"/>
    <w:link w:val="Footer"/>
    <w:uiPriority w:val="99"/>
    <w:rsid w:val="0039334C"/>
    <w:rPr>
      <w:rFonts w:eastAsiaTheme="minorEastAsia"/>
      <w:sz w:val="24"/>
      <w:szCs w:val="24"/>
      <w:lang w:eastAsia="zh-CN"/>
    </w:rPr>
  </w:style>
  <w:style w:type="character" w:styleId="Hyperlink">
    <w:name w:val="Hyperlink"/>
    <w:basedOn w:val="DefaultParagraphFont"/>
    <w:uiPriority w:val="99"/>
    <w:unhideWhenUsed/>
    <w:rsid w:val="0039334C"/>
    <w:rPr>
      <w:color w:val="0563C1" w:themeColor="hyperlink"/>
      <w:u w:val="single"/>
    </w:rPr>
  </w:style>
  <w:style w:type="character" w:styleId="UnresolvedMention">
    <w:name w:val="Unresolved Mention"/>
    <w:basedOn w:val="DefaultParagraphFont"/>
    <w:uiPriority w:val="99"/>
    <w:semiHidden/>
    <w:unhideWhenUsed/>
    <w:rsid w:val="0039334C"/>
    <w:rPr>
      <w:color w:val="605E5C"/>
      <w:shd w:val="clear" w:color="auto" w:fill="E1DFDD"/>
    </w:rPr>
  </w:style>
  <w:style w:type="table" w:styleId="TableGrid">
    <w:name w:val="Table Grid"/>
    <w:basedOn w:val="TableNormal"/>
    <w:uiPriority w:val="59"/>
    <w:rsid w:val="0039334C"/>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334C"/>
    <w:pPr>
      <w:spacing w:before="100" w:beforeAutospacing="1" w:after="100" w:afterAutospacing="1"/>
    </w:pPr>
    <w:rPr>
      <w:rFonts w:ascii="Times New Roman" w:eastAsia="Times New Roman" w:hAnsi="Times New Roman" w:cs="Times New Roman"/>
    </w:rPr>
  </w:style>
  <w:style w:type="paragraph" w:styleId="Bibliography">
    <w:name w:val="Bibliography"/>
    <w:basedOn w:val="Normal"/>
    <w:next w:val="Normal"/>
    <w:uiPriority w:val="37"/>
    <w:unhideWhenUsed/>
    <w:rsid w:val="0039334C"/>
    <w:pPr>
      <w:spacing w:after="240"/>
    </w:pPr>
  </w:style>
  <w:style w:type="character" w:styleId="PlaceholderText">
    <w:name w:val="Placeholder Text"/>
    <w:basedOn w:val="DefaultParagraphFont"/>
    <w:uiPriority w:val="99"/>
    <w:semiHidden/>
    <w:rsid w:val="0039334C"/>
    <w:rPr>
      <w:color w:val="808080"/>
    </w:rPr>
  </w:style>
  <w:style w:type="character" w:styleId="LineNumber">
    <w:name w:val="line number"/>
    <w:basedOn w:val="DefaultParagraphFont"/>
    <w:uiPriority w:val="99"/>
    <w:semiHidden/>
    <w:unhideWhenUsed/>
    <w:rsid w:val="0039334C"/>
  </w:style>
  <w:style w:type="paragraph" w:styleId="BalloonText">
    <w:name w:val="Balloon Text"/>
    <w:basedOn w:val="Normal"/>
    <w:link w:val="BalloonTextChar"/>
    <w:uiPriority w:val="99"/>
    <w:semiHidden/>
    <w:unhideWhenUsed/>
    <w:rsid w:val="0039334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9334C"/>
    <w:rPr>
      <w:rFonts w:ascii="Times New Roman" w:eastAsiaTheme="minorEastAsia" w:hAnsi="Times New Roman" w:cs="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22590</Words>
  <Characters>128763</Characters>
  <Application>Microsoft Office Word</Application>
  <DocSecurity>0</DocSecurity>
  <Lines>1073</Lines>
  <Paragraphs>302</Paragraphs>
  <ScaleCrop>false</ScaleCrop>
  <Company/>
  <LinksUpToDate>false</LinksUpToDate>
  <CharactersWithSpaces>151051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2</cp:revision>
  <dcterms:created xsi:type="dcterms:W3CDTF">2021-10-15T21:25:00Z</dcterms:created>
  <dcterms:modified xsi:type="dcterms:W3CDTF">2021-10-15T21:26:00Z</dcterms:modified>
</cp:coreProperties>
</file>