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1.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2.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Ind w:w="0" w:type="dxa"/>
        <w:tblLook w:val="04A0" w:firstRow="1" w:lastRow="0" w:firstColumn="1" w:lastColumn="0" w:noHBand="0" w:noVBand="1"/>
      </w:tblPr>
      <w:tblGrid>
        <w:gridCol w:w="13948"/>
      </w:tblGrid>
      <w:tr w:rsidR="00E949BF" w14:paraId="01CA97DC" w14:textId="77777777">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77E75C3D" w14:textId="77777777" w:rsidR="00E949BF" w:rsidRDefault="00E949B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5: Presence of under-19 girls during data </w:t>
            </w:r>
            <w:proofErr w:type="gramStart"/>
            <w:r>
              <w:rPr>
                <w:rFonts w:ascii="Times New Roman" w:hAnsi="Times New Roman" w:cs="Times New Roman"/>
                <w:b/>
                <w:bCs/>
                <w:sz w:val="24"/>
                <w:szCs w:val="24"/>
              </w:rPr>
              <w:t>collection(</w:t>
            </w:r>
            <w:proofErr w:type="gramEnd"/>
            <w:r>
              <w:rPr>
                <w:rFonts w:ascii="Times New Roman" w:hAnsi="Times New Roman" w:cs="Times New Roman"/>
                <w:b/>
                <w:bCs/>
                <w:sz w:val="24"/>
                <w:szCs w:val="24"/>
              </w:rPr>
              <w:t>Joint Display:2)</w:t>
            </w:r>
          </w:p>
        </w:tc>
      </w:tr>
      <w:tr w:rsidR="00E949BF" w14:paraId="645BCBD5" w14:textId="77777777">
        <w:trPr>
          <w:trHeight w:val="212"/>
        </w:trPr>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54308499" w14:textId="77777777" w:rsidR="00E949BF" w:rsidRDefault="00E949B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Quantitative Results (QUAN):</w:t>
            </w:r>
          </w:p>
        </w:tc>
      </w:tr>
      <w:tr w:rsidR="00E949BF" w14:paraId="1121DD8D" w14:textId="77777777">
        <w:trPr>
          <w:trHeight w:val="3450"/>
        </w:trPr>
        <w:tc>
          <w:tcPr>
            <w:tcW w:w="5000" w:type="pct"/>
            <w:tcBorders>
              <w:top w:val="single" w:sz="4" w:space="0" w:color="auto"/>
              <w:left w:val="single" w:sz="4" w:space="0" w:color="auto"/>
              <w:bottom w:val="single" w:sz="4" w:space="0" w:color="auto"/>
              <w:right w:val="single" w:sz="4" w:space="0" w:color="auto"/>
            </w:tcBorders>
            <w:hideMark/>
          </w:tcPr>
          <w:p w14:paraId="30A78A97" w14:textId="6B44118A" w:rsidR="00E949BF" w:rsidRDefault="00E949BF">
            <w:pPr>
              <w:spacing w:line="240" w:lineRule="auto"/>
              <w:rPr>
                <w:rFonts w:ascii="Times New Roman" w:hAnsi="Times New Roman" w:cs="Times New Roman"/>
                <w:b/>
                <w:bCs/>
                <w:sz w:val="24"/>
                <w:szCs w:val="24"/>
              </w:rPr>
            </w:pPr>
            <w:r>
              <w:rPr>
                <w:noProof/>
              </w:rPr>
              <mc:AlternateContent>
                <mc:Choice Requires="cx2">
                  <w:drawing>
                    <wp:anchor distT="0" distB="0" distL="114300" distR="114300" simplePos="0" relativeHeight="251659264" behindDoc="1" locked="0" layoutInCell="1" allowOverlap="1" wp14:anchorId="6892B207" wp14:editId="69CFFDAF">
                      <wp:simplePos x="0" y="0"/>
                      <wp:positionH relativeFrom="column">
                        <wp:posOffset>0</wp:posOffset>
                      </wp:positionH>
                      <wp:positionV relativeFrom="paragraph">
                        <wp:posOffset>43180</wp:posOffset>
                      </wp:positionV>
                      <wp:extent cx="1572895" cy="2103120"/>
                      <wp:effectExtent l="0" t="0" r="8255" b="11430"/>
                      <wp:wrapNone/>
                      <wp:docPr id="1596816468" name="Chart 6">
                        <a:extLst xmlns:a="http://schemas.openxmlformats.org/drawingml/2006/main">
                          <a:ext uri="{FF2B5EF4-FFF2-40B4-BE49-F238E27FC236}">
                            <a16:creationId xmlns:a16="http://schemas.microsoft.com/office/drawing/2014/main" id="{F70A1807-B0FE-4B67-9A5F-CAE5512EAC47}"/>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4"/>
                        </a:graphicData>
                      </a:graphic>
                      <wp14:sizeRelH relativeFrom="margin">
                        <wp14:pctWidth>0</wp14:pctWidth>
                      </wp14:sizeRelH>
                      <wp14:sizeRelV relativeFrom="margin">
                        <wp14:pctHeight>0</wp14:pctHeight>
                      </wp14:sizeRelV>
                    </wp:anchor>
                  </w:drawing>
                </mc:Choice>
                <mc:Fallback>
                  <w:drawing>
                    <wp:anchor distT="0" distB="0" distL="114300" distR="114300" simplePos="0" relativeHeight="251659264" behindDoc="1" locked="0" layoutInCell="1" allowOverlap="1" wp14:anchorId="6892B207" wp14:editId="69CFFDAF">
                      <wp:simplePos x="0" y="0"/>
                      <wp:positionH relativeFrom="column">
                        <wp:posOffset>0</wp:posOffset>
                      </wp:positionH>
                      <wp:positionV relativeFrom="paragraph">
                        <wp:posOffset>43180</wp:posOffset>
                      </wp:positionV>
                      <wp:extent cx="1572895" cy="2103120"/>
                      <wp:effectExtent l="0" t="0" r="8255" b="11430"/>
                      <wp:wrapNone/>
                      <wp:docPr id="1596816468" name="Chart 6">
                        <a:extLst xmlns:a="http://schemas.openxmlformats.org/drawingml/2006/main">
                          <a:ext uri="{FF2B5EF4-FFF2-40B4-BE49-F238E27FC236}">
                            <a16:creationId xmlns:a16="http://schemas.microsoft.com/office/drawing/2014/main" id="{F70A1807-B0FE-4B67-9A5F-CAE5512EAC47}"/>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596816468" name="Chart 6">
                                <a:extLst>
                                  <a:ext uri="{FF2B5EF4-FFF2-40B4-BE49-F238E27FC236}">
                                    <a16:creationId xmlns:a16="http://schemas.microsoft.com/office/drawing/2014/main" id="{F70A1807-B0FE-4B67-9A5F-CAE5512EAC47}"/>
                                  </a:ext>
                                </a:extLst>
                              </pic:cNvPr>
                              <pic:cNvPicPr>
                                <a:picLocks noGrp="1" noRot="1" noChangeAspect="1" noMove="1" noResize="1" noEditPoints="1" noAdjustHandles="1" noChangeArrowheads="1" noChangeShapeType="1"/>
                              </pic:cNvPicPr>
                            </pic:nvPicPr>
                            <pic:blipFill>
                              <a:blip r:embed="rId5"/>
                              <a:stretch>
                                <a:fillRect/>
                              </a:stretch>
                            </pic:blipFill>
                            <pic:spPr>
                              <a:xfrm>
                                <a:off x="0" y="0"/>
                                <a:ext cx="1572895" cy="2103120"/>
                              </a:xfrm>
                              <a:prstGeom prst="rect">
                                <a:avLst/>
                              </a:prstGeom>
                            </pic:spPr>
                          </pic:pic>
                        </a:graphicData>
                      </a:graphic>
                      <wp14:sizeRelH relativeFrom="margin">
                        <wp14:pctWidth>0</wp14:pctWidth>
                      </wp14:sizeRelH>
                      <wp14:sizeRelV relativeFrom="margin">
                        <wp14:pctHeight>0</wp14:pctHeight>
                      </wp14:sizeRelV>
                    </wp:anchor>
                  </w:drawing>
                </mc:Fallback>
              </mc:AlternateContent>
            </w:r>
            <w:r>
              <w:rPr>
                <w:noProof/>
              </w:rPr>
              <w:drawing>
                <wp:anchor distT="0" distB="0" distL="114300" distR="114300" simplePos="0" relativeHeight="251661312" behindDoc="1" locked="0" layoutInCell="1" allowOverlap="1" wp14:anchorId="5EC49434" wp14:editId="0A7ECF7A">
                  <wp:simplePos x="0" y="0"/>
                  <wp:positionH relativeFrom="column">
                    <wp:posOffset>1609725</wp:posOffset>
                  </wp:positionH>
                  <wp:positionV relativeFrom="paragraph">
                    <wp:posOffset>36830</wp:posOffset>
                  </wp:positionV>
                  <wp:extent cx="1676400" cy="2103120"/>
                  <wp:effectExtent l="0" t="0" r="0" b="11430"/>
                  <wp:wrapNone/>
                  <wp:docPr id="498055273" name="Chart 5">
                    <a:extLst xmlns:a="http://schemas.openxmlformats.org/drawingml/2006/main">
                      <a:ext uri="{FF2B5EF4-FFF2-40B4-BE49-F238E27FC236}">
                        <a16:creationId xmlns:a16="http://schemas.microsoft.com/office/drawing/2014/main" id="{BFE36A57-90F2-4A84-BC4C-7D56222AFF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36766AAE" wp14:editId="3115C1CB">
                  <wp:simplePos x="0" y="0"/>
                  <wp:positionH relativeFrom="column">
                    <wp:posOffset>3300095</wp:posOffset>
                  </wp:positionH>
                  <wp:positionV relativeFrom="paragraph">
                    <wp:posOffset>36830</wp:posOffset>
                  </wp:positionV>
                  <wp:extent cx="3237230" cy="2103120"/>
                  <wp:effectExtent l="0" t="0" r="1270" b="11430"/>
                  <wp:wrapNone/>
                  <wp:docPr id="385298506" name="Chart 4">
                    <a:extLst xmlns:a="http://schemas.openxmlformats.org/drawingml/2006/main">
                      <a:ext uri="{FF2B5EF4-FFF2-40B4-BE49-F238E27FC236}">
                        <a16:creationId xmlns:a16="http://schemas.microsoft.com/office/drawing/2014/main" id="{8C007057-AEAE-470B-9FEF-70DF1AF5DC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margin">
                    <wp14:pctWidth>0</wp14:pctWidth>
                  </wp14:sizeRelH>
                  <wp14:sizeRelV relativeFrom="margin">
                    <wp14:pctHeight>0</wp14:pctHeight>
                  </wp14:sizeRelV>
                </wp:anchor>
              </w:drawing>
            </w:r>
          </w:p>
          <w:p w14:paraId="267C7F06" w14:textId="77777777" w:rsidR="00E949BF" w:rsidRDefault="00E949BF">
            <w:pPr>
              <w:tabs>
                <w:tab w:val="left" w:pos="4343"/>
              </w:tabs>
              <w:spacing w:line="240" w:lineRule="auto"/>
              <w:rPr>
                <w:rFonts w:ascii="Times New Roman" w:hAnsi="Times New Roman" w:cs="Times New Roman"/>
                <w:sz w:val="24"/>
                <w:szCs w:val="24"/>
              </w:rPr>
            </w:pPr>
            <w:r>
              <w:rPr>
                <w:rFonts w:ascii="Times New Roman" w:hAnsi="Times New Roman" w:cs="Times New Roman"/>
                <w:sz w:val="24"/>
                <w:szCs w:val="24"/>
              </w:rPr>
              <w:tab/>
            </w:r>
          </w:p>
        </w:tc>
      </w:tr>
      <w:tr w:rsidR="00E949BF" w14:paraId="55B14AC8" w14:textId="77777777">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5B3D31ED" w14:textId="77777777" w:rsidR="00E949BF" w:rsidRDefault="00E949BF">
            <w:pPr>
              <w:spacing w:line="240" w:lineRule="auto"/>
              <w:jc w:val="center"/>
              <w:rPr>
                <w:rFonts w:ascii="Times New Roman" w:hAnsi="Times New Roman" w:cs="Times New Roman"/>
                <w:b/>
                <w:bCs/>
                <w:sz w:val="24"/>
                <w:szCs w:val="24"/>
              </w:rPr>
            </w:pPr>
            <w:r>
              <w:rPr>
                <w:rFonts w:ascii="Times New Roman" w:eastAsia="Times New Roman" w:hAnsi="Times New Roman" w:cs="Times New Roman"/>
                <w:b/>
                <w:bCs/>
                <w:kern w:val="0"/>
                <w:sz w:val="24"/>
                <w:szCs w:val="24"/>
                <w:lang w:eastAsia="en-IN"/>
                <w14:ligatures w14:val="none"/>
              </w:rPr>
              <w:t>Qualitative Findings (QUAL): Themes</w:t>
            </w:r>
          </w:p>
        </w:tc>
      </w:tr>
      <w:tr w:rsidR="00E949BF" w14:paraId="12BED76A" w14:textId="77777777">
        <w:trPr>
          <w:trHeight w:val="1780"/>
        </w:trPr>
        <w:tc>
          <w:tcPr>
            <w:tcW w:w="5000" w:type="pct"/>
            <w:tcBorders>
              <w:top w:val="single" w:sz="4" w:space="0" w:color="auto"/>
              <w:left w:val="single" w:sz="4" w:space="0" w:color="auto"/>
              <w:bottom w:val="single" w:sz="4" w:space="0" w:color="auto"/>
              <w:right w:val="single" w:sz="4" w:space="0" w:color="auto"/>
            </w:tcBorders>
            <w:hideMark/>
          </w:tcPr>
          <w:p w14:paraId="0D8EB3E6" w14:textId="77777777" w:rsidR="00E949BF" w:rsidRDefault="00E949BF">
            <w:pPr>
              <w:spacing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 xml:space="preserve">Theme </w:t>
            </w:r>
            <w:proofErr w:type="gramStart"/>
            <w:r>
              <w:rPr>
                <w:rFonts w:ascii="Times New Roman" w:hAnsi="Times New Roman" w:cs="Times New Roman"/>
                <w:color w:val="00B0F0"/>
                <w:sz w:val="24"/>
                <w:szCs w:val="24"/>
              </w:rPr>
              <w:t>2:Family</w:t>
            </w:r>
            <w:proofErr w:type="gramEnd"/>
            <w:r>
              <w:rPr>
                <w:rFonts w:ascii="Times New Roman" w:hAnsi="Times New Roman" w:cs="Times New Roman"/>
                <w:color w:val="00B0F0"/>
                <w:sz w:val="24"/>
                <w:szCs w:val="24"/>
              </w:rPr>
              <w:t xml:space="preserve"> pressure and lack of autonomy.</w:t>
            </w:r>
          </w:p>
          <w:p w14:paraId="36983ED8" w14:textId="77777777" w:rsidR="00E949BF" w:rsidRDefault="00E949BF">
            <w:pPr>
              <w:spacing w:line="240" w:lineRule="auto"/>
              <w:rPr>
                <w:rFonts w:ascii="Times New Roman" w:hAnsi="Times New Roman" w:cs="Times New Roman"/>
                <w:color w:val="BF4E14" w:themeColor="accent2" w:themeShade="BF"/>
                <w:sz w:val="24"/>
                <w:szCs w:val="24"/>
              </w:rPr>
            </w:pPr>
            <w:r>
              <w:rPr>
                <w:rFonts w:ascii="Times New Roman" w:hAnsi="Times New Roman" w:cs="Times New Roman"/>
                <w:color w:val="BF4E14" w:themeColor="accent2" w:themeShade="BF"/>
                <w:sz w:val="24"/>
                <w:szCs w:val="24"/>
              </w:rPr>
              <w:t xml:space="preserve">Theme </w:t>
            </w:r>
            <w:proofErr w:type="gramStart"/>
            <w:r>
              <w:rPr>
                <w:rFonts w:ascii="Times New Roman" w:hAnsi="Times New Roman" w:cs="Times New Roman"/>
                <w:color w:val="BF4E14" w:themeColor="accent2" w:themeShade="BF"/>
                <w:sz w:val="24"/>
                <w:szCs w:val="24"/>
              </w:rPr>
              <w:t>3:Preferred</w:t>
            </w:r>
            <w:proofErr w:type="gramEnd"/>
            <w:r>
              <w:rPr>
                <w:rFonts w:ascii="Times New Roman" w:hAnsi="Times New Roman" w:cs="Times New Roman"/>
                <w:color w:val="BF4E14" w:themeColor="accent2" w:themeShade="BF"/>
                <w:sz w:val="24"/>
                <w:szCs w:val="24"/>
              </w:rPr>
              <w:t xml:space="preserve"> age and education linkage.</w:t>
            </w:r>
          </w:p>
          <w:p w14:paraId="09AFB878" w14:textId="77777777" w:rsidR="00E949BF" w:rsidRDefault="00E949BF">
            <w:pPr>
              <w:spacing w:line="240" w:lineRule="auto"/>
              <w:rPr>
                <w:rFonts w:ascii="Times New Roman" w:hAnsi="Times New Roman" w:cs="Times New Roman"/>
                <w:color w:val="275317" w:themeColor="accent6" w:themeShade="80"/>
                <w:sz w:val="24"/>
                <w:szCs w:val="24"/>
              </w:rPr>
            </w:pPr>
            <w:r>
              <w:rPr>
                <w:rFonts w:ascii="Times New Roman" w:hAnsi="Times New Roman" w:cs="Times New Roman"/>
                <w:color w:val="808080" w:themeColor="background1" w:themeShade="80"/>
                <w:sz w:val="24"/>
                <w:szCs w:val="24"/>
              </w:rPr>
              <w:t xml:space="preserve">Theme </w:t>
            </w:r>
            <w:proofErr w:type="gramStart"/>
            <w:r>
              <w:rPr>
                <w:rFonts w:ascii="Times New Roman" w:hAnsi="Times New Roman" w:cs="Times New Roman"/>
                <w:color w:val="808080" w:themeColor="background1" w:themeShade="80"/>
                <w:sz w:val="24"/>
                <w:szCs w:val="24"/>
              </w:rPr>
              <w:t>4:Educational</w:t>
            </w:r>
            <w:proofErr w:type="gramEnd"/>
            <w:r>
              <w:rPr>
                <w:rFonts w:ascii="Times New Roman" w:hAnsi="Times New Roman" w:cs="Times New Roman"/>
                <w:color w:val="808080" w:themeColor="background1" w:themeShade="80"/>
                <w:sz w:val="24"/>
                <w:szCs w:val="24"/>
              </w:rPr>
              <w:t xml:space="preserve"> disruption.</w:t>
            </w:r>
          </w:p>
          <w:p w14:paraId="35447876" w14:textId="77777777" w:rsidR="00E949BF" w:rsidRDefault="00E949BF">
            <w:pPr>
              <w:spacing w:line="240" w:lineRule="auto"/>
              <w:rPr>
                <w:rFonts w:ascii="Times New Roman" w:hAnsi="Times New Roman" w:cs="Times New Roman"/>
                <w:color w:val="EE0000"/>
                <w:sz w:val="24"/>
                <w:szCs w:val="24"/>
              </w:rPr>
            </w:pPr>
            <w:r>
              <w:rPr>
                <w:rFonts w:ascii="Times New Roman" w:hAnsi="Times New Roman" w:cs="Times New Roman"/>
                <w:color w:val="EE0000"/>
                <w:sz w:val="24"/>
                <w:szCs w:val="24"/>
              </w:rPr>
              <w:t xml:space="preserve">Theme </w:t>
            </w:r>
            <w:proofErr w:type="gramStart"/>
            <w:r>
              <w:rPr>
                <w:rFonts w:ascii="Times New Roman" w:hAnsi="Times New Roman" w:cs="Times New Roman"/>
                <w:color w:val="EE0000"/>
                <w:sz w:val="24"/>
                <w:szCs w:val="24"/>
              </w:rPr>
              <w:t>6:Economic</w:t>
            </w:r>
            <w:proofErr w:type="gramEnd"/>
            <w:r>
              <w:rPr>
                <w:rFonts w:ascii="Times New Roman" w:hAnsi="Times New Roman" w:cs="Times New Roman"/>
                <w:color w:val="EE0000"/>
                <w:sz w:val="24"/>
                <w:szCs w:val="24"/>
              </w:rPr>
              <w:t xml:space="preserve"> dependency.</w:t>
            </w:r>
          </w:p>
          <w:p w14:paraId="1ECE086F" w14:textId="77777777" w:rsidR="00E949BF" w:rsidRDefault="00E949BF">
            <w:pPr>
              <w:spacing w:line="240" w:lineRule="auto"/>
              <w:rPr>
                <w:rFonts w:ascii="Times New Roman" w:hAnsi="Times New Roman" w:cs="Times New Roman"/>
                <w:color w:val="156082" w:themeColor="accent1"/>
                <w:sz w:val="24"/>
                <w:szCs w:val="24"/>
              </w:rPr>
            </w:pPr>
            <w:r>
              <w:rPr>
                <w:rFonts w:ascii="Times New Roman" w:hAnsi="Times New Roman" w:cs="Times New Roman"/>
                <w:color w:val="156082" w:themeColor="accent1"/>
                <w:sz w:val="24"/>
                <w:szCs w:val="24"/>
              </w:rPr>
              <w:t>Theme 8: Early motherhood challenges.</w:t>
            </w:r>
          </w:p>
          <w:p w14:paraId="61263B53" w14:textId="77777777" w:rsidR="00E949BF" w:rsidRDefault="00E949BF">
            <w:pPr>
              <w:spacing w:line="240" w:lineRule="auto"/>
              <w:rPr>
                <w:rFonts w:ascii="Times New Roman" w:hAnsi="Times New Roman" w:cs="Times New Roman"/>
                <w:b/>
                <w:bCs/>
                <w:sz w:val="24"/>
                <w:szCs w:val="24"/>
              </w:rPr>
            </w:pPr>
            <w:r>
              <w:rPr>
                <w:rFonts w:ascii="Times New Roman" w:hAnsi="Times New Roman" w:cs="Times New Roman"/>
                <w:color w:val="0F9ED5" w:themeColor="accent4"/>
                <w:sz w:val="24"/>
                <w:szCs w:val="24"/>
              </w:rPr>
              <w:t xml:space="preserve">Theme </w:t>
            </w:r>
            <w:proofErr w:type="gramStart"/>
            <w:r>
              <w:rPr>
                <w:rFonts w:ascii="Times New Roman" w:hAnsi="Times New Roman" w:cs="Times New Roman"/>
                <w:color w:val="0F9ED5" w:themeColor="accent4"/>
                <w:sz w:val="24"/>
                <w:szCs w:val="24"/>
              </w:rPr>
              <w:t>9:Aspiration</w:t>
            </w:r>
            <w:proofErr w:type="gramEnd"/>
            <w:r>
              <w:rPr>
                <w:rFonts w:ascii="Times New Roman" w:hAnsi="Times New Roman" w:cs="Times New Roman"/>
                <w:color w:val="0F9ED5" w:themeColor="accent4"/>
                <w:sz w:val="24"/>
                <w:szCs w:val="24"/>
              </w:rPr>
              <w:t xml:space="preserve"> for delayed marriage</w:t>
            </w:r>
          </w:p>
        </w:tc>
      </w:tr>
      <w:tr w:rsidR="00E949BF" w14:paraId="3B5541EA" w14:textId="77777777">
        <w:tc>
          <w:tcPr>
            <w:tcW w:w="5000" w:type="pct"/>
            <w:tcBorders>
              <w:top w:val="single" w:sz="4" w:space="0" w:color="auto"/>
              <w:left w:val="single" w:sz="4" w:space="0" w:color="auto"/>
              <w:bottom w:val="single" w:sz="4" w:space="0" w:color="auto"/>
              <w:right w:val="single" w:sz="4" w:space="0" w:color="auto"/>
            </w:tcBorders>
            <w:shd w:val="clear" w:color="auto" w:fill="C1E4F5" w:themeFill="accent1" w:themeFillTint="33"/>
            <w:hideMark/>
          </w:tcPr>
          <w:p w14:paraId="3E5AC570" w14:textId="77777777" w:rsidR="00E949BF" w:rsidRDefault="00E949BF">
            <w:pPr>
              <w:spacing w:line="240" w:lineRule="auto"/>
              <w:jc w:val="center"/>
              <w:rPr>
                <w:rFonts w:ascii="Times New Roman" w:hAnsi="Times New Roman" w:cs="Times New Roman"/>
                <w:b/>
                <w:bCs/>
                <w:sz w:val="24"/>
                <w:szCs w:val="24"/>
              </w:rPr>
            </w:pPr>
            <w:r>
              <w:rPr>
                <w:rFonts w:ascii="Times New Roman" w:eastAsia="Times New Roman" w:hAnsi="Times New Roman" w:cs="Times New Roman"/>
                <w:b/>
                <w:bCs/>
                <w:kern w:val="0"/>
                <w:sz w:val="24"/>
                <w:szCs w:val="24"/>
                <w:lang w:eastAsia="en-IN"/>
                <w14:ligatures w14:val="none"/>
              </w:rPr>
              <w:t>Integrated Interpretation :(QUAN+QUAL)</w:t>
            </w:r>
          </w:p>
        </w:tc>
      </w:tr>
      <w:tr w:rsidR="00E949BF" w14:paraId="1C4D17E1" w14:textId="77777777">
        <w:trPr>
          <w:trHeight w:val="2674"/>
        </w:trPr>
        <w:tc>
          <w:tcPr>
            <w:tcW w:w="5000" w:type="pct"/>
            <w:tcBorders>
              <w:top w:val="single" w:sz="4" w:space="0" w:color="auto"/>
              <w:left w:val="single" w:sz="4" w:space="0" w:color="auto"/>
              <w:bottom w:val="single" w:sz="4" w:space="0" w:color="auto"/>
              <w:right w:val="single" w:sz="4" w:space="0" w:color="auto"/>
            </w:tcBorders>
            <w:hideMark/>
          </w:tcPr>
          <w:p w14:paraId="50CE7AE2" w14:textId="77777777" w:rsidR="00E949BF" w:rsidRDefault="00E949BF">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The quantitative findings on occupation, education, and number of children show that most under-19 girls are engaged as housewives, have limited educational attainment, and many have already entered motherhood. This reflects Theme 2, in which family influences shape life choices, and Themes 3 and 4, which indicate that marriage often leads to the interruption or discontinuation of education. The dominance of housewifery and low participation in income-generating activities align with Theme 6, highlighting economic dependency. The presence of children among these girls further supports Theme 8, showing early entry into motherhood with associated challenges. At the same time, Theme 9 suggests that despite these conditions, some girls express a desire to delay marriage, indicating awareness and emerging aspirations beyond existing social constraints.</w:t>
            </w:r>
          </w:p>
        </w:tc>
      </w:tr>
    </w:tbl>
    <w:p w14:paraId="5499DC2B" w14:textId="77777777" w:rsidR="00E949BF" w:rsidRDefault="00E949BF" w:rsidP="00E949BF">
      <w:pPr>
        <w:tabs>
          <w:tab w:val="left" w:pos="1056"/>
        </w:tabs>
        <w:rPr>
          <w:rFonts w:ascii="Times New Roman" w:hAnsi="Times New Roman" w:cs="Times New Roman"/>
          <w:b/>
          <w:bCs/>
          <w:sz w:val="24"/>
          <w:szCs w:val="24"/>
        </w:rPr>
      </w:pPr>
    </w:p>
    <w:p w14:paraId="6C3206A9" w14:textId="77777777" w:rsidR="00767E38" w:rsidRDefault="00767E38"/>
    <w:sectPr w:rsidR="00767E38" w:rsidSect="00E949B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9BF"/>
    <w:rsid w:val="002D1B94"/>
    <w:rsid w:val="00767E38"/>
    <w:rsid w:val="00866F7D"/>
    <w:rsid w:val="00E949BF"/>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BE950"/>
  <w15:chartTrackingRefBased/>
  <w15:docId w15:val="{1A5D54C5-A77E-452D-8847-100A09435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9BF"/>
    <w:pPr>
      <w:spacing w:line="256" w:lineRule="auto"/>
    </w:pPr>
    <w:rPr>
      <w:sz w:val="22"/>
      <w:szCs w:val="22"/>
    </w:rPr>
  </w:style>
  <w:style w:type="paragraph" w:styleId="Heading1">
    <w:name w:val="heading 1"/>
    <w:basedOn w:val="Normal"/>
    <w:next w:val="Normal"/>
    <w:link w:val="Heading1Char"/>
    <w:uiPriority w:val="9"/>
    <w:qFormat/>
    <w:rsid w:val="00E949BF"/>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49BF"/>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49BF"/>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49BF"/>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E949BF"/>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E949BF"/>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E949BF"/>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E949BF"/>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E949BF"/>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49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49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49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49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49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49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49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49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49BF"/>
    <w:rPr>
      <w:rFonts w:eastAsiaTheme="majorEastAsia" w:cstheme="majorBidi"/>
      <w:color w:val="272727" w:themeColor="text1" w:themeTint="D8"/>
    </w:rPr>
  </w:style>
  <w:style w:type="paragraph" w:styleId="Title">
    <w:name w:val="Title"/>
    <w:basedOn w:val="Normal"/>
    <w:next w:val="Normal"/>
    <w:link w:val="TitleChar"/>
    <w:uiPriority w:val="10"/>
    <w:qFormat/>
    <w:rsid w:val="00E949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49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49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49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49BF"/>
    <w:pPr>
      <w:spacing w:before="160"/>
      <w:jc w:val="center"/>
    </w:pPr>
    <w:rPr>
      <w:i/>
      <w:iCs/>
      <w:color w:val="404040" w:themeColor="text1" w:themeTint="BF"/>
    </w:rPr>
  </w:style>
  <w:style w:type="character" w:customStyle="1" w:styleId="QuoteChar">
    <w:name w:val="Quote Char"/>
    <w:basedOn w:val="DefaultParagraphFont"/>
    <w:link w:val="Quote"/>
    <w:uiPriority w:val="29"/>
    <w:rsid w:val="00E949BF"/>
    <w:rPr>
      <w:i/>
      <w:iCs/>
      <w:color w:val="404040" w:themeColor="text1" w:themeTint="BF"/>
    </w:rPr>
  </w:style>
  <w:style w:type="paragraph" w:styleId="ListParagraph">
    <w:name w:val="List Paragraph"/>
    <w:basedOn w:val="Normal"/>
    <w:uiPriority w:val="34"/>
    <w:qFormat/>
    <w:rsid w:val="00E949BF"/>
    <w:pPr>
      <w:ind w:left="720"/>
      <w:contextualSpacing/>
    </w:pPr>
  </w:style>
  <w:style w:type="character" w:styleId="IntenseEmphasis">
    <w:name w:val="Intense Emphasis"/>
    <w:basedOn w:val="DefaultParagraphFont"/>
    <w:uiPriority w:val="21"/>
    <w:qFormat/>
    <w:rsid w:val="00E949BF"/>
    <w:rPr>
      <w:i/>
      <w:iCs/>
      <w:color w:val="0F4761" w:themeColor="accent1" w:themeShade="BF"/>
    </w:rPr>
  </w:style>
  <w:style w:type="paragraph" w:styleId="IntenseQuote">
    <w:name w:val="Intense Quote"/>
    <w:basedOn w:val="Normal"/>
    <w:next w:val="Normal"/>
    <w:link w:val="IntenseQuoteChar"/>
    <w:uiPriority w:val="30"/>
    <w:qFormat/>
    <w:rsid w:val="00E949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49BF"/>
    <w:rPr>
      <w:i/>
      <w:iCs/>
      <w:color w:val="0F4761" w:themeColor="accent1" w:themeShade="BF"/>
    </w:rPr>
  </w:style>
  <w:style w:type="character" w:styleId="IntenseReference">
    <w:name w:val="Intense Reference"/>
    <w:basedOn w:val="DefaultParagraphFont"/>
    <w:uiPriority w:val="32"/>
    <w:qFormat/>
    <w:rsid w:val="00E949BF"/>
    <w:rPr>
      <w:b/>
      <w:bCs/>
      <w:smallCaps/>
      <w:color w:val="0F4761" w:themeColor="accent1" w:themeShade="BF"/>
      <w:spacing w:val="5"/>
    </w:rPr>
  </w:style>
  <w:style w:type="table" w:styleId="TableGrid">
    <w:name w:val="Table Grid"/>
    <w:basedOn w:val="TableNormal"/>
    <w:uiPriority w:val="39"/>
    <w:rsid w:val="00E949BF"/>
    <w:pPr>
      <w:spacing w:after="0" w:line="240" w:lineRule="auto"/>
    </w:pPr>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image" Target="media/image1.png"/><Relationship Id="rId4" Type="http://schemas.microsoft.com/office/2014/relationships/chartEx" Target="charts/chartEx1.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1.xlsx"/></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Rajdip\Desktop\UNDER%2019\QUAN%20+%20QUAL%20%20DATA.xlsx" TargetMode="External"/><Relationship Id="rId4"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IN" sz="1100" b="0" i="0" u="none" strike="noStrike" baseline="0">
                <a:solidFill>
                  <a:schemeClr val="tx1"/>
                </a:solidFill>
                <a:latin typeface="Times New Roman" panose="02020603050405020304" pitchFamily="18" charset="0"/>
                <a:cs typeface="Times New Roman" panose="02020603050405020304" pitchFamily="18" charset="0"/>
              </a:rPr>
              <a:t>Figure 6: Number of Children Among Under-19 Girls (n = 20)</a:t>
            </a:r>
            <a:endParaRPr lang="en-US" sz="1100" b="0">
              <a:solidFill>
                <a:schemeClr val="tx1"/>
              </a:solidFill>
              <a:latin typeface="Times New Roman" panose="02020603050405020304" pitchFamily="18" charset="0"/>
              <a:cs typeface="Times New Roman" panose="02020603050405020304" pitchFamily="18" charset="0"/>
            </a:endParaRPr>
          </a:p>
        </c:rich>
      </c:tx>
      <c:layout>
        <c:manualLayout>
          <c:xMode val="edge"/>
          <c:yMode val="edge"/>
          <c:x val="8.9236001749781274E-2"/>
          <c:y val="1.8518518518518517E-2"/>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FIGURE!$D$24</c:f>
              <c:strCache>
                <c:ptCount val="1"/>
                <c:pt idx="0">
                  <c:v>Percent (%)</c:v>
                </c:pt>
              </c:strCache>
            </c:strRef>
          </c:tx>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46A8-4163-A122-7EB08C206F48}"/>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46A8-4163-A122-7EB08C206F48}"/>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46A8-4163-A122-7EB08C206F4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0"/>
            <c:showCatName val="0"/>
            <c:showSerName val="0"/>
            <c:showPercent val="1"/>
            <c:showBubbleSize val="0"/>
            <c:showLeaderLines val="0"/>
            <c:extLst>
              <c:ext xmlns:c15="http://schemas.microsoft.com/office/drawing/2012/chart" uri="{CE6537A1-D6FC-4f65-9D91-7224C49458BB}"/>
            </c:extLst>
          </c:dLbls>
          <c:cat>
            <c:strRef>
              <c:f>FIGURE!$C$25:$C$27</c:f>
              <c:strCache>
                <c:ptCount val="3"/>
                <c:pt idx="0">
                  <c:v>0</c:v>
                </c:pt>
                <c:pt idx="1">
                  <c:v>1</c:v>
                </c:pt>
                <c:pt idx="2">
                  <c:v>2–3</c:v>
                </c:pt>
              </c:strCache>
            </c:strRef>
          </c:cat>
          <c:val>
            <c:numRef>
              <c:f>FIGURE!$D$25:$D$27</c:f>
              <c:numCache>
                <c:formatCode>General</c:formatCode>
                <c:ptCount val="3"/>
                <c:pt idx="0">
                  <c:v>65</c:v>
                </c:pt>
                <c:pt idx="1">
                  <c:v>30</c:v>
                </c:pt>
                <c:pt idx="2">
                  <c:v>5</c:v>
                </c:pt>
              </c:numCache>
            </c:numRef>
          </c:val>
          <c:extLst>
            <c:ext xmlns:c16="http://schemas.microsoft.com/office/drawing/2014/chart" uri="{C3380CC4-5D6E-409C-BE32-E72D297353CC}">
              <c16:uniqueId val="{00000006-46A8-4163-A122-7EB08C206F48}"/>
            </c:ext>
          </c:extLst>
        </c:ser>
        <c:dLbls>
          <c:dLblPos val="inEnd"/>
          <c:showLegendKey val="0"/>
          <c:showVal val="0"/>
          <c:showCatName val="0"/>
          <c:showSerName val="0"/>
          <c:showPercent val="1"/>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sz="1100" b="0" i="0" u="none" strike="noStrike" baseline="0">
                <a:solidFill>
                  <a:sysClr val="windowText" lastClr="000000"/>
                </a:solidFill>
                <a:latin typeface="Times New Roman" panose="02020603050405020304" pitchFamily="18" charset="0"/>
                <a:cs typeface="Times New Roman" panose="02020603050405020304" pitchFamily="18" charset="0"/>
              </a:rPr>
              <a:t>Figure 4: Educational Status of Under-19 Girls (n = 20)</a:t>
            </a:r>
            <a:endParaRPr lang="en-IN" sz="1100">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IN"/>
        </a:p>
      </c:txPr>
    </c:title>
    <c:autoTitleDeleted val="0"/>
    <c:plotArea>
      <c:layout>
        <c:manualLayout>
          <c:layoutTarget val="inner"/>
          <c:xMode val="edge"/>
          <c:yMode val="edge"/>
          <c:x val="0.12873622047244093"/>
          <c:y val="0.19466211301900513"/>
          <c:w val="0.74348600174978141"/>
          <c:h val="0.50693392241632451"/>
        </c:manualLayout>
      </c:layout>
      <c:barChart>
        <c:barDir val="col"/>
        <c:grouping val="clustered"/>
        <c:varyColors val="0"/>
        <c:ser>
          <c:idx val="0"/>
          <c:order val="0"/>
          <c:tx>
            <c:strRef>
              <c:f>FIGURE!$C$16</c:f>
              <c:strCache>
                <c:ptCount val="1"/>
                <c:pt idx="0">
                  <c:v>No formal education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FIGURE!$D$15</c:f>
              <c:strCache>
                <c:ptCount val="1"/>
                <c:pt idx="0">
                  <c:v>Percent (%)</c:v>
                </c:pt>
              </c:strCache>
            </c:strRef>
          </c:cat>
          <c:val>
            <c:numRef>
              <c:f>FIGURE!$D$16</c:f>
              <c:numCache>
                <c:formatCode>General</c:formatCode>
                <c:ptCount val="1"/>
                <c:pt idx="0">
                  <c:v>15</c:v>
                </c:pt>
              </c:numCache>
            </c:numRef>
          </c:val>
          <c:extLst>
            <c:ext xmlns:c16="http://schemas.microsoft.com/office/drawing/2014/chart" uri="{C3380CC4-5D6E-409C-BE32-E72D297353CC}">
              <c16:uniqueId val="{00000000-D6D4-4295-880E-1DB1DA98FCC8}"/>
            </c:ext>
          </c:extLst>
        </c:ser>
        <c:ser>
          <c:idx val="1"/>
          <c:order val="1"/>
          <c:tx>
            <c:strRef>
              <c:f>FIGURE!$C$17</c:f>
              <c:strCache>
                <c:ptCount val="1"/>
                <c:pt idx="0">
                  <c:v>Primary School(1–4)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FIGURE!$D$15</c:f>
              <c:strCache>
                <c:ptCount val="1"/>
                <c:pt idx="0">
                  <c:v>Percent (%)</c:v>
                </c:pt>
              </c:strCache>
            </c:strRef>
          </c:cat>
          <c:val>
            <c:numRef>
              <c:f>FIGURE!$D$17</c:f>
              <c:numCache>
                <c:formatCode>General</c:formatCode>
                <c:ptCount val="1"/>
                <c:pt idx="0">
                  <c:v>10</c:v>
                </c:pt>
              </c:numCache>
            </c:numRef>
          </c:val>
          <c:extLst>
            <c:ext xmlns:c16="http://schemas.microsoft.com/office/drawing/2014/chart" uri="{C3380CC4-5D6E-409C-BE32-E72D297353CC}">
              <c16:uniqueId val="{00000001-D6D4-4295-880E-1DB1DA98FCC8}"/>
            </c:ext>
          </c:extLst>
        </c:ser>
        <c:ser>
          <c:idx val="2"/>
          <c:order val="2"/>
          <c:tx>
            <c:strRef>
              <c:f>FIGURE!$C$18</c:f>
              <c:strCache>
                <c:ptCount val="1"/>
                <c:pt idx="0">
                  <c:v>Secondary School(5-10)</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FIGURE!$D$15</c:f>
              <c:strCache>
                <c:ptCount val="1"/>
                <c:pt idx="0">
                  <c:v>Percent (%)</c:v>
                </c:pt>
              </c:strCache>
            </c:strRef>
          </c:cat>
          <c:val>
            <c:numRef>
              <c:f>FIGURE!$D$18</c:f>
              <c:numCache>
                <c:formatCode>General</c:formatCode>
                <c:ptCount val="1"/>
                <c:pt idx="0">
                  <c:v>50</c:v>
                </c:pt>
              </c:numCache>
            </c:numRef>
          </c:val>
          <c:extLst>
            <c:ext xmlns:c16="http://schemas.microsoft.com/office/drawing/2014/chart" uri="{C3380CC4-5D6E-409C-BE32-E72D297353CC}">
              <c16:uniqueId val="{00000002-D6D4-4295-880E-1DB1DA98FCC8}"/>
            </c:ext>
          </c:extLst>
        </c:ser>
        <c:ser>
          <c:idx val="3"/>
          <c:order val="3"/>
          <c:tx>
            <c:strRef>
              <c:f>FIGURE!$C$19</c:f>
              <c:strCache>
                <c:ptCount val="1"/>
                <c:pt idx="0">
                  <c:v>High School (11–12)</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FIGURE!$D$15</c:f>
              <c:strCache>
                <c:ptCount val="1"/>
                <c:pt idx="0">
                  <c:v>Percent (%)</c:v>
                </c:pt>
              </c:strCache>
            </c:strRef>
          </c:cat>
          <c:val>
            <c:numRef>
              <c:f>FIGURE!$D$19</c:f>
              <c:numCache>
                <c:formatCode>General</c:formatCode>
                <c:ptCount val="1"/>
                <c:pt idx="0">
                  <c:v>25</c:v>
                </c:pt>
              </c:numCache>
            </c:numRef>
          </c:val>
          <c:extLst>
            <c:ext xmlns:c16="http://schemas.microsoft.com/office/drawing/2014/chart" uri="{C3380CC4-5D6E-409C-BE32-E72D297353CC}">
              <c16:uniqueId val="{00000003-D6D4-4295-880E-1DB1DA98FCC8}"/>
            </c:ext>
          </c:extLst>
        </c:ser>
        <c:dLbls>
          <c:dLblPos val="outEnd"/>
          <c:showLegendKey val="0"/>
          <c:showVal val="1"/>
          <c:showCatName val="0"/>
          <c:showSerName val="0"/>
          <c:showPercent val="0"/>
          <c:showBubbleSize val="0"/>
        </c:dLbls>
        <c:gapWidth val="219"/>
        <c:overlap val="-27"/>
        <c:axId val="2025862447"/>
        <c:axId val="2025866287"/>
      </c:barChart>
      <c:catAx>
        <c:axId val="2025862447"/>
        <c:scaling>
          <c:orientation val="minMax"/>
        </c:scaling>
        <c:delete val="1"/>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IN" sz="900">
                    <a:latin typeface="Times New Roman" panose="02020603050405020304" pitchFamily="18" charset="0"/>
                    <a:cs typeface="Times New Roman" panose="02020603050405020304" pitchFamily="18" charset="0"/>
                  </a:rPr>
                  <a:t>Education</a:t>
                </a:r>
                <a:r>
                  <a:rPr lang="en-IN" sz="900" baseline="0">
                    <a:latin typeface="Times New Roman" panose="02020603050405020304" pitchFamily="18" charset="0"/>
                    <a:cs typeface="Times New Roman" panose="02020603050405020304" pitchFamily="18" charset="0"/>
                  </a:rPr>
                  <a:t> level</a:t>
                </a:r>
                <a:endParaRPr lang="en-IN" sz="9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IN"/>
            </a:p>
          </c:txPr>
        </c:title>
        <c:numFmt formatCode="General" sourceLinked="1"/>
        <c:majorTickMark val="out"/>
        <c:minorTickMark val="none"/>
        <c:tickLblPos val="nextTo"/>
        <c:crossAx val="2025866287"/>
        <c:crosses val="autoZero"/>
        <c:auto val="1"/>
        <c:lblAlgn val="ctr"/>
        <c:lblOffset val="100"/>
        <c:noMultiLvlLbl val="0"/>
      </c:catAx>
      <c:valAx>
        <c:axId val="2025866287"/>
        <c:scaling>
          <c:orientation val="minMax"/>
        </c:scaling>
        <c:delete val="1"/>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900">
                    <a:latin typeface="Times New Roman" panose="02020603050405020304" pitchFamily="18" charset="0"/>
                    <a:cs typeface="Times New Roman" panose="02020603050405020304" pitchFamily="18" charset="0"/>
                  </a:rPr>
                  <a:t>Percent</a:t>
                </a:r>
                <a:r>
                  <a:rPr lang="en-US" sz="900" baseline="0">
                    <a:latin typeface="Times New Roman" panose="02020603050405020304" pitchFamily="18" charset="0"/>
                    <a:cs typeface="Times New Roman" panose="02020603050405020304" pitchFamily="18" charset="0"/>
                  </a:rPr>
                  <a:t> %</a:t>
                </a:r>
                <a:endParaRPr lang="en-US" sz="900">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crossAx val="2025862447"/>
        <c:crosses val="autoZero"/>
        <c:crossBetween val="between"/>
      </c:valAx>
      <c:spPr>
        <a:noFill/>
        <a:ln w="25400">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FIGURE!$C$11:$C$14</cx:f>
        <cx:lvl ptCount="4">
          <cx:pt idx="0">Housewife</cx:pt>
          <cx:pt idx="1">Farmer</cx:pt>
          <cx:pt idx="2">Merchant</cx:pt>
          <cx:pt idx="3">Daily worker</cx:pt>
        </cx:lvl>
      </cx:strDim>
      <cx:numDim type="val">
        <cx:f>FIGURE!$D$11:$D$14</cx:f>
        <cx:lvl ptCount="4" formatCode="General">
          <cx:pt idx="0">60</cx:pt>
          <cx:pt idx="1">15</cx:pt>
          <cx:pt idx="2">5</cx:pt>
          <cx:pt idx="3">20</cx:pt>
        </cx:lvl>
      </cx:numDim>
    </cx:data>
  </cx:chartData>
  <cx:chart>
    <cx:title pos="t" align="ctr" overlay="0">
      <cx:tx>
        <cx:txData>
          <cx:v>Figure 3:Occupational Distribution of Under -19 Girls(n=20)</cx:v>
        </cx:txData>
      </cx:tx>
      <cx:txPr>
        <a:bodyPr spcFirstLastPara="1" vertOverflow="ellipsis" horzOverflow="overflow" wrap="square" lIns="0" tIns="0" rIns="0" bIns="0" anchor="ctr" anchorCtr="1"/>
        <a:lstStyle/>
        <a:p>
          <a:pPr algn="ctr" rtl="0">
            <a:defRPr sz="1050">
              <a:latin typeface="Times New Roman" panose="02020603050405020304" pitchFamily="18" charset="0"/>
              <a:ea typeface="Times New Roman" panose="02020603050405020304" pitchFamily="18" charset="0"/>
              <a:cs typeface="Times New Roman" panose="02020603050405020304" pitchFamily="18" charset="0"/>
            </a:defRPr>
          </a:pPr>
          <a:r>
            <a:rPr lang="en-US" sz="1100" b="0" i="0" u="none" strike="noStrike" baseline="0">
              <a:solidFill>
                <a:schemeClr val="tx1"/>
              </a:solidFill>
              <a:latin typeface="Times New Roman" panose="02020603050405020304" pitchFamily="18" charset="0"/>
              <a:cs typeface="Times New Roman" panose="02020603050405020304" pitchFamily="18" charset="0"/>
            </a:rPr>
            <a:t>Figure 3:Occupational Distribution of Under -19 Girls(n=20)</a:t>
          </a:r>
        </a:p>
      </cx:txPr>
    </cx:title>
    <cx:plotArea>
      <cx:plotAreaRegion>
        <cx:series layoutId="funnel" uniqueId="{BDC8380A-7C74-4F47-BBC9-E788BBB84039}">
          <cx:tx>
            <cx:txData>
              <cx:f>FIGURE!$D$10</cx:f>
              <cx:v>Percent (%)</cx:v>
            </cx:txData>
          </cx:tx>
          <cx:spPr>
            <a:solidFill>
              <a:schemeClr val="accent5">
                <a:lumMod val="75000"/>
              </a:schemeClr>
            </a:solidFill>
            <a:ln>
              <a:solidFill>
                <a:schemeClr val="bg1"/>
              </a:solidFill>
            </a:ln>
          </cx:spPr>
          <cx:dataLabels>
            <cx:visibility seriesName="0" categoryName="0" value="1"/>
          </cx:dataLabels>
          <cx:dataId val="0"/>
        </cx:series>
      </cx:plotAreaRegion>
      <cx:axis id="0">
        <cx:catScaling gapWidth="0.0599999987"/>
        <cx:tickLabels/>
        <cx:txPr>
          <a:bodyPr spcFirstLastPara="1" vertOverflow="ellipsis" horzOverflow="overflow" wrap="square" lIns="0" tIns="0" rIns="0" bIns="0" anchor="ctr" anchorCtr="1"/>
          <a:lstStyle/>
          <a:p>
            <a:pPr algn="ctr" rtl="0">
              <a:defRPr>
                <a:latin typeface="Times New Roman" panose="02020603050405020304" pitchFamily="18" charset="0"/>
                <a:ea typeface="Times New Roman" panose="02020603050405020304" pitchFamily="18" charset="0"/>
                <a:cs typeface="Times New Roman" panose="02020603050405020304" pitchFamily="18" charset="0"/>
              </a:defRPr>
            </a:pPr>
            <a:endParaRPr lang="en-US" sz="9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x:txPr>
      </cx:axis>
    </cx:plotArea>
    <cx:legend pos="t" align="ctr" overlay="0">
      <cx:txPr>
        <a:bodyPr spcFirstLastPara="1" vertOverflow="ellipsis" horzOverflow="overflow" wrap="square" lIns="0" tIns="0" rIns="0" bIns="0" anchor="ctr" anchorCtr="1"/>
        <a:lstStyle/>
        <a:p>
          <a:pPr algn="ctr" rtl="0">
            <a:defRPr>
              <a:latin typeface="Times New Roman" panose="02020603050405020304" pitchFamily="18" charset="0"/>
              <a:ea typeface="Times New Roman" panose="02020603050405020304" pitchFamily="18" charset="0"/>
              <a:cs typeface="Times New Roman" panose="02020603050405020304" pitchFamily="18" charset="0"/>
            </a:defRPr>
          </a:pPr>
          <a:endParaRPr lang="en-US" sz="900" b="0" i="0" u="none" strike="noStrike"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x:txPr>
    </cx:legend>
  </cx:chart>
  <cx:clrMapOvr bg1="lt1" tx1="dk1" bg2="lt2" tx2="dk2" accent1="accent1" accent2="accent2" accent3="accent3" accent4="accent4" accent5="accent5" accent6="accent6" hlink="hlink" folHlink="folHlink"/>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1094</Characters>
  <Application>Microsoft Office Word</Application>
  <DocSecurity>0</DocSecurity>
  <Lines>9</Lines>
  <Paragraphs>2</Paragraphs>
  <ScaleCrop>false</ScaleCrop>
  <Company/>
  <LinksUpToDate>false</LinksUpToDate>
  <CharactersWithSpaces>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2026-04-20T08:48:00Z</dcterms:created>
  <dcterms:modified xsi:type="dcterms:W3CDTF">2026-04-20T08:48:00Z</dcterms:modified>
</cp:coreProperties>
</file>