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CA13E">
      <w:r>
        <w:rPr>
          <w:rFonts w:ascii="Times New Roman" w:hAnsi="Times New Roman"/>
          <w:b/>
          <w:sz w:val="20"/>
        </w:rPr>
        <w:t xml:space="preserve">Table S1. </w:t>
      </w:r>
      <w:r>
        <w:rPr>
          <w:rFonts w:ascii="Times New Roman" w:hAnsi="Times New Roman"/>
          <w:sz w:val="20"/>
        </w:rPr>
        <w:t>ICD-9 and ICD-10 codes used to define the study cohort</w:t>
      </w:r>
    </w:p>
    <w:tbl>
      <w:tblPr>
        <w:tblStyle w:val="32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8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1208"/>
        <w:gridCol w:w="2877"/>
        <w:gridCol w:w="2897"/>
      </w:tblGrid>
      <w:tr w14:paraId="3E86C7E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2B09242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Variable</w:t>
            </w:r>
          </w:p>
        </w:tc>
        <w:tc>
          <w:tcPr>
            <w:tcW w:w="1296" w:type="dxa"/>
          </w:tcPr>
          <w:p w14:paraId="7609D139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Purpose</w:t>
            </w:r>
          </w:p>
        </w:tc>
        <w:tc>
          <w:tcPr>
            <w:tcW w:w="3600" w:type="dxa"/>
          </w:tcPr>
          <w:p w14:paraId="3322B602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ICD-9 codes</w:t>
            </w:r>
          </w:p>
        </w:tc>
        <w:tc>
          <w:tcPr>
            <w:tcW w:w="3600" w:type="dxa"/>
          </w:tcPr>
          <w:p w14:paraId="3F628964">
            <w:pPr>
              <w:jc w:val="center"/>
            </w:pPr>
            <w:r>
              <w:rPr>
                <w:rFonts w:ascii="Times New Roman" w:hAnsi="Times New Roman"/>
                <w:b/>
                <w:sz w:val="20"/>
              </w:rPr>
              <w:t>ICD-10 codes</w:t>
            </w:r>
          </w:p>
        </w:tc>
      </w:tr>
      <w:tr w14:paraId="7B52C78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7DE71A4A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Solid tumor</w:t>
            </w:r>
          </w:p>
        </w:tc>
        <w:tc>
          <w:tcPr>
            <w:tcW w:w="1296" w:type="dxa"/>
          </w:tcPr>
          <w:p w14:paraId="3FB19F97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Inclusion</w:t>
            </w:r>
          </w:p>
        </w:tc>
        <w:tc>
          <w:tcPr>
            <w:tcW w:w="3600" w:type="dxa"/>
          </w:tcPr>
          <w:p w14:paraId="558BA42A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150%, 155%, 156%, 157%, 162%, 174%, 175%, 180%–184%, 172%, 173%, 160%, 161%, 163%–165%, 1990, 1991, 2090–2093</w:t>
            </w:r>
          </w:p>
        </w:tc>
        <w:tc>
          <w:tcPr>
            <w:tcW w:w="3600" w:type="dxa"/>
          </w:tcPr>
          <w:p w14:paraId="6BEB2106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C15%–C26%, C32%–C34%, C50%, C51%–C58%, C60%–C68%, C43%, C44%, C00%–C14%, C73%, C80%</w:t>
            </w:r>
          </w:p>
        </w:tc>
      </w:tr>
      <w:tr w14:paraId="67EED42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29712173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Heart failure</w:t>
            </w:r>
          </w:p>
        </w:tc>
        <w:tc>
          <w:tcPr>
            <w:tcW w:w="1296" w:type="dxa"/>
          </w:tcPr>
          <w:p w14:paraId="1F059F1F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Inclusion</w:t>
            </w:r>
          </w:p>
        </w:tc>
        <w:tc>
          <w:tcPr>
            <w:tcW w:w="3600" w:type="dxa"/>
          </w:tcPr>
          <w:p w14:paraId="133BEEA7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428%</w:t>
            </w:r>
          </w:p>
        </w:tc>
        <w:tc>
          <w:tcPr>
            <w:tcW w:w="3600" w:type="dxa"/>
          </w:tcPr>
          <w:p w14:paraId="76E98D98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I50%</w:t>
            </w:r>
          </w:p>
        </w:tc>
      </w:tr>
      <w:tr w14:paraId="59C5D2E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</w:tcPr>
          <w:p w14:paraId="35A61F0B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Hematologic malignancy</w:t>
            </w:r>
          </w:p>
        </w:tc>
        <w:tc>
          <w:tcPr>
            <w:tcW w:w="1296" w:type="dxa"/>
          </w:tcPr>
          <w:p w14:paraId="43E86661">
            <w:pPr>
              <w:jc w:val="center"/>
            </w:pPr>
            <w:r>
              <w:rPr>
                <w:rFonts w:ascii="Times New Roman" w:hAnsi="Times New Roman"/>
                <w:b w:val="0"/>
                <w:sz w:val="20"/>
              </w:rPr>
              <w:t>Exclusion</w:t>
            </w:r>
          </w:p>
        </w:tc>
        <w:tc>
          <w:tcPr>
            <w:tcW w:w="3600" w:type="dxa"/>
          </w:tcPr>
          <w:p w14:paraId="3B99E444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200%–208%</w:t>
            </w:r>
          </w:p>
        </w:tc>
        <w:tc>
          <w:tcPr>
            <w:tcW w:w="3600" w:type="dxa"/>
          </w:tcPr>
          <w:p w14:paraId="6A6D69F1">
            <w:pPr>
              <w:jc w:val="left"/>
            </w:pPr>
            <w:r>
              <w:rPr>
                <w:rFonts w:ascii="Times New Roman" w:hAnsi="Times New Roman"/>
                <w:b w:val="0"/>
                <w:sz w:val="20"/>
              </w:rPr>
              <w:t>C81%–C86%, C88%, C90%–C96%</w:t>
            </w:r>
          </w:p>
        </w:tc>
      </w:tr>
    </w:tbl>
    <w:p w14:paraId="5F37DF8E"/>
    <w:p w14:paraId="54CA2D45">
      <w:bookmarkStart w:id="0" w:name="_GoBack"/>
      <w:r>
        <w:rPr>
          <w:rFonts w:ascii="Times New Roman" w:hAnsi="Times New Roman"/>
          <w:b/>
          <w:sz w:val="20"/>
        </w:rPr>
        <w:t xml:space="preserve">Notes: </w:t>
      </w:r>
      <w:r>
        <w:rPr>
          <w:rFonts w:ascii="Times New Roman" w:hAnsi="Times New Roman"/>
          <w:sz w:val="20"/>
        </w:rPr>
        <w:t>Diagnostic definitions were based on ICD-9 and ICD-10 codes from the MIMIC-IV diagnoses_icd table. The final cohort was defined as adult patients with solid tumors and heart failure during the first ICU admission, with hematologic malignancies excluded.</w:t>
      </w:r>
    </w:p>
    <w:bookmarkEnd w:id="0"/>
    <w:p w14:paraId="6C221EA8">
      <w:pPr>
        <w:jc w:val="center"/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05546EA"/>
    <w:rsid w:val="64E8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604</Characters>
  <Lines>0</Lines>
  <Paragraphs>0</Paragraphs>
  <TotalTime>0</TotalTime>
  <ScaleCrop>false</ScaleCrop>
  <LinksUpToDate>false</LinksUpToDate>
  <CharactersWithSpaces>684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SONAHSOFERN</cp:lastModifiedBy>
  <dcterms:modified xsi:type="dcterms:W3CDTF">2026-04-12T12:31:00Z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eyJoZGlkIjoiNjFjYTRiYTc3YjhlNmM0MzU1NDhmNTU0OThmZDAwOTUiLCJ1c2VySWQiOiI0MzU2NTczMjAifQ==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DA39823CB0854EB185A22639BEAA8D18_12</vt:lpwstr>
  </property>
</Properties>
</file>