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B97A4">
      <w:bookmarkStart w:id="0" w:name="_GoBack"/>
      <w:bookmarkEnd w:id="0"/>
      <w:r>
        <w:rPr>
          <w:rFonts w:ascii="Times New Roman" w:hAnsi="Times New Roman"/>
          <w:b/>
          <w:sz w:val="20"/>
        </w:rPr>
        <w:t xml:space="preserve">Table S4. </w:t>
      </w:r>
      <w:r>
        <w:rPr>
          <w:rFonts w:ascii="Times New Roman" w:hAnsi="Times New Roman"/>
          <w:sz w:val="20"/>
        </w:rPr>
        <w:t>Sensitivity analysis of the association between RAR and subsequent mortality after excluding deaths within 30 days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2592"/>
        <w:gridCol w:w="1152"/>
      </w:tblGrid>
      <w:tr w14:paraId="08D6BD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4A93FDB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2592" w:type="dxa"/>
          </w:tcPr>
          <w:p w14:paraId="3AF1515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HR (95% CI)</w:t>
            </w:r>
          </w:p>
        </w:tc>
        <w:tc>
          <w:tcPr>
            <w:tcW w:w="1152" w:type="dxa"/>
          </w:tcPr>
          <w:p w14:paraId="55D4F2B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</w:tr>
      <w:tr w14:paraId="595E7EF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1A937FCC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592" w:type="dxa"/>
          </w:tcPr>
          <w:p w14:paraId="3DAD4AC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1.110 (0.948, 1.301)</w:t>
            </w:r>
          </w:p>
        </w:tc>
        <w:tc>
          <w:tcPr>
            <w:tcW w:w="1152" w:type="dxa"/>
          </w:tcPr>
          <w:p w14:paraId="2E0411D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0.202</w:t>
            </w:r>
          </w:p>
        </w:tc>
      </w:tr>
      <w:tr w14:paraId="0C1BDF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5C1F237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w="2592" w:type="dxa"/>
          </w:tcPr>
          <w:p w14:paraId="75E0108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1.015 (0.987, 1.044)</w:t>
            </w:r>
          </w:p>
        </w:tc>
        <w:tc>
          <w:tcPr>
            <w:tcW w:w="1152" w:type="dxa"/>
          </w:tcPr>
          <w:p w14:paraId="2E4B4EF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0.296</w:t>
            </w:r>
          </w:p>
        </w:tc>
      </w:tr>
      <w:tr w14:paraId="136D2E0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748DEEB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592" w:type="dxa"/>
          </w:tcPr>
          <w:p w14:paraId="4AB6867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1.186 (0.667, 2.109)</w:t>
            </w:r>
          </w:p>
        </w:tc>
        <w:tc>
          <w:tcPr>
            <w:tcW w:w="1152" w:type="dxa"/>
          </w:tcPr>
          <w:p w14:paraId="6A92CBD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0.564</w:t>
            </w:r>
          </w:p>
        </w:tc>
      </w:tr>
      <w:tr w14:paraId="786599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51D3C39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592" w:type="dxa"/>
          </w:tcPr>
          <w:p w14:paraId="3B3DD09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1.012 (0.892, 1.147)</w:t>
            </w:r>
          </w:p>
        </w:tc>
        <w:tc>
          <w:tcPr>
            <w:tcW w:w="1152" w:type="dxa"/>
          </w:tcPr>
          <w:p w14:paraId="384EEA6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0.858</w:t>
            </w:r>
          </w:p>
        </w:tc>
      </w:tr>
      <w:tr w14:paraId="15B879E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0BAADE7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592" w:type="dxa"/>
          </w:tcPr>
          <w:p w14:paraId="7B6A754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1.870 (0.995, 3.515)</w:t>
            </w:r>
          </w:p>
        </w:tc>
        <w:tc>
          <w:tcPr>
            <w:tcW w:w="1152" w:type="dxa"/>
          </w:tcPr>
          <w:p w14:paraId="3F2B327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0.059</w:t>
            </w:r>
          </w:p>
        </w:tc>
      </w:tr>
      <w:tr w14:paraId="1541AD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30ECE92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592" w:type="dxa"/>
          </w:tcPr>
          <w:p w14:paraId="2ADE4F8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1.087 (0.322, 3.668)</w:t>
            </w:r>
          </w:p>
        </w:tc>
        <w:tc>
          <w:tcPr>
            <w:tcW w:w="1152" w:type="dxa"/>
          </w:tcPr>
          <w:p w14:paraId="3B8597A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0.893</w:t>
            </w:r>
          </w:p>
        </w:tc>
      </w:tr>
      <w:tr w14:paraId="4B5DE5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6FF543B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592" w:type="dxa"/>
          </w:tcPr>
          <w:p w14:paraId="37CF486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2.403 (0.763, 7.564)</w:t>
            </w:r>
          </w:p>
        </w:tc>
        <w:tc>
          <w:tcPr>
            <w:tcW w:w="1152" w:type="dxa"/>
          </w:tcPr>
          <w:p w14:paraId="2E63D31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0.142</w:t>
            </w:r>
          </w:p>
        </w:tc>
      </w:tr>
      <w:tr w14:paraId="2723354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7589075E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592" w:type="dxa"/>
          </w:tcPr>
          <w:p w14:paraId="1E24E2E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0.903 (0.275, 2.970)</w:t>
            </w:r>
          </w:p>
        </w:tc>
        <w:tc>
          <w:tcPr>
            <w:tcW w:w="1152" w:type="dxa"/>
          </w:tcPr>
          <w:p w14:paraId="32CA165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0.868</w:t>
            </w:r>
          </w:p>
        </w:tc>
      </w:tr>
      <w:tr w14:paraId="6C67E54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5011D65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592" w:type="dxa"/>
          </w:tcPr>
          <w:p w14:paraId="0D1E283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0.715 (0.073, 6.953)</w:t>
            </w:r>
          </w:p>
        </w:tc>
        <w:tc>
          <w:tcPr>
            <w:tcW w:w="1152" w:type="dxa"/>
          </w:tcPr>
          <w:p w14:paraId="28675CD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0.774</w:t>
            </w:r>
          </w:p>
        </w:tc>
      </w:tr>
      <w:tr w14:paraId="4F37569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343CE32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592" w:type="dxa"/>
          </w:tcPr>
          <w:p w14:paraId="294FE9D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0.882 (0.419, 1.857)</w:t>
            </w:r>
          </w:p>
        </w:tc>
        <w:tc>
          <w:tcPr>
            <w:tcW w:w="1152" w:type="dxa"/>
          </w:tcPr>
          <w:p w14:paraId="43F9619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0.743</w:t>
            </w:r>
          </w:p>
        </w:tc>
      </w:tr>
      <w:tr w14:paraId="01EDD79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01F468F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592" w:type="dxa"/>
          </w:tcPr>
          <w:p w14:paraId="1159DAD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2.595 (1.248, 5.397)</w:t>
            </w:r>
          </w:p>
        </w:tc>
        <w:tc>
          <w:tcPr>
            <w:tcW w:w="1152" w:type="dxa"/>
          </w:tcPr>
          <w:p w14:paraId="1A51FB8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0.015</w:t>
            </w:r>
          </w:p>
        </w:tc>
      </w:tr>
      <w:tr w14:paraId="436F95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05FD103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592" w:type="dxa"/>
          </w:tcPr>
          <w:p w14:paraId="7F818E1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0.546 (0.287, 1.041)</w:t>
            </w:r>
          </w:p>
        </w:tc>
        <w:tc>
          <w:tcPr>
            <w:tcW w:w="1152" w:type="dxa"/>
          </w:tcPr>
          <w:p w14:paraId="7980B19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0.073</w:t>
            </w:r>
          </w:p>
        </w:tc>
      </w:tr>
      <w:tr w14:paraId="4194EF6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09A66FB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592" w:type="dxa"/>
          </w:tcPr>
          <w:p w14:paraId="1DC4B76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1.368 (0.632, 2.959)</w:t>
            </w:r>
          </w:p>
        </w:tc>
        <w:tc>
          <w:tcPr>
            <w:tcW w:w="1152" w:type="dxa"/>
          </w:tcPr>
          <w:p w14:paraId="3A5F8A4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0.431</w:t>
            </w:r>
          </w:p>
        </w:tc>
      </w:tr>
      <w:tr w14:paraId="4C063CE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4BA41FB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592" w:type="dxa"/>
          </w:tcPr>
          <w:p w14:paraId="07B3B3E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0.517 (0.267, 1.001)</w:t>
            </w:r>
          </w:p>
        </w:tc>
        <w:tc>
          <w:tcPr>
            <w:tcW w:w="1152" w:type="dxa"/>
          </w:tcPr>
          <w:p w14:paraId="0179349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0.057</w:t>
            </w:r>
          </w:p>
        </w:tc>
      </w:tr>
      <w:tr w14:paraId="6A52B3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66E569A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592" w:type="dxa"/>
          </w:tcPr>
          <w:p w14:paraId="2A6E697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1.262 (0.682, 2.335)</w:t>
            </w:r>
          </w:p>
        </w:tc>
        <w:tc>
          <w:tcPr>
            <w:tcW w:w="1152" w:type="dxa"/>
          </w:tcPr>
          <w:p w14:paraId="4141D9A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0.463</w:t>
            </w:r>
          </w:p>
        </w:tc>
      </w:tr>
      <w:tr w14:paraId="0858EE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618EB57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592" w:type="dxa"/>
          </w:tcPr>
          <w:p w14:paraId="23A54AB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1.959 (1.064, 3.608)</w:t>
            </w:r>
          </w:p>
        </w:tc>
        <w:tc>
          <w:tcPr>
            <w:tcW w:w="1152" w:type="dxa"/>
          </w:tcPr>
          <w:p w14:paraId="77D9844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0.037</w:t>
            </w:r>
          </w:p>
        </w:tc>
      </w:tr>
      <w:tr w14:paraId="08A62A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3D9D291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592" w:type="dxa"/>
          </w:tcPr>
          <w:p w14:paraId="7BE396F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0.329 (0.075, 1.441)</w:t>
            </w:r>
          </w:p>
        </w:tc>
        <w:tc>
          <w:tcPr>
            <w:tcW w:w="1152" w:type="dxa"/>
          </w:tcPr>
          <w:p w14:paraId="086DB25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0.148</w:t>
            </w:r>
          </w:p>
        </w:tc>
      </w:tr>
      <w:tr w14:paraId="3B7902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2" w:type="dxa"/>
          </w:tcPr>
          <w:p w14:paraId="083733C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592" w:type="dxa"/>
          </w:tcPr>
          <w:p w14:paraId="0C2C535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1.052 (0.492, 2.250)</w:t>
            </w:r>
          </w:p>
        </w:tc>
        <w:tc>
          <w:tcPr>
            <w:tcW w:w="1152" w:type="dxa"/>
          </w:tcPr>
          <w:p w14:paraId="72C7EC6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0.897</w:t>
            </w:r>
          </w:p>
        </w:tc>
      </w:tr>
    </w:tbl>
    <w:p w14:paraId="341E4C06">
      <w:r>
        <w:rPr>
          <w:rFonts w:ascii="Times New Roman" w:hAnsi="Times New Roman"/>
          <w:b/>
          <w:sz w:val="20"/>
        </w:rPr>
        <w:t xml:space="preserve">Notes: </w:t>
      </w:r>
      <w:r>
        <w:rPr>
          <w:rFonts w:ascii="Times New Roman" w:hAnsi="Times New Roman"/>
          <w:sz w:val="20"/>
        </w:rPr>
        <w:t>Hazard ratios were estimated after excluding patients who died within 30 days of ICU admission. The model was adjusted for the same covariates as the main multivariable Cox analysis.</w:t>
      </w:r>
    </w:p>
    <w:p w14:paraId="0C445CF1">
      <w:r>
        <w:rPr>
          <w:rFonts w:ascii="Times New Roman" w:hAnsi="Times New Roman"/>
          <w:b/>
          <w:sz w:val="20"/>
        </w:rPr>
        <w:t xml:space="preserve">Abbreviations: </w:t>
      </w:r>
      <w:r>
        <w:rPr>
          <w:rFonts w:ascii="Times New Roman" w:hAnsi="Times New Roman"/>
          <w:sz w:val="20"/>
        </w:rPr>
        <w:t>HR, hazard ratio; CI, confidence interval; RAR, red blood cell distribution width-to-albumin ratio; SOFA, Sequential Organ Failure Assessment.</w:t>
      </w:r>
    </w:p>
    <w:p w14:paraId="19D99E5A">
      <w:pPr>
        <w:jc w:val="center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3E39CE"/>
    <w:rsid w:val="7C66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1096</Characters>
  <Lines>0</Lines>
  <Paragraphs>0</Paragraphs>
  <TotalTime>0</TotalTime>
  <ScaleCrop>false</ScaleCrop>
  <LinksUpToDate>false</LinksUpToDate>
  <CharactersWithSpaces>1221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SONAHSOFERN</cp:lastModifiedBy>
  <dcterms:modified xsi:type="dcterms:W3CDTF">2026-04-12T12:30:01Z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eyJoZGlkIjoiNjFjYTRiYTc3YjhlNmM0MzU1NDhmNTU0OThmZDAwOTUiLCJ1c2VySWQiOiI0MzU2NTczMjAifQ==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6FDBFA4BA82F45DB88BF9FF005028AFF_12</vt:lpwstr>
  </property>
</Properties>
</file>