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16CDB4" w14:textId="2BBBE1DC" w:rsidR="00742A0D" w:rsidRDefault="008111FF" w:rsidP="000B2EC5">
      <w:pPr>
        <w:pStyle w:val="Title"/>
      </w:pPr>
      <w:r w:rsidRPr="000B2EC5">
        <w:t xml:space="preserve">Supplementary </w:t>
      </w:r>
      <w:r w:rsidR="006939CD" w:rsidRPr="000B2EC5">
        <w:t>Information</w:t>
      </w:r>
      <w:r w:rsidR="00776112">
        <w:t xml:space="preserve"> for</w:t>
      </w:r>
      <w:r w:rsidR="00561722">
        <w:t>:</w:t>
      </w:r>
    </w:p>
    <w:p w14:paraId="313FA75D" w14:textId="1C1A6455" w:rsidR="00E63FB8" w:rsidRPr="00F33E8B" w:rsidRDefault="00E63FB8" w:rsidP="00CA35C3">
      <w:pPr>
        <w:jc w:val="center"/>
        <w:rPr>
          <w:sz w:val="32"/>
          <w:szCs w:val="32"/>
        </w:rPr>
      </w:pPr>
      <w:r w:rsidRPr="00F33E8B">
        <w:rPr>
          <w:sz w:val="32"/>
          <w:szCs w:val="32"/>
        </w:rPr>
        <w:t xml:space="preserve">Estimating the </w:t>
      </w:r>
      <w:r w:rsidR="000038C4" w:rsidRPr="00F33E8B">
        <w:rPr>
          <w:sz w:val="32"/>
          <w:szCs w:val="32"/>
        </w:rPr>
        <w:t xml:space="preserve">carbon </w:t>
      </w:r>
      <w:r w:rsidRPr="00F33E8B">
        <w:rPr>
          <w:sz w:val="32"/>
          <w:szCs w:val="32"/>
        </w:rPr>
        <w:t>impacts of leakage from forest restoration and the costs of reducing them</w:t>
      </w:r>
    </w:p>
    <w:p w14:paraId="36449DEE" w14:textId="77777777" w:rsidR="00F33E8B" w:rsidRDefault="00F33E8B" w:rsidP="00CA35C3">
      <w:pPr>
        <w:spacing w:after="0"/>
        <w:jc w:val="center"/>
        <w:rPr>
          <w:b/>
          <w:bCs/>
        </w:rPr>
      </w:pPr>
    </w:p>
    <w:p w14:paraId="54302323" w14:textId="295829B4" w:rsidR="00B51274" w:rsidRPr="00C15B9E" w:rsidRDefault="00152973" w:rsidP="00CA35C3">
      <w:pPr>
        <w:spacing w:after="0"/>
        <w:jc w:val="center"/>
      </w:pPr>
      <w:r w:rsidRPr="00152973">
        <w:rPr>
          <w:b/>
          <w:bCs/>
        </w:rPr>
        <w:t>Authors</w:t>
      </w:r>
      <w:r>
        <w:t xml:space="preserve">: </w:t>
      </w:r>
      <w:r w:rsidR="00B51274" w:rsidRPr="00952AAD">
        <w:t>Francisco d’Albertas</w:t>
      </w:r>
      <w:r w:rsidR="00B51274" w:rsidRPr="00952AAD">
        <w:rPr>
          <w:vertAlign w:val="superscript"/>
        </w:rPr>
        <w:t>1,2</w:t>
      </w:r>
      <w:r w:rsidR="00B51274" w:rsidRPr="00952AAD">
        <w:t>, Tom Swinfield</w:t>
      </w:r>
      <w:r w:rsidR="00B51274" w:rsidRPr="00952AAD">
        <w:rPr>
          <w:vertAlign w:val="superscript"/>
        </w:rPr>
        <w:t>1,2</w:t>
      </w:r>
      <w:r w:rsidR="00B51274" w:rsidRPr="00952AAD">
        <w:t>, Ben Filewod</w:t>
      </w:r>
      <w:r w:rsidR="00B51274" w:rsidRPr="00952AAD">
        <w:rPr>
          <w:vertAlign w:val="superscript"/>
        </w:rPr>
        <w:t>3</w:t>
      </w:r>
      <w:r w:rsidR="00B51274" w:rsidRPr="00952AAD">
        <w:t xml:space="preserve">, </w:t>
      </w:r>
      <w:r w:rsidR="00B51274" w:rsidRPr="00667DB1">
        <w:t>Stefan Wirsenius</w:t>
      </w:r>
      <w:r w:rsidR="00B51274" w:rsidRPr="00D4449A">
        <w:rPr>
          <w:vertAlign w:val="superscript"/>
        </w:rPr>
        <w:t>4</w:t>
      </w:r>
      <w:r w:rsidR="00B51274" w:rsidRPr="00952AAD">
        <w:t>, Timothy Searchinger</w:t>
      </w:r>
      <w:r w:rsidR="00B51274">
        <w:rPr>
          <w:vertAlign w:val="superscript"/>
        </w:rPr>
        <w:t>5</w:t>
      </w:r>
      <w:r w:rsidR="00B51274" w:rsidRPr="00D15AF6">
        <w:rPr>
          <w:vertAlign w:val="superscript"/>
        </w:rPr>
        <w:t>,</w:t>
      </w:r>
      <w:r w:rsidR="00B51274">
        <w:rPr>
          <w:vertAlign w:val="superscript"/>
        </w:rPr>
        <w:t>6</w:t>
      </w:r>
      <w:r w:rsidR="00B51274" w:rsidRPr="00F346DF">
        <w:t>,</w:t>
      </w:r>
      <w:r w:rsidR="00B51274" w:rsidRPr="00F76F35">
        <w:t xml:space="preserve"> </w:t>
      </w:r>
      <w:r w:rsidR="00B51274" w:rsidRPr="00952AAD">
        <w:t>Thomas Ball</w:t>
      </w:r>
      <w:r w:rsidR="00B51274" w:rsidRPr="00952AAD">
        <w:rPr>
          <w:vertAlign w:val="superscript"/>
        </w:rPr>
        <w:t>1,2</w:t>
      </w:r>
      <w:r w:rsidR="00B51274" w:rsidRPr="00F76F35">
        <w:t>,</w:t>
      </w:r>
      <w:r w:rsidR="00B51274">
        <w:rPr>
          <w:vertAlign w:val="superscript"/>
        </w:rPr>
        <w:t xml:space="preserve"> </w:t>
      </w:r>
      <w:r w:rsidR="00B51274" w:rsidRPr="00952AAD">
        <w:t>Gianluca Cerullo</w:t>
      </w:r>
      <w:r w:rsidR="00B51274" w:rsidRPr="00952AAD">
        <w:rPr>
          <w:vertAlign w:val="superscript"/>
        </w:rPr>
        <w:t>1,2</w:t>
      </w:r>
      <w:r w:rsidR="00B51274">
        <w:rPr>
          <w:vertAlign w:val="superscript"/>
        </w:rPr>
        <w:t>,7</w:t>
      </w:r>
      <w:r w:rsidR="00B51274">
        <w:t xml:space="preserve">, </w:t>
      </w:r>
      <w:r w:rsidR="00B51274" w:rsidRPr="00952AAD">
        <w:t>Jody Holland</w:t>
      </w:r>
      <w:r w:rsidR="00B51274" w:rsidRPr="00952AAD">
        <w:rPr>
          <w:vertAlign w:val="superscript"/>
        </w:rPr>
        <w:t>1,2</w:t>
      </w:r>
      <w:r w:rsidR="00B51274" w:rsidRPr="00996C4D">
        <w:t>,</w:t>
      </w:r>
      <w:r w:rsidR="00B51274">
        <w:rPr>
          <w:vertAlign w:val="superscript"/>
        </w:rPr>
        <w:t xml:space="preserve"> </w:t>
      </w:r>
      <w:r w:rsidR="00B51274" w:rsidRPr="00C15B9E">
        <w:t>Anil Madhavapeddy</w:t>
      </w:r>
      <w:r w:rsidR="00B51274">
        <w:rPr>
          <w:vertAlign w:val="superscript"/>
        </w:rPr>
        <w:t>8</w:t>
      </w:r>
      <w:r w:rsidR="00B51274" w:rsidRPr="00586F21">
        <w:t xml:space="preserve">, </w:t>
      </w:r>
      <w:r w:rsidR="00B51274" w:rsidRPr="00996C4D">
        <w:t>Demetrius Martins</w:t>
      </w:r>
      <w:r w:rsidR="00B51274" w:rsidRPr="005926D9">
        <w:rPr>
          <w:vertAlign w:val="superscript"/>
        </w:rPr>
        <w:t>9</w:t>
      </w:r>
      <w:r w:rsidR="00B51274" w:rsidRPr="00C15B9E">
        <w:t>, Sara Mortara</w:t>
      </w:r>
      <w:r w:rsidR="00B51274" w:rsidRPr="00435889">
        <w:rPr>
          <w:vertAlign w:val="superscript"/>
        </w:rPr>
        <w:t>10</w:t>
      </w:r>
      <w:r w:rsidR="00B51274">
        <w:t xml:space="preserve">, </w:t>
      </w:r>
      <w:r w:rsidR="00B51274" w:rsidRPr="00C15B9E">
        <w:t>Andrew Balmford</w:t>
      </w:r>
      <w:r w:rsidR="00B51274" w:rsidRPr="00C15B9E">
        <w:rPr>
          <w:vertAlign w:val="superscript"/>
        </w:rPr>
        <w:t>1,2</w:t>
      </w:r>
    </w:p>
    <w:p w14:paraId="321B177D" w14:textId="55C0CB95" w:rsidR="00152973" w:rsidRDefault="00152973" w:rsidP="00CA35C3">
      <w:pPr>
        <w:spacing w:after="0"/>
        <w:jc w:val="center"/>
      </w:pPr>
    </w:p>
    <w:p w14:paraId="77467BED" w14:textId="77777777" w:rsidR="00F33E8B" w:rsidRDefault="00F33E8B" w:rsidP="00CA35C3">
      <w:pPr>
        <w:spacing w:after="0"/>
        <w:jc w:val="center"/>
        <w:rPr>
          <w:b/>
          <w:bCs/>
        </w:rPr>
      </w:pPr>
    </w:p>
    <w:p w14:paraId="2183EBC0" w14:textId="62D3ED61" w:rsidR="00152973" w:rsidRDefault="00152973" w:rsidP="00CA35C3">
      <w:pPr>
        <w:spacing w:after="0"/>
        <w:jc w:val="center"/>
      </w:pPr>
      <w:r w:rsidRPr="00152973">
        <w:rPr>
          <w:b/>
          <w:bCs/>
        </w:rPr>
        <w:t>Affiliations</w:t>
      </w:r>
      <w:r>
        <w:t>:</w:t>
      </w:r>
    </w:p>
    <w:p w14:paraId="3F94D474" w14:textId="678DAA24" w:rsidR="00FA272A" w:rsidRPr="00952AAD" w:rsidRDefault="00FA272A" w:rsidP="00CA35C3">
      <w:pPr>
        <w:spacing w:after="0"/>
        <w:jc w:val="center"/>
      </w:pPr>
      <w:r>
        <w:rPr>
          <w:vertAlign w:val="superscript"/>
        </w:rPr>
        <w:t>1</w:t>
      </w:r>
      <w:r w:rsidRPr="00952AAD">
        <w:t xml:space="preserve"> Department of Zoology, University of Cambridge</w:t>
      </w:r>
      <w:r w:rsidR="00E43F38">
        <w:t>,</w:t>
      </w:r>
      <w:r w:rsidRPr="00952AAD">
        <w:t xml:space="preserve"> Cambridge CB2 3EJ, UK.</w:t>
      </w:r>
    </w:p>
    <w:p w14:paraId="4BA72BE6" w14:textId="6A67ACC8" w:rsidR="00FA272A" w:rsidRDefault="00FA272A" w:rsidP="00CA35C3">
      <w:pPr>
        <w:spacing w:after="0"/>
        <w:jc w:val="center"/>
      </w:pPr>
      <w:r w:rsidRPr="00952AAD">
        <w:rPr>
          <w:vertAlign w:val="superscript"/>
        </w:rPr>
        <w:t>2</w:t>
      </w:r>
      <w:r w:rsidRPr="00952AAD">
        <w:t xml:space="preserve"> Conservation Research Institute, University of Cambridge</w:t>
      </w:r>
      <w:r w:rsidR="00E43F38">
        <w:t>.</w:t>
      </w:r>
      <w:r w:rsidRPr="00952AAD">
        <w:t xml:space="preserve"> Cambridge CB2 3EJ, UK.</w:t>
      </w:r>
    </w:p>
    <w:p w14:paraId="674BF483" w14:textId="77777777" w:rsidR="00FA272A" w:rsidRDefault="00FA272A" w:rsidP="00CA35C3">
      <w:pPr>
        <w:spacing w:after="0"/>
        <w:jc w:val="center"/>
      </w:pPr>
      <w:r>
        <w:rPr>
          <w:vertAlign w:val="superscript"/>
        </w:rPr>
        <w:t xml:space="preserve">3  </w:t>
      </w:r>
      <w:r w:rsidRPr="008C4C36">
        <w:t>Canadian Forest Service, Ottawa, Canada.</w:t>
      </w:r>
    </w:p>
    <w:p w14:paraId="67F03D40" w14:textId="77777777" w:rsidR="00FA272A" w:rsidRDefault="00FA272A" w:rsidP="00CA35C3">
      <w:pPr>
        <w:spacing w:after="0"/>
        <w:jc w:val="center"/>
      </w:pPr>
      <w:r w:rsidRPr="00D4449A">
        <w:rPr>
          <w:vertAlign w:val="superscript"/>
        </w:rPr>
        <w:t>4</w:t>
      </w:r>
      <w:r>
        <w:rPr>
          <w:vertAlign w:val="superscript"/>
        </w:rPr>
        <w:t xml:space="preserve">  </w:t>
      </w:r>
      <w:r w:rsidRPr="00D4449A">
        <w:t>Chalmers University of Technology; Gothenburg, Sweden.</w:t>
      </w:r>
    </w:p>
    <w:p w14:paraId="066A9D2A" w14:textId="77777777" w:rsidR="00FA272A" w:rsidRDefault="00FA272A" w:rsidP="00CA35C3">
      <w:pPr>
        <w:spacing w:after="0"/>
        <w:jc w:val="center"/>
      </w:pPr>
      <w:r>
        <w:rPr>
          <w:vertAlign w:val="superscript"/>
        </w:rPr>
        <w:t>5</w:t>
      </w:r>
      <w:r>
        <w:t xml:space="preserve"> </w:t>
      </w:r>
      <w:r w:rsidRPr="00022983">
        <w:t>World Resources Institute; Washington DC, USA.</w:t>
      </w:r>
    </w:p>
    <w:p w14:paraId="431C10BA" w14:textId="77777777" w:rsidR="00FA272A" w:rsidRDefault="00FA272A" w:rsidP="00CA35C3">
      <w:pPr>
        <w:spacing w:after="0"/>
        <w:jc w:val="center"/>
      </w:pPr>
      <w:r>
        <w:rPr>
          <w:vertAlign w:val="superscript"/>
        </w:rPr>
        <w:t xml:space="preserve">6 </w:t>
      </w:r>
      <w:r w:rsidRPr="00D15AF6">
        <w:t>Princeton University; Princeton NJ, USA.</w:t>
      </w:r>
    </w:p>
    <w:p w14:paraId="26BA7974" w14:textId="77777777" w:rsidR="00FA272A" w:rsidRDefault="00FA272A" w:rsidP="00CA35C3">
      <w:pPr>
        <w:spacing w:after="0"/>
        <w:jc w:val="center"/>
      </w:pPr>
      <w:r>
        <w:rPr>
          <w:vertAlign w:val="superscript"/>
        </w:rPr>
        <w:t>7</w:t>
      </w:r>
      <w:r>
        <w:t xml:space="preserve"> </w:t>
      </w:r>
      <w:r w:rsidRPr="002670F1">
        <w:t>Department of Forest Ecosystems and Society, Oregon State University, Corvallis, OR, USA.</w:t>
      </w:r>
    </w:p>
    <w:p w14:paraId="5AD20E5D" w14:textId="77777777" w:rsidR="00FA272A" w:rsidRDefault="00FA272A" w:rsidP="00CA35C3">
      <w:pPr>
        <w:spacing w:after="0"/>
        <w:jc w:val="center"/>
      </w:pPr>
      <w:r>
        <w:rPr>
          <w:vertAlign w:val="superscript"/>
        </w:rPr>
        <w:t>8</w:t>
      </w:r>
      <w:r w:rsidRPr="00986334">
        <w:t xml:space="preserve"> Department of Computer Science and Technology, University of Cambridge, Cambridge, UK</w:t>
      </w:r>
    </w:p>
    <w:p w14:paraId="6F1C37E2" w14:textId="39D1251E" w:rsidR="008E3925" w:rsidRDefault="00FA272A" w:rsidP="00CA35C3">
      <w:pPr>
        <w:spacing w:after="0"/>
        <w:jc w:val="center"/>
        <w:rPr>
          <w:lang w:val="pt-BR"/>
        </w:rPr>
      </w:pPr>
      <w:r w:rsidRPr="008E3925">
        <w:rPr>
          <w:vertAlign w:val="superscript"/>
          <w:lang w:val="pt-BR"/>
        </w:rPr>
        <w:t>9</w:t>
      </w:r>
      <w:r w:rsidRPr="008E3925">
        <w:rPr>
          <w:lang w:val="pt-BR"/>
        </w:rPr>
        <w:t xml:space="preserve"> </w:t>
      </w:r>
      <w:r w:rsidR="008E3925" w:rsidRPr="008E3925">
        <w:rPr>
          <w:lang w:val="pt-BR"/>
        </w:rPr>
        <w:t>Earthshot Labs, Sebastopol CA USA</w:t>
      </w:r>
    </w:p>
    <w:p w14:paraId="42383776" w14:textId="2AA750CC" w:rsidR="00FA272A" w:rsidRPr="006F1378" w:rsidRDefault="00FA272A" w:rsidP="00CA35C3">
      <w:pPr>
        <w:spacing w:after="0"/>
        <w:jc w:val="center"/>
        <w:rPr>
          <w:lang w:val="pt-BR"/>
        </w:rPr>
      </w:pPr>
      <w:r w:rsidRPr="006F1378">
        <w:rPr>
          <w:vertAlign w:val="superscript"/>
          <w:lang w:val="pt-BR"/>
        </w:rPr>
        <w:t>10</w:t>
      </w:r>
      <w:r w:rsidRPr="006F1378">
        <w:rPr>
          <w:lang w:val="pt-BR"/>
        </w:rPr>
        <w:t xml:space="preserve"> </w:t>
      </w:r>
      <w:r w:rsidR="00735364">
        <w:rPr>
          <w:lang w:val="pt-BR"/>
        </w:rPr>
        <w:t>R</w:t>
      </w:r>
      <w:r w:rsidR="006F1378" w:rsidRPr="006F1378">
        <w:rPr>
          <w:lang w:val="pt-BR"/>
        </w:rPr>
        <w:t>e.green, Rio de Janeiro, Brazil</w:t>
      </w:r>
    </w:p>
    <w:p w14:paraId="0FC2A8CA" w14:textId="2627340F" w:rsidR="00263DEC" w:rsidRPr="00FA272A" w:rsidRDefault="00263DEC">
      <w:pPr>
        <w:rPr>
          <w:lang w:val="pt-BR"/>
        </w:rPr>
      </w:pPr>
      <w:r w:rsidRPr="00FA272A">
        <w:rPr>
          <w:lang w:val="pt-BR"/>
        </w:rPr>
        <w:br w:type="page"/>
      </w:r>
    </w:p>
    <w:p w14:paraId="4904EF34" w14:textId="0FECDB36" w:rsidR="000C16FD" w:rsidRPr="000C16FD" w:rsidRDefault="00263DEC" w:rsidP="00263DEC">
      <w:pPr>
        <w:pStyle w:val="Heading1"/>
      </w:pPr>
      <w:bookmarkStart w:id="0" w:name="_Toc225254918"/>
      <w:r>
        <w:lastRenderedPageBreak/>
        <w:t>Contents</w:t>
      </w:r>
      <w:bookmarkEnd w:id="0"/>
    </w:p>
    <w:sdt>
      <w:sdtPr>
        <w:id w:val="-2021393932"/>
        <w:docPartObj>
          <w:docPartGallery w:val="Table of Contents"/>
          <w:docPartUnique/>
        </w:docPartObj>
      </w:sdtPr>
      <w:sdtEndPr>
        <w:rPr>
          <w:b/>
          <w:bCs/>
        </w:rPr>
      </w:sdtEndPr>
      <w:sdtContent>
        <w:p w14:paraId="0A5830AB" w14:textId="653E822C" w:rsidR="00373259" w:rsidRDefault="005217AC">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225254918" w:history="1">
            <w:r w:rsidR="00373259" w:rsidRPr="00D21158">
              <w:rPr>
                <w:rStyle w:val="Hyperlink"/>
                <w:noProof/>
              </w:rPr>
              <w:t>Contents</w:t>
            </w:r>
            <w:r w:rsidR="00373259">
              <w:rPr>
                <w:noProof/>
                <w:webHidden/>
              </w:rPr>
              <w:tab/>
            </w:r>
            <w:r w:rsidR="00373259">
              <w:rPr>
                <w:noProof/>
                <w:webHidden/>
              </w:rPr>
              <w:fldChar w:fldCharType="begin"/>
            </w:r>
            <w:r w:rsidR="00373259">
              <w:rPr>
                <w:noProof/>
                <w:webHidden/>
              </w:rPr>
              <w:instrText xml:space="preserve"> PAGEREF _Toc225254918 \h </w:instrText>
            </w:r>
            <w:r w:rsidR="00373259">
              <w:rPr>
                <w:noProof/>
                <w:webHidden/>
              </w:rPr>
            </w:r>
            <w:r w:rsidR="00373259">
              <w:rPr>
                <w:noProof/>
                <w:webHidden/>
              </w:rPr>
              <w:fldChar w:fldCharType="separate"/>
            </w:r>
            <w:r w:rsidR="002E1134">
              <w:rPr>
                <w:noProof/>
                <w:webHidden/>
              </w:rPr>
              <w:t>2</w:t>
            </w:r>
            <w:r w:rsidR="00373259">
              <w:rPr>
                <w:noProof/>
                <w:webHidden/>
              </w:rPr>
              <w:fldChar w:fldCharType="end"/>
            </w:r>
          </w:hyperlink>
        </w:p>
        <w:p w14:paraId="744FC804" w14:textId="6FB30733" w:rsidR="00373259" w:rsidRDefault="00373259">
          <w:pPr>
            <w:pStyle w:val="TOC1"/>
            <w:tabs>
              <w:tab w:val="right" w:leader="dot" w:pos="9016"/>
            </w:tabs>
            <w:rPr>
              <w:rFonts w:eastAsiaTheme="minorEastAsia"/>
              <w:noProof/>
              <w:lang w:eastAsia="en-GB"/>
            </w:rPr>
          </w:pPr>
          <w:hyperlink w:anchor="_Toc225254919" w:history="1">
            <w:r w:rsidRPr="00D21158">
              <w:rPr>
                <w:rStyle w:val="Hyperlink"/>
                <w:noProof/>
              </w:rPr>
              <w:t>List of Figures</w:t>
            </w:r>
            <w:r>
              <w:rPr>
                <w:noProof/>
                <w:webHidden/>
              </w:rPr>
              <w:tab/>
            </w:r>
            <w:r>
              <w:rPr>
                <w:noProof/>
                <w:webHidden/>
              </w:rPr>
              <w:fldChar w:fldCharType="begin"/>
            </w:r>
            <w:r>
              <w:rPr>
                <w:noProof/>
                <w:webHidden/>
              </w:rPr>
              <w:instrText xml:space="preserve"> PAGEREF _Toc225254919 \h </w:instrText>
            </w:r>
            <w:r>
              <w:rPr>
                <w:noProof/>
                <w:webHidden/>
              </w:rPr>
            </w:r>
            <w:r>
              <w:rPr>
                <w:noProof/>
                <w:webHidden/>
              </w:rPr>
              <w:fldChar w:fldCharType="separate"/>
            </w:r>
            <w:r w:rsidR="002E1134">
              <w:rPr>
                <w:noProof/>
                <w:webHidden/>
              </w:rPr>
              <w:t>3</w:t>
            </w:r>
            <w:r>
              <w:rPr>
                <w:noProof/>
                <w:webHidden/>
              </w:rPr>
              <w:fldChar w:fldCharType="end"/>
            </w:r>
          </w:hyperlink>
        </w:p>
        <w:p w14:paraId="33B92EA0" w14:textId="407BBC8F" w:rsidR="00373259" w:rsidRDefault="00373259">
          <w:pPr>
            <w:pStyle w:val="TOC1"/>
            <w:tabs>
              <w:tab w:val="right" w:leader="dot" w:pos="9016"/>
            </w:tabs>
            <w:rPr>
              <w:rFonts w:eastAsiaTheme="minorEastAsia"/>
              <w:noProof/>
              <w:lang w:eastAsia="en-GB"/>
            </w:rPr>
          </w:pPr>
          <w:hyperlink w:anchor="_Toc225254920" w:history="1">
            <w:r w:rsidRPr="00D21158">
              <w:rPr>
                <w:rStyle w:val="Hyperlink"/>
                <w:noProof/>
              </w:rPr>
              <w:t>List of Tables</w:t>
            </w:r>
            <w:r>
              <w:rPr>
                <w:noProof/>
                <w:webHidden/>
              </w:rPr>
              <w:tab/>
            </w:r>
            <w:r>
              <w:rPr>
                <w:noProof/>
                <w:webHidden/>
              </w:rPr>
              <w:fldChar w:fldCharType="begin"/>
            </w:r>
            <w:r>
              <w:rPr>
                <w:noProof/>
                <w:webHidden/>
              </w:rPr>
              <w:instrText xml:space="preserve"> PAGEREF _Toc225254920 \h </w:instrText>
            </w:r>
            <w:r>
              <w:rPr>
                <w:noProof/>
                <w:webHidden/>
              </w:rPr>
            </w:r>
            <w:r>
              <w:rPr>
                <w:noProof/>
                <w:webHidden/>
              </w:rPr>
              <w:fldChar w:fldCharType="separate"/>
            </w:r>
            <w:r w:rsidR="002E1134">
              <w:rPr>
                <w:noProof/>
                <w:webHidden/>
              </w:rPr>
              <w:t>4</w:t>
            </w:r>
            <w:r>
              <w:rPr>
                <w:noProof/>
                <w:webHidden/>
              </w:rPr>
              <w:fldChar w:fldCharType="end"/>
            </w:r>
          </w:hyperlink>
        </w:p>
        <w:p w14:paraId="623E7CA0" w14:textId="1EE985FA" w:rsidR="00373259" w:rsidRDefault="00373259">
          <w:pPr>
            <w:pStyle w:val="TOC1"/>
            <w:tabs>
              <w:tab w:val="right" w:leader="dot" w:pos="9016"/>
            </w:tabs>
            <w:rPr>
              <w:rFonts w:eastAsiaTheme="minorEastAsia"/>
              <w:noProof/>
              <w:lang w:eastAsia="en-GB"/>
            </w:rPr>
          </w:pPr>
          <w:hyperlink w:anchor="_Toc225254921" w:history="1">
            <w:r w:rsidRPr="00D21158">
              <w:rPr>
                <w:rStyle w:val="Hyperlink"/>
                <w:noProof/>
              </w:rPr>
              <w:t>Supplementary Methods</w:t>
            </w:r>
            <w:r>
              <w:rPr>
                <w:noProof/>
                <w:webHidden/>
              </w:rPr>
              <w:tab/>
            </w:r>
            <w:r>
              <w:rPr>
                <w:noProof/>
                <w:webHidden/>
              </w:rPr>
              <w:fldChar w:fldCharType="begin"/>
            </w:r>
            <w:r>
              <w:rPr>
                <w:noProof/>
                <w:webHidden/>
              </w:rPr>
              <w:instrText xml:space="preserve"> PAGEREF _Toc225254921 \h </w:instrText>
            </w:r>
            <w:r>
              <w:rPr>
                <w:noProof/>
                <w:webHidden/>
              </w:rPr>
            </w:r>
            <w:r>
              <w:rPr>
                <w:noProof/>
                <w:webHidden/>
              </w:rPr>
              <w:fldChar w:fldCharType="separate"/>
            </w:r>
            <w:r w:rsidR="002E1134">
              <w:rPr>
                <w:noProof/>
                <w:webHidden/>
              </w:rPr>
              <w:t>5</w:t>
            </w:r>
            <w:r>
              <w:rPr>
                <w:noProof/>
                <w:webHidden/>
              </w:rPr>
              <w:fldChar w:fldCharType="end"/>
            </w:r>
          </w:hyperlink>
        </w:p>
        <w:p w14:paraId="123FF16D" w14:textId="69460D4C" w:rsidR="00373259" w:rsidRDefault="00373259">
          <w:pPr>
            <w:pStyle w:val="TOC2"/>
            <w:tabs>
              <w:tab w:val="right" w:leader="dot" w:pos="9016"/>
            </w:tabs>
            <w:rPr>
              <w:rFonts w:eastAsiaTheme="minorEastAsia"/>
              <w:noProof/>
              <w:lang w:eastAsia="en-GB"/>
            </w:rPr>
          </w:pPr>
          <w:hyperlink w:anchor="_Toc225254922" w:history="1">
            <w:r w:rsidRPr="00D21158">
              <w:rPr>
                <w:rStyle w:val="Hyperlink"/>
                <w:noProof/>
              </w:rPr>
              <w:t>Defining project sizes</w:t>
            </w:r>
            <w:r>
              <w:rPr>
                <w:noProof/>
                <w:webHidden/>
              </w:rPr>
              <w:tab/>
            </w:r>
            <w:r>
              <w:rPr>
                <w:noProof/>
                <w:webHidden/>
              </w:rPr>
              <w:fldChar w:fldCharType="begin"/>
            </w:r>
            <w:r>
              <w:rPr>
                <w:noProof/>
                <w:webHidden/>
              </w:rPr>
              <w:instrText xml:space="preserve"> PAGEREF _Toc225254922 \h </w:instrText>
            </w:r>
            <w:r>
              <w:rPr>
                <w:noProof/>
                <w:webHidden/>
              </w:rPr>
            </w:r>
            <w:r>
              <w:rPr>
                <w:noProof/>
                <w:webHidden/>
              </w:rPr>
              <w:fldChar w:fldCharType="separate"/>
            </w:r>
            <w:r w:rsidR="002E1134">
              <w:rPr>
                <w:noProof/>
                <w:webHidden/>
              </w:rPr>
              <w:t>5</w:t>
            </w:r>
            <w:r>
              <w:rPr>
                <w:noProof/>
                <w:webHidden/>
              </w:rPr>
              <w:fldChar w:fldCharType="end"/>
            </w:r>
          </w:hyperlink>
        </w:p>
        <w:p w14:paraId="3A1D9A45" w14:textId="073D70F0" w:rsidR="00373259" w:rsidRDefault="00373259">
          <w:pPr>
            <w:pStyle w:val="TOC2"/>
            <w:tabs>
              <w:tab w:val="right" w:leader="dot" w:pos="9016"/>
            </w:tabs>
            <w:rPr>
              <w:rFonts w:eastAsiaTheme="minorEastAsia"/>
              <w:noProof/>
              <w:lang w:eastAsia="en-GB"/>
            </w:rPr>
          </w:pPr>
          <w:hyperlink w:anchor="_Toc225254923" w:history="1">
            <w:r w:rsidRPr="00D21158">
              <w:rPr>
                <w:rStyle w:val="Hyperlink"/>
                <w:noProof/>
              </w:rPr>
              <w:t>Estimating current beef yields</w:t>
            </w:r>
            <w:r>
              <w:rPr>
                <w:noProof/>
                <w:webHidden/>
              </w:rPr>
              <w:tab/>
            </w:r>
            <w:r>
              <w:rPr>
                <w:noProof/>
                <w:webHidden/>
              </w:rPr>
              <w:fldChar w:fldCharType="begin"/>
            </w:r>
            <w:r>
              <w:rPr>
                <w:noProof/>
                <w:webHidden/>
              </w:rPr>
              <w:instrText xml:space="preserve"> PAGEREF _Toc225254923 \h </w:instrText>
            </w:r>
            <w:r>
              <w:rPr>
                <w:noProof/>
                <w:webHidden/>
              </w:rPr>
            </w:r>
            <w:r>
              <w:rPr>
                <w:noProof/>
                <w:webHidden/>
              </w:rPr>
              <w:fldChar w:fldCharType="separate"/>
            </w:r>
            <w:r w:rsidR="002E1134">
              <w:rPr>
                <w:noProof/>
                <w:webHidden/>
              </w:rPr>
              <w:t>5</w:t>
            </w:r>
            <w:r>
              <w:rPr>
                <w:noProof/>
                <w:webHidden/>
              </w:rPr>
              <w:fldChar w:fldCharType="end"/>
            </w:r>
          </w:hyperlink>
        </w:p>
        <w:p w14:paraId="1CB42156" w14:textId="465B4A78" w:rsidR="00373259" w:rsidRDefault="00373259">
          <w:pPr>
            <w:pStyle w:val="TOC2"/>
            <w:tabs>
              <w:tab w:val="right" w:leader="dot" w:pos="9016"/>
            </w:tabs>
            <w:rPr>
              <w:rFonts w:eastAsiaTheme="minorEastAsia"/>
              <w:noProof/>
              <w:lang w:eastAsia="en-GB"/>
            </w:rPr>
          </w:pPr>
          <w:hyperlink w:anchor="_Toc225254924" w:history="1">
            <w:r w:rsidRPr="00D21158">
              <w:rPr>
                <w:rStyle w:val="Hyperlink"/>
                <w:noProof/>
              </w:rPr>
              <w:t>Projecting future beef yields</w:t>
            </w:r>
            <w:r>
              <w:rPr>
                <w:noProof/>
                <w:webHidden/>
              </w:rPr>
              <w:tab/>
            </w:r>
            <w:r>
              <w:rPr>
                <w:noProof/>
                <w:webHidden/>
              </w:rPr>
              <w:fldChar w:fldCharType="begin"/>
            </w:r>
            <w:r>
              <w:rPr>
                <w:noProof/>
                <w:webHidden/>
              </w:rPr>
              <w:instrText xml:space="preserve"> PAGEREF _Toc225254924 \h </w:instrText>
            </w:r>
            <w:r>
              <w:rPr>
                <w:noProof/>
                <w:webHidden/>
              </w:rPr>
            </w:r>
            <w:r>
              <w:rPr>
                <w:noProof/>
                <w:webHidden/>
              </w:rPr>
              <w:fldChar w:fldCharType="separate"/>
            </w:r>
            <w:r w:rsidR="002E1134">
              <w:rPr>
                <w:noProof/>
                <w:webHidden/>
              </w:rPr>
              <w:t>7</w:t>
            </w:r>
            <w:r>
              <w:rPr>
                <w:noProof/>
                <w:webHidden/>
              </w:rPr>
              <w:fldChar w:fldCharType="end"/>
            </w:r>
          </w:hyperlink>
        </w:p>
        <w:p w14:paraId="456F92AB" w14:textId="750BD011" w:rsidR="00373259" w:rsidRDefault="00373259">
          <w:pPr>
            <w:pStyle w:val="TOC2"/>
            <w:tabs>
              <w:tab w:val="right" w:leader="dot" w:pos="9016"/>
            </w:tabs>
            <w:rPr>
              <w:rFonts w:eastAsiaTheme="minorEastAsia"/>
              <w:noProof/>
              <w:lang w:eastAsia="en-GB"/>
            </w:rPr>
          </w:pPr>
          <w:hyperlink w:anchor="_Toc225254925" w:history="1">
            <w:r w:rsidRPr="00D21158">
              <w:rPr>
                <w:rStyle w:val="Hyperlink"/>
                <w:noProof/>
              </w:rPr>
              <w:t>Maximum beef yield at carrying capacity</w:t>
            </w:r>
            <w:r>
              <w:rPr>
                <w:noProof/>
                <w:webHidden/>
              </w:rPr>
              <w:tab/>
            </w:r>
            <w:r>
              <w:rPr>
                <w:noProof/>
                <w:webHidden/>
              </w:rPr>
              <w:fldChar w:fldCharType="begin"/>
            </w:r>
            <w:r>
              <w:rPr>
                <w:noProof/>
                <w:webHidden/>
              </w:rPr>
              <w:instrText xml:space="preserve"> PAGEREF _Toc225254925 \h </w:instrText>
            </w:r>
            <w:r>
              <w:rPr>
                <w:noProof/>
                <w:webHidden/>
              </w:rPr>
            </w:r>
            <w:r>
              <w:rPr>
                <w:noProof/>
                <w:webHidden/>
              </w:rPr>
              <w:fldChar w:fldCharType="separate"/>
            </w:r>
            <w:r w:rsidR="002E1134">
              <w:rPr>
                <w:noProof/>
                <w:webHidden/>
              </w:rPr>
              <w:t>8</w:t>
            </w:r>
            <w:r>
              <w:rPr>
                <w:noProof/>
                <w:webHidden/>
              </w:rPr>
              <w:fldChar w:fldCharType="end"/>
            </w:r>
          </w:hyperlink>
        </w:p>
        <w:p w14:paraId="645A8D53" w14:textId="122935A3" w:rsidR="00373259" w:rsidRDefault="00373259">
          <w:pPr>
            <w:pStyle w:val="TOC2"/>
            <w:tabs>
              <w:tab w:val="right" w:leader="dot" w:pos="9016"/>
            </w:tabs>
            <w:rPr>
              <w:rFonts w:eastAsiaTheme="minorEastAsia"/>
              <w:noProof/>
              <w:lang w:eastAsia="en-GB"/>
            </w:rPr>
          </w:pPr>
          <w:hyperlink w:anchor="_Toc225254926" w:history="1">
            <w:r w:rsidRPr="00D21158">
              <w:rPr>
                <w:rStyle w:val="Hyperlink"/>
                <w:noProof/>
              </w:rPr>
              <w:t>Costs for increasing beef yields</w:t>
            </w:r>
            <w:r>
              <w:rPr>
                <w:noProof/>
                <w:webHidden/>
              </w:rPr>
              <w:tab/>
            </w:r>
            <w:r>
              <w:rPr>
                <w:noProof/>
                <w:webHidden/>
              </w:rPr>
              <w:fldChar w:fldCharType="begin"/>
            </w:r>
            <w:r>
              <w:rPr>
                <w:noProof/>
                <w:webHidden/>
              </w:rPr>
              <w:instrText xml:space="preserve"> PAGEREF _Toc225254926 \h </w:instrText>
            </w:r>
            <w:r>
              <w:rPr>
                <w:noProof/>
                <w:webHidden/>
              </w:rPr>
            </w:r>
            <w:r>
              <w:rPr>
                <w:noProof/>
                <w:webHidden/>
              </w:rPr>
              <w:fldChar w:fldCharType="separate"/>
            </w:r>
            <w:r w:rsidR="002E1134">
              <w:rPr>
                <w:noProof/>
                <w:webHidden/>
              </w:rPr>
              <w:t>9</w:t>
            </w:r>
            <w:r>
              <w:rPr>
                <w:noProof/>
                <w:webHidden/>
              </w:rPr>
              <w:fldChar w:fldCharType="end"/>
            </w:r>
          </w:hyperlink>
        </w:p>
        <w:p w14:paraId="00EC95E1" w14:textId="1D47232D" w:rsidR="00373259" w:rsidRDefault="00373259">
          <w:pPr>
            <w:pStyle w:val="TOC3"/>
            <w:tabs>
              <w:tab w:val="right" w:leader="dot" w:pos="9016"/>
            </w:tabs>
            <w:rPr>
              <w:rFonts w:eastAsiaTheme="minorEastAsia"/>
              <w:noProof/>
              <w:lang w:eastAsia="en-GB"/>
            </w:rPr>
          </w:pPr>
          <w:hyperlink w:anchor="_Toc225254927" w:history="1">
            <w:r w:rsidRPr="00D21158">
              <w:rPr>
                <w:rStyle w:val="Hyperlink"/>
                <w:noProof/>
              </w:rPr>
              <w:t>Primary estimation used in main analyses</w:t>
            </w:r>
            <w:r>
              <w:rPr>
                <w:noProof/>
                <w:webHidden/>
              </w:rPr>
              <w:tab/>
            </w:r>
            <w:r>
              <w:rPr>
                <w:noProof/>
                <w:webHidden/>
              </w:rPr>
              <w:fldChar w:fldCharType="begin"/>
            </w:r>
            <w:r>
              <w:rPr>
                <w:noProof/>
                <w:webHidden/>
              </w:rPr>
              <w:instrText xml:space="preserve"> PAGEREF _Toc225254927 \h </w:instrText>
            </w:r>
            <w:r>
              <w:rPr>
                <w:noProof/>
                <w:webHidden/>
              </w:rPr>
            </w:r>
            <w:r>
              <w:rPr>
                <w:noProof/>
                <w:webHidden/>
              </w:rPr>
              <w:fldChar w:fldCharType="separate"/>
            </w:r>
            <w:r w:rsidR="002E1134">
              <w:rPr>
                <w:noProof/>
                <w:webHidden/>
              </w:rPr>
              <w:t>9</w:t>
            </w:r>
            <w:r>
              <w:rPr>
                <w:noProof/>
                <w:webHidden/>
              </w:rPr>
              <w:fldChar w:fldCharType="end"/>
            </w:r>
          </w:hyperlink>
        </w:p>
        <w:p w14:paraId="0F3E7B5C" w14:textId="452FD13C" w:rsidR="00373259" w:rsidRDefault="00373259">
          <w:pPr>
            <w:pStyle w:val="TOC3"/>
            <w:tabs>
              <w:tab w:val="right" w:leader="dot" w:pos="9016"/>
            </w:tabs>
            <w:rPr>
              <w:rFonts w:eastAsiaTheme="minorEastAsia"/>
              <w:noProof/>
              <w:lang w:eastAsia="en-GB"/>
            </w:rPr>
          </w:pPr>
          <w:hyperlink w:anchor="_Toc225254928" w:history="1">
            <w:r w:rsidRPr="00D21158">
              <w:rPr>
                <w:rStyle w:val="Hyperlink"/>
                <w:noProof/>
              </w:rPr>
              <w:t>Alternative estimation used for robustness evaluation</w:t>
            </w:r>
            <w:r>
              <w:rPr>
                <w:noProof/>
                <w:webHidden/>
              </w:rPr>
              <w:tab/>
            </w:r>
            <w:r>
              <w:rPr>
                <w:noProof/>
                <w:webHidden/>
              </w:rPr>
              <w:fldChar w:fldCharType="begin"/>
            </w:r>
            <w:r>
              <w:rPr>
                <w:noProof/>
                <w:webHidden/>
              </w:rPr>
              <w:instrText xml:space="preserve"> PAGEREF _Toc225254928 \h </w:instrText>
            </w:r>
            <w:r>
              <w:rPr>
                <w:noProof/>
                <w:webHidden/>
              </w:rPr>
            </w:r>
            <w:r>
              <w:rPr>
                <w:noProof/>
                <w:webHidden/>
              </w:rPr>
              <w:fldChar w:fldCharType="separate"/>
            </w:r>
            <w:r w:rsidR="002E1134">
              <w:rPr>
                <w:noProof/>
                <w:webHidden/>
              </w:rPr>
              <w:t>10</w:t>
            </w:r>
            <w:r>
              <w:rPr>
                <w:noProof/>
                <w:webHidden/>
              </w:rPr>
              <w:fldChar w:fldCharType="end"/>
            </w:r>
          </w:hyperlink>
        </w:p>
        <w:p w14:paraId="6B0F28C0" w14:textId="1F529279" w:rsidR="00373259" w:rsidRDefault="00373259">
          <w:pPr>
            <w:pStyle w:val="TOC2"/>
            <w:tabs>
              <w:tab w:val="right" w:leader="dot" w:pos="9016"/>
            </w:tabs>
            <w:rPr>
              <w:rFonts w:eastAsiaTheme="minorEastAsia"/>
              <w:noProof/>
              <w:lang w:eastAsia="en-GB"/>
            </w:rPr>
          </w:pPr>
          <w:hyperlink w:anchor="_Toc225254929" w:history="1">
            <w:r w:rsidRPr="00D21158">
              <w:rPr>
                <w:rStyle w:val="Hyperlink"/>
                <w:noProof/>
              </w:rPr>
              <w:t>Restoration costs</w:t>
            </w:r>
            <w:r>
              <w:rPr>
                <w:noProof/>
                <w:webHidden/>
              </w:rPr>
              <w:tab/>
            </w:r>
            <w:r>
              <w:rPr>
                <w:noProof/>
                <w:webHidden/>
              </w:rPr>
              <w:fldChar w:fldCharType="begin"/>
            </w:r>
            <w:r>
              <w:rPr>
                <w:noProof/>
                <w:webHidden/>
              </w:rPr>
              <w:instrText xml:space="preserve"> PAGEREF _Toc225254929 \h </w:instrText>
            </w:r>
            <w:r>
              <w:rPr>
                <w:noProof/>
                <w:webHidden/>
              </w:rPr>
            </w:r>
            <w:r>
              <w:rPr>
                <w:noProof/>
                <w:webHidden/>
              </w:rPr>
              <w:fldChar w:fldCharType="separate"/>
            </w:r>
            <w:r w:rsidR="002E1134">
              <w:rPr>
                <w:noProof/>
                <w:webHidden/>
              </w:rPr>
              <w:t>11</w:t>
            </w:r>
            <w:r>
              <w:rPr>
                <w:noProof/>
                <w:webHidden/>
              </w:rPr>
              <w:fldChar w:fldCharType="end"/>
            </w:r>
          </w:hyperlink>
        </w:p>
        <w:p w14:paraId="3F9B3929" w14:textId="3BADE9EE" w:rsidR="00373259" w:rsidRDefault="00373259">
          <w:pPr>
            <w:pStyle w:val="TOC3"/>
            <w:tabs>
              <w:tab w:val="right" w:leader="dot" w:pos="9016"/>
            </w:tabs>
            <w:rPr>
              <w:rFonts w:eastAsiaTheme="minorEastAsia"/>
              <w:noProof/>
              <w:lang w:eastAsia="en-GB"/>
            </w:rPr>
          </w:pPr>
          <w:hyperlink w:anchor="_Toc225254930" w:history="1">
            <w:r w:rsidRPr="00D21158">
              <w:rPr>
                <w:rStyle w:val="Hyperlink"/>
                <w:noProof/>
              </w:rPr>
              <w:t>Modelling the probability of natural regeneration</w:t>
            </w:r>
            <w:r>
              <w:rPr>
                <w:noProof/>
                <w:webHidden/>
              </w:rPr>
              <w:tab/>
            </w:r>
            <w:r>
              <w:rPr>
                <w:noProof/>
                <w:webHidden/>
              </w:rPr>
              <w:fldChar w:fldCharType="begin"/>
            </w:r>
            <w:r>
              <w:rPr>
                <w:noProof/>
                <w:webHidden/>
              </w:rPr>
              <w:instrText xml:space="preserve"> PAGEREF _Toc225254930 \h </w:instrText>
            </w:r>
            <w:r>
              <w:rPr>
                <w:noProof/>
                <w:webHidden/>
              </w:rPr>
            </w:r>
            <w:r>
              <w:rPr>
                <w:noProof/>
                <w:webHidden/>
              </w:rPr>
              <w:fldChar w:fldCharType="separate"/>
            </w:r>
            <w:r w:rsidR="002E1134">
              <w:rPr>
                <w:noProof/>
                <w:webHidden/>
              </w:rPr>
              <w:t>12</w:t>
            </w:r>
            <w:r>
              <w:rPr>
                <w:noProof/>
                <w:webHidden/>
              </w:rPr>
              <w:fldChar w:fldCharType="end"/>
            </w:r>
          </w:hyperlink>
        </w:p>
        <w:p w14:paraId="40ECAF3D" w14:textId="3B60E1E7" w:rsidR="00373259" w:rsidRDefault="00373259">
          <w:pPr>
            <w:pStyle w:val="TOC2"/>
            <w:tabs>
              <w:tab w:val="right" w:leader="dot" w:pos="9016"/>
            </w:tabs>
            <w:rPr>
              <w:rFonts w:eastAsiaTheme="minorEastAsia"/>
              <w:noProof/>
              <w:lang w:eastAsia="en-GB"/>
            </w:rPr>
          </w:pPr>
          <w:hyperlink w:anchor="_Toc225254931" w:history="1">
            <w:r w:rsidRPr="00D21158">
              <w:rPr>
                <w:rStyle w:val="Hyperlink"/>
                <w:noProof/>
              </w:rPr>
              <w:t>Discounting the carbon additionality and carbon opportunity cost of restoration</w:t>
            </w:r>
            <w:r>
              <w:rPr>
                <w:noProof/>
                <w:webHidden/>
              </w:rPr>
              <w:tab/>
            </w:r>
            <w:r>
              <w:rPr>
                <w:noProof/>
                <w:webHidden/>
              </w:rPr>
              <w:fldChar w:fldCharType="begin"/>
            </w:r>
            <w:r>
              <w:rPr>
                <w:noProof/>
                <w:webHidden/>
              </w:rPr>
              <w:instrText xml:space="preserve"> PAGEREF _Toc225254931 \h </w:instrText>
            </w:r>
            <w:r>
              <w:rPr>
                <w:noProof/>
                <w:webHidden/>
              </w:rPr>
            </w:r>
            <w:r>
              <w:rPr>
                <w:noProof/>
                <w:webHidden/>
              </w:rPr>
              <w:fldChar w:fldCharType="separate"/>
            </w:r>
            <w:r w:rsidR="002E1134">
              <w:rPr>
                <w:noProof/>
                <w:webHidden/>
              </w:rPr>
              <w:t>15</w:t>
            </w:r>
            <w:r>
              <w:rPr>
                <w:noProof/>
                <w:webHidden/>
              </w:rPr>
              <w:fldChar w:fldCharType="end"/>
            </w:r>
          </w:hyperlink>
        </w:p>
        <w:p w14:paraId="530B8CBA" w14:textId="0426A6CE" w:rsidR="00373259" w:rsidRDefault="00373259">
          <w:pPr>
            <w:pStyle w:val="TOC2"/>
            <w:tabs>
              <w:tab w:val="right" w:leader="dot" w:pos="9016"/>
            </w:tabs>
            <w:rPr>
              <w:rFonts w:eastAsiaTheme="minorEastAsia"/>
              <w:noProof/>
              <w:lang w:eastAsia="en-GB"/>
            </w:rPr>
          </w:pPr>
          <w:hyperlink w:anchor="_Toc225254932" w:history="1">
            <w:r w:rsidRPr="00D21158">
              <w:rPr>
                <w:rStyle w:val="Hyperlink"/>
                <w:noProof/>
                <w:lang w:val="en-US"/>
              </w:rPr>
              <w:t>Sensitivity to international leakage</w:t>
            </w:r>
            <w:r>
              <w:rPr>
                <w:noProof/>
                <w:webHidden/>
              </w:rPr>
              <w:tab/>
            </w:r>
            <w:r>
              <w:rPr>
                <w:noProof/>
                <w:webHidden/>
              </w:rPr>
              <w:fldChar w:fldCharType="begin"/>
            </w:r>
            <w:r>
              <w:rPr>
                <w:noProof/>
                <w:webHidden/>
              </w:rPr>
              <w:instrText xml:space="preserve"> PAGEREF _Toc225254932 \h </w:instrText>
            </w:r>
            <w:r>
              <w:rPr>
                <w:noProof/>
                <w:webHidden/>
              </w:rPr>
            </w:r>
            <w:r>
              <w:rPr>
                <w:noProof/>
                <w:webHidden/>
              </w:rPr>
              <w:fldChar w:fldCharType="separate"/>
            </w:r>
            <w:r w:rsidR="002E1134">
              <w:rPr>
                <w:noProof/>
                <w:webHidden/>
              </w:rPr>
              <w:t>17</w:t>
            </w:r>
            <w:r>
              <w:rPr>
                <w:noProof/>
                <w:webHidden/>
              </w:rPr>
              <w:fldChar w:fldCharType="end"/>
            </w:r>
          </w:hyperlink>
        </w:p>
        <w:p w14:paraId="7D22A60A" w14:textId="2839715E" w:rsidR="00373259" w:rsidRDefault="00373259">
          <w:pPr>
            <w:pStyle w:val="TOC2"/>
            <w:tabs>
              <w:tab w:val="right" w:leader="dot" w:pos="9016"/>
            </w:tabs>
            <w:rPr>
              <w:rFonts w:eastAsiaTheme="minorEastAsia"/>
              <w:noProof/>
              <w:lang w:eastAsia="en-GB"/>
            </w:rPr>
          </w:pPr>
          <w:hyperlink w:anchor="_Toc225254933" w:history="1">
            <w:r w:rsidRPr="00D21158">
              <w:rPr>
                <w:rStyle w:val="Hyperlink"/>
                <w:noProof/>
                <w:lang w:val="en-US"/>
              </w:rPr>
              <w:t>Comparison of carbon costs with published estimates</w:t>
            </w:r>
            <w:r>
              <w:rPr>
                <w:noProof/>
                <w:webHidden/>
              </w:rPr>
              <w:tab/>
            </w:r>
            <w:r>
              <w:rPr>
                <w:noProof/>
                <w:webHidden/>
              </w:rPr>
              <w:fldChar w:fldCharType="begin"/>
            </w:r>
            <w:r>
              <w:rPr>
                <w:noProof/>
                <w:webHidden/>
              </w:rPr>
              <w:instrText xml:space="preserve"> PAGEREF _Toc225254933 \h </w:instrText>
            </w:r>
            <w:r>
              <w:rPr>
                <w:noProof/>
                <w:webHidden/>
              </w:rPr>
            </w:r>
            <w:r>
              <w:rPr>
                <w:noProof/>
                <w:webHidden/>
              </w:rPr>
              <w:fldChar w:fldCharType="separate"/>
            </w:r>
            <w:r w:rsidR="002E1134">
              <w:rPr>
                <w:noProof/>
                <w:webHidden/>
              </w:rPr>
              <w:t>18</w:t>
            </w:r>
            <w:r>
              <w:rPr>
                <w:noProof/>
                <w:webHidden/>
              </w:rPr>
              <w:fldChar w:fldCharType="end"/>
            </w:r>
          </w:hyperlink>
        </w:p>
        <w:p w14:paraId="3548D21B" w14:textId="17CE5C95" w:rsidR="00373259" w:rsidRDefault="00373259">
          <w:pPr>
            <w:pStyle w:val="TOC1"/>
            <w:tabs>
              <w:tab w:val="right" w:leader="dot" w:pos="9016"/>
            </w:tabs>
            <w:rPr>
              <w:rFonts w:eastAsiaTheme="minorEastAsia"/>
              <w:noProof/>
              <w:lang w:eastAsia="en-GB"/>
            </w:rPr>
          </w:pPr>
          <w:hyperlink w:anchor="_Toc225254934" w:history="1">
            <w:r w:rsidRPr="00D21158">
              <w:rPr>
                <w:rStyle w:val="Hyperlink"/>
                <w:noProof/>
              </w:rPr>
              <w:t>Supplementary Figures</w:t>
            </w:r>
            <w:r>
              <w:rPr>
                <w:noProof/>
                <w:webHidden/>
              </w:rPr>
              <w:tab/>
            </w:r>
            <w:r>
              <w:rPr>
                <w:noProof/>
                <w:webHidden/>
              </w:rPr>
              <w:fldChar w:fldCharType="begin"/>
            </w:r>
            <w:r>
              <w:rPr>
                <w:noProof/>
                <w:webHidden/>
              </w:rPr>
              <w:instrText xml:space="preserve"> PAGEREF _Toc225254934 \h </w:instrText>
            </w:r>
            <w:r>
              <w:rPr>
                <w:noProof/>
                <w:webHidden/>
              </w:rPr>
            </w:r>
            <w:r>
              <w:rPr>
                <w:noProof/>
                <w:webHidden/>
              </w:rPr>
              <w:fldChar w:fldCharType="separate"/>
            </w:r>
            <w:r w:rsidR="002E1134">
              <w:rPr>
                <w:noProof/>
                <w:webHidden/>
              </w:rPr>
              <w:t>19</w:t>
            </w:r>
            <w:r>
              <w:rPr>
                <w:noProof/>
                <w:webHidden/>
              </w:rPr>
              <w:fldChar w:fldCharType="end"/>
            </w:r>
          </w:hyperlink>
        </w:p>
        <w:p w14:paraId="45B1350B" w14:textId="06469263" w:rsidR="00373259" w:rsidRDefault="00373259">
          <w:pPr>
            <w:pStyle w:val="TOC1"/>
            <w:tabs>
              <w:tab w:val="right" w:leader="dot" w:pos="9016"/>
            </w:tabs>
            <w:rPr>
              <w:rFonts w:eastAsiaTheme="minorEastAsia"/>
              <w:noProof/>
              <w:lang w:eastAsia="en-GB"/>
            </w:rPr>
          </w:pPr>
          <w:hyperlink w:anchor="_Toc225254935" w:history="1">
            <w:r w:rsidRPr="00D21158">
              <w:rPr>
                <w:rStyle w:val="Hyperlink"/>
                <w:noProof/>
              </w:rPr>
              <w:t>Supplementary Tables</w:t>
            </w:r>
            <w:r>
              <w:rPr>
                <w:noProof/>
                <w:webHidden/>
              </w:rPr>
              <w:tab/>
            </w:r>
            <w:r>
              <w:rPr>
                <w:noProof/>
                <w:webHidden/>
              </w:rPr>
              <w:fldChar w:fldCharType="begin"/>
            </w:r>
            <w:r>
              <w:rPr>
                <w:noProof/>
                <w:webHidden/>
              </w:rPr>
              <w:instrText xml:space="preserve"> PAGEREF _Toc225254935 \h </w:instrText>
            </w:r>
            <w:r>
              <w:rPr>
                <w:noProof/>
                <w:webHidden/>
              </w:rPr>
            </w:r>
            <w:r>
              <w:rPr>
                <w:noProof/>
                <w:webHidden/>
              </w:rPr>
              <w:fldChar w:fldCharType="separate"/>
            </w:r>
            <w:r w:rsidR="002E1134">
              <w:rPr>
                <w:noProof/>
                <w:webHidden/>
              </w:rPr>
              <w:t>28</w:t>
            </w:r>
            <w:r>
              <w:rPr>
                <w:noProof/>
                <w:webHidden/>
              </w:rPr>
              <w:fldChar w:fldCharType="end"/>
            </w:r>
          </w:hyperlink>
        </w:p>
        <w:p w14:paraId="3A4CBBAA" w14:textId="6515AF5A" w:rsidR="00373259" w:rsidRDefault="00373259">
          <w:pPr>
            <w:pStyle w:val="TOC1"/>
            <w:tabs>
              <w:tab w:val="right" w:leader="dot" w:pos="9016"/>
            </w:tabs>
            <w:rPr>
              <w:rFonts w:eastAsiaTheme="minorEastAsia"/>
              <w:noProof/>
              <w:lang w:eastAsia="en-GB"/>
            </w:rPr>
          </w:pPr>
          <w:hyperlink w:anchor="_Toc225254936" w:history="1">
            <w:r w:rsidRPr="00D21158">
              <w:rPr>
                <w:rStyle w:val="Hyperlink"/>
                <w:noProof/>
                <w:lang w:val="pt-BR"/>
              </w:rPr>
              <w:t>Supplementary References</w:t>
            </w:r>
            <w:r>
              <w:rPr>
                <w:noProof/>
                <w:webHidden/>
              </w:rPr>
              <w:tab/>
            </w:r>
            <w:r>
              <w:rPr>
                <w:noProof/>
                <w:webHidden/>
              </w:rPr>
              <w:fldChar w:fldCharType="begin"/>
            </w:r>
            <w:r>
              <w:rPr>
                <w:noProof/>
                <w:webHidden/>
              </w:rPr>
              <w:instrText xml:space="preserve"> PAGEREF _Toc225254936 \h </w:instrText>
            </w:r>
            <w:r>
              <w:rPr>
                <w:noProof/>
                <w:webHidden/>
              </w:rPr>
            </w:r>
            <w:r>
              <w:rPr>
                <w:noProof/>
                <w:webHidden/>
              </w:rPr>
              <w:fldChar w:fldCharType="separate"/>
            </w:r>
            <w:r w:rsidR="002E1134">
              <w:rPr>
                <w:noProof/>
                <w:webHidden/>
              </w:rPr>
              <w:t>35</w:t>
            </w:r>
            <w:r>
              <w:rPr>
                <w:noProof/>
                <w:webHidden/>
              </w:rPr>
              <w:fldChar w:fldCharType="end"/>
            </w:r>
          </w:hyperlink>
        </w:p>
        <w:p w14:paraId="3D019C7D" w14:textId="2CC84C57" w:rsidR="005217AC" w:rsidRDefault="005217AC">
          <w:r>
            <w:rPr>
              <w:b/>
              <w:bCs/>
            </w:rPr>
            <w:fldChar w:fldCharType="end"/>
          </w:r>
        </w:p>
      </w:sdtContent>
    </w:sdt>
    <w:p w14:paraId="19B96E05" w14:textId="1926E550" w:rsidR="00060BAC" w:rsidRDefault="00060BAC">
      <w:r>
        <w:br w:type="page"/>
      </w:r>
    </w:p>
    <w:p w14:paraId="0437DB9F" w14:textId="6210A988" w:rsidR="005217AC" w:rsidRDefault="00252B49" w:rsidP="00252B49">
      <w:pPr>
        <w:pStyle w:val="Heading1"/>
      </w:pPr>
      <w:bookmarkStart w:id="1" w:name="_Toc225254919"/>
      <w:r>
        <w:lastRenderedPageBreak/>
        <w:t xml:space="preserve">List of </w:t>
      </w:r>
      <w:r w:rsidR="00441437">
        <w:t>F</w:t>
      </w:r>
      <w:r>
        <w:t>igures</w:t>
      </w:r>
      <w:bookmarkEnd w:id="1"/>
      <w:r w:rsidR="00060BAC">
        <w:t xml:space="preserve"> </w:t>
      </w:r>
    </w:p>
    <w:p w14:paraId="5F4DAAF6" w14:textId="02222746" w:rsidR="006F01AA" w:rsidRDefault="00FE3FDE">
      <w:pPr>
        <w:pStyle w:val="TableofFigures"/>
        <w:tabs>
          <w:tab w:val="right" w:leader="dot" w:pos="9016"/>
        </w:tabs>
        <w:rPr>
          <w:rFonts w:eastAsiaTheme="minorEastAsia"/>
          <w:noProof/>
          <w:lang w:eastAsia="en-GB"/>
        </w:rPr>
      </w:pPr>
      <w:r w:rsidRPr="001262CC">
        <w:fldChar w:fldCharType="begin"/>
      </w:r>
      <w:r w:rsidRPr="001262CC">
        <w:instrText xml:space="preserve"> TOC \h \z \c "Supplementary Figure" </w:instrText>
      </w:r>
      <w:r w:rsidRPr="001262CC">
        <w:fldChar w:fldCharType="separate"/>
      </w:r>
      <w:hyperlink w:anchor="_Toc227067480" w:history="1">
        <w:r w:rsidR="006F01AA" w:rsidRPr="00624673">
          <w:rPr>
            <w:rStyle w:val="Hyperlink"/>
            <w:noProof/>
          </w:rPr>
          <w:t>Supplementary Figure 1. Distributions of pasture stocking rate and resulting beef yield.</w:t>
        </w:r>
        <w:r w:rsidR="006F01AA">
          <w:rPr>
            <w:noProof/>
            <w:webHidden/>
          </w:rPr>
          <w:tab/>
        </w:r>
        <w:r w:rsidR="006F01AA">
          <w:rPr>
            <w:noProof/>
            <w:webHidden/>
          </w:rPr>
          <w:fldChar w:fldCharType="begin"/>
        </w:r>
        <w:r w:rsidR="006F01AA">
          <w:rPr>
            <w:noProof/>
            <w:webHidden/>
          </w:rPr>
          <w:instrText xml:space="preserve"> PAGEREF _Toc227067480 \h </w:instrText>
        </w:r>
        <w:r w:rsidR="006F01AA">
          <w:rPr>
            <w:noProof/>
            <w:webHidden/>
          </w:rPr>
        </w:r>
        <w:r w:rsidR="006F01AA">
          <w:rPr>
            <w:noProof/>
            <w:webHidden/>
          </w:rPr>
          <w:fldChar w:fldCharType="separate"/>
        </w:r>
        <w:r w:rsidR="006F01AA">
          <w:rPr>
            <w:noProof/>
            <w:webHidden/>
          </w:rPr>
          <w:t>19</w:t>
        </w:r>
        <w:r w:rsidR="006F01AA">
          <w:rPr>
            <w:noProof/>
            <w:webHidden/>
          </w:rPr>
          <w:fldChar w:fldCharType="end"/>
        </w:r>
      </w:hyperlink>
    </w:p>
    <w:p w14:paraId="41A4924F" w14:textId="5D86256A" w:rsidR="006F01AA" w:rsidRDefault="006F01AA">
      <w:pPr>
        <w:pStyle w:val="TableofFigures"/>
        <w:tabs>
          <w:tab w:val="right" w:leader="dot" w:pos="9016"/>
        </w:tabs>
        <w:rPr>
          <w:rFonts w:eastAsiaTheme="minorEastAsia"/>
          <w:noProof/>
          <w:lang w:eastAsia="en-GB"/>
        </w:rPr>
      </w:pPr>
      <w:hyperlink w:anchor="_Toc227067481" w:history="1">
        <w:r w:rsidRPr="00624673">
          <w:rPr>
            <w:rStyle w:val="Hyperlink"/>
            <w:noProof/>
          </w:rPr>
          <w:t>Supplementary Figure 2. Spatial datasets used in the leakage modelling framework for Brazil.</w:t>
        </w:r>
        <w:r>
          <w:rPr>
            <w:noProof/>
            <w:webHidden/>
          </w:rPr>
          <w:tab/>
        </w:r>
        <w:r>
          <w:rPr>
            <w:noProof/>
            <w:webHidden/>
          </w:rPr>
          <w:fldChar w:fldCharType="begin"/>
        </w:r>
        <w:r>
          <w:rPr>
            <w:noProof/>
            <w:webHidden/>
          </w:rPr>
          <w:instrText xml:space="preserve"> PAGEREF _Toc227067481 \h </w:instrText>
        </w:r>
        <w:r>
          <w:rPr>
            <w:noProof/>
            <w:webHidden/>
          </w:rPr>
        </w:r>
        <w:r>
          <w:rPr>
            <w:noProof/>
            <w:webHidden/>
          </w:rPr>
          <w:fldChar w:fldCharType="separate"/>
        </w:r>
        <w:r>
          <w:rPr>
            <w:noProof/>
            <w:webHidden/>
          </w:rPr>
          <w:t>20</w:t>
        </w:r>
        <w:r>
          <w:rPr>
            <w:noProof/>
            <w:webHidden/>
          </w:rPr>
          <w:fldChar w:fldCharType="end"/>
        </w:r>
      </w:hyperlink>
    </w:p>
    <w:p w14:paraId="618DAC9A" w14:textId="4E411C89" w:rsidR="006F01AA" w:rsidRDefault="006F01AA">
      <w:pPr>
        <w:pStyle w:val="TableofFigures"/>
        <w:tabs>
          <w:tab w:val="right" w:leader="dot" w:pos="9016"/>
        </w:tabs>
        <w:rPr>
          <w:rFonts w:eastAsiaTheme="minorEastAsia"/>
          <w:noProof/>
          <w:lang w:eastAsia="en-GB"/>
        </w:rPr>
      </w:pPr>
      <w:hyperlink w:anchor="_Toc227067482" w:history="1">
        <w:r w:rsidRPr="00624673">
          <w:rPr>
            <w:rStyle w:val="Hyperlink"/>
            <w:noProof/>
          </w:rPr>
          <w:t>Supplementary Figure 3. Sensitivity of carbon costs to assumptions about future beef yield trajectories.</w:t>
        </w:r>
        <w:r>
          <w:rPr>
            <w:noProof/>
            <w:webHidden/>
          </w:rPr>
          <w:tab/>
        </w:r>
        <w:r>
          <w:rPr>
            <w:noProof/>
            <w:webHidden/>
          </w:rPr>
          <w:fldChar w:fldCharType="begin"/>
        </w:r>
        <w:r>
          <w:rPr>
            <w:noProof/>
            <w:webHidden/>
          </w:rPr>
          <w:instrText xml:space="preserve"> PAGEREF _Toc227067482 \h </w:instrText>
        </w:r>
        <w:r>
          <w:rPr>
            <w:noProof/>
            <w:webHidden/>
          </w:rPr>
        </w:r>
        <w:r>
          <w:rPr>
            <w:noProof/>
            <w:webHidden/>
          </w:rPr>
          <w:fldChar w:fldCharType="separate"/>
        </w:r>
        <w:r>
          <w:rPr>
            <w:noProof/>
            <w:webHidden/>
          </w:rPr>
          <w:t>21</w:t>
        </w:r>
        <w:r>
          <w:rPr>
            <w:noProof/>
            <w:webHidden/>
          </w:rPr>
          <w:fldChar w:fldCharType="end"/>
        </w:r>
      </w:hyperlink>
    </w:p>
    <w:p w14:paraId="132369DD" w14:textId="4FB4FF85" w:rsidR="006F01AA" w:rsidRDefault="006F01AA">
      <w:pPr>
        <w:pStyle w:val="TableofFigures"/>
        <w:tabs>
          <w:tab w:val="right" w:leader="dot" w:pos="9016"/>
        </w:tabs>
        <w:rPr>
          <w:rFonts w:eastAsiaTheme="minorEastAsia"/>
          <w:noProof/>
          <w:lang w:eastAsia="en-GB"/>
        </w:rPr>
      </w:pPr>
      <w:hyperlink w:anchor="_Toc227067483" w:history="1">
        <w:r w:rsidRPr="00624673">
          <w:rPr>
            <w:rStyle w:val="Hyperlink"/>
            <w:noProof/>
          </w:rPr>
          <w:t>Supplementary Figure 4. Forgone-production-to-carbon-gained ratio distribution of the top ten beef-exporting countries.</w:t>
        </w:r>
        <w:r>
          <w:rPr>
            <w:noProof/>
            <w:webHidden/>
          </w:rPr>
          <w:tab/>
        </w:r>
        <w:r>
          <w:rPr>
            <w:noProof/>
            <w:webHidden/>
          </w:rPr>
          <w:fldChar w:fldCharType="begin"/>
        </w:r>
        <w:r>
          <w:rPr>
            <w:noProof/>
            <w:webHidden/>
          </w:rPr>
          <w:instrText xml:space="preserve"> PAGEREF _Toc227067483 \h </w:instrText>
        </w:r>
        <w:r>
          <w:rPr>
            <w:noProof/>
            <w:webHidden/>
          </w:rPr>
        </w:r>
        <w:r>
          <w:rPr>
            <w:noProof/>
            <w:webHidden/>
          </w:rPr>
          <w:fldChar w:fldCharType="separate"/>
        </w:r>
        <w:r>
          <w:rPr>
            <w:noProof/>
            <w:webHidden/>
          </w:rPr>
          <w:t>22</w:t>
        </w:r>
        <w:r>
          <w:rPr>
            <w:noProof/>
            <w:webHidden/>
          </w:rPr>
          <w:fldChar w:fldCharType="end"/>
        </w:r>
      </w:hyperlink>
    </w:p>
    <w:p w14:paraId="50A0F590" w14:textId="48950004" w:rsidR="006F01AA" w:rsidRDefault="006F01AA">
      <w:pPr>
        <w:pStyle w:val="TableofFigures"/>
        <w:tabs>
          <w:tab w:val="right" w:leader="dot" w:pos="9016"/>
        </w:tabs>
        <w:rPr>
          <w:rFonts w:eastAsiaTheme="minorEastAsia"/>
          <w:noProof/>
          <w:lang w:eastAsia="en-GB"/>
        </w:rPr>
      </w:pPr>
      <w:hyperlink w:anchor="_Toc227067484" w:history="1">
        <w:r w:rsidRPr="00624673">
          <w:rPr>
            <w:rStyle w:val="Hyperlink"/>
            <w:noProof/>
          </w:rPr>
          <w:t>Supplementary Figure 5. Above-ground biomass recovery in secondary tropical forests over time.</w:t>
        </w:r>
        <w:r>
          <w:rPr>
            <w:noProof/>
            <w:webHidden/>
          </w:rPr>
          <w:tab/>
        </w:r>
        <w:r>
          <w:rPr>
            <w:noProof/>
            <w:webHidden/>
          </w:rPr>
          <w:fldChar w:fldCharType="begin"/>
        </w:r>
        <w:r>
          <w:rPr>
            <w:noProof/>
            <w:webHidden/>
          </w:rPr>
          <w:instrText xml:space="preserve"> PAGEREF _Toc227067484 \h </w:instrText>
        </w:r>
        <w:r>
          <w:rPr>
            <w:noProof/>
            <w:webHidden/>
          </w:rPr>
        </w:r>
        <w:r>
          <w:rPr>
            <w:noProof/>
            <w:webHidden/>
          </w:rPr>
          <w:fldChar w:fldCharType="separate"/>
        </w:r>
        <w:r>
          <w:rPr>
            <w:noProof/>
            <w:webHidden/>
          </w:rPr>
          <w:t>23</w:t>
        </w:r>
        <w:r>
          <w:rPr>
            <w:noProof/>
            <w:webHidden/>
          </w:rPr>
          <w:fldChar w:fldCharType="end"/>
        </w:r>
      </w:hyperlink>
    </w:p>
    <w:p w14:paraId="49F96A95" w14:textId="6BC4D905" w:rsidR="006F01AA" w:rsidRDefault="006F01AA">
      <w:pPr>
        <w:pStyle w:val="TableofFigures"/>
        <w:tabs>
          <w:tab w:val="right" w:leader="dot" w:pos="9016"/>
        </w:tabs>
        <w:rPr>
          <w:rFonts w:eastAsiaTheme="minorEastAsia"/>
          <w:noProof/>
          <w:lang w:eastAsia="en-GB"/>
        </w:rPr>
      </w:pPr>
      <w:hyperlink w:anchor="_Toc227067485" w:history="1">
        <w:r w:rsidRPr="00624673">
          <w:rPr>
            <w:rStyle w:val="Hyperlink"/>
            <w:noProof/>
          </w:rPr>
          <w:t>Supplementary Figure 6. Predictor importance and classification performance of the natural regeneration model .</w:t>
        </w:r>
        <w:r>
          <w:rPr>
            <w:noProof/>
            <w:webHidden/>
          </w:rPr>
          <w:tab/>
        </w:r>
        <w:r>
          <w:rPr>
            <w:noProof/>
            <w:webHidden/>
          </w:rPr>
          <w:fldChar w:fldCharType="begin"/>
        </w:r>
        <w:r>
          <w:rPr>
            <w:noProof/>
            <w:webHidden/>
          </w:rPr>
          <w:instrText xml:space="preserve"> PAGEREF _Toc227067485 \h </w:instrText>
        </w:r>
        <w:r>
          <w:rPr>
            <w:noProof/>
            <w:webHidden/>
          </w:rPr>
        </w:r>
        <w:r>
          <w:rPr>
            <w:noProof/>
            <w:webHidden/>
          </w:rPr>
          <w:fldChar w:fldCharType="separate"/>
        </w:r>
        <w:r>
          <w:rPr>
            <w:noProof/>
            <w:webHidden/>
          </w:rPr>
          <w:t>24</w:t>
        </w:r>
        <w:r>
          <w:rPr>
            <w:noProof/>
            <w:webHidden/>
          </w:rPr>
          <w:fldChar w:fldCharType="end"/>
        </w:r>
      </w:hyperlink>
    </w:p>
    <w:p w14:paraId="007AA4BC" w14:textId="4FD18F46" w:rsidR="006F01AA" w:rsidRDefault="006F01AA">
      <w:pPr>
        <w:pStyle w:val="TableofFigures"/>
        <w:tabs>
          <w:tab w:val="right" w:leader="dot" w:pos="9016"/>
        </w:tabs>
        <w:rPr>
          <w:rFonts w:eastAsiaTheme="minorEastAsia"/>
          <w:noProof/>
          <w:lang w:eastAsia="en-GB"/>
        </w:rPr>
      </w:pPr>
      <w:hyperlink w:anchor="_Toc227067486" w:history="1">
        <w:r w:rsidRPr="00624673">
          <w:rPr>
            <w:rStyle w:val="Hyperlink"/>
            <w:noProof/>
          </w:rPr>
          <w:t>Supplementary Figure 7. Discounted social cost of carbon (SCC) over time under three discount rate assumptions.</w:t>
        </w:r>
        <w:r>
          <w:rPr>
            <w:noProof/>
            <w:webHidden/>
          </w:rPr>
          <w:tab/>
        </w:r>
        <w:r>
          <w:rPr>
            <w:noProof/>
            <w:webHidden/>
          </w:rPr>
          <w:fldChar w:fldCharType="begin"/>
        </w:r>
        <w:r>
          <w:rPr>
            <w:noProof/>
            <w:webHidden/>
          </w:rPr>
          <w:instrText xml:space="preserve"> PAGEREF _Toc227067486 \h </w:instrText>
        </w:r>
        <w:r>
          <w:rPr>
            <w:noProof/>
            <w:webHidden/>
          </w:rPr>
        </w:r>
        <w:r>
          <w:rPr>
            <w:noProof/>
            <w:webHidden/>
          </w:rPr>
          <w:fldChar w:fldCharType="separate"/>
        </w:r>
        <w:r>
          <w:rPr>
            <w:noProof/>
            <w:webHidden/>
          </w:rPr>
          <w:t>25</w:t>
        </w:r>
        <w:r>
          <w:rPr>
            <w:noProof/>
            <w:webHidden/>
          </w:rPr>
          <w:fldChar w:fldCharType="end"/>
        </w:r>
      </w:hyperlink>
    </w:p>
    <w:p w14:paraId="7C0E6229" w14:textId="7CB4C971" w:rsidR="006F01AA" w:rsidRDefault="006F01AA">
      <w:pPr>
        <w:pStyle w:val="TableofFigures"/>
        <w:tabs>
          <w:tab w:val="right" w:leader="dot" w:pos="9016"/>
        </w:tabs>
        <w:rPr>
          <w:rFonts w:eastAsiaTheme="minorEastAsia"/>
          <w:noProof/>
          <w:lang w:eastAsia="en-GB"/>
        </w:rPr>
      </w:pPr>
      <w:hyperlink w:anchor="_Toc227067487" w:history="1">
        <w:r w:rsidRPr="00624673">
          <w:rPr>
            <w:rStyle w:val="Hyperlink"/>
            <w:noProof/>
          </w:rPr>
          <w:t>Supplementary Figure 8. Sensitivity of forgone-production-to-carbon-gained ratio variability to weighting of stocking rates across scales</w:t>
        </w:r>
        <w:r>
          <w:rPr>
            <w:noProof/>
            <w:webHidden/>
          </w:rPr>
          <w:tab/>
        </w:r>
        <w:r>
          <w:rPr>
            <w:noProof/>
            <w:webHidden/>
          </w:rPr>
          <w:fldChar w:fldCharType="begin"/>
        </w:r>
        <w:r>
          <w:rPr>
            <w:noProof/>
            <w:webHidden/>
          </w:rPr>
          <w:instrText xml:space="preserve"> PAGEREF _Toc227067487 \h </w:instrText>
        </w:r>
        <w:r>
          <w:rPr>
            <w:noProof/>
            <w:webHidden/>
          </w:rPr>
        </w:r>
        <w:r>
          <w:rPr>
            <w:noProof/>
            <w:webHidden/>
          </w:rPr>
          <w:fldChar w:fldCharType="separate"/>
        </w:r>
        <w:r>
          <w:rPr>
            <w:noProof/>
            <w:webHidden/>
          </w:rPr>
          <w:t>26</w:t>
        </w:r>
        <w:r>
          <w:rPr>
            <w:noProof/>
            <w:webHidden/>
          </w:rPr>
          <w:fldChar w:fldCharType="end"/>
        </w:r>
      </w:hyperlink>
    </w:p>
    <w:p w14:paraId="4ED8C2FE" w14:textId="3F48B90D" w:rsidR="006F01AA" w:rsidRDefault="006F01AA">
      <w:pPr>
        <w:pStyle w:val="TableofFigures"/>
        <w:tabs>
          <w:tab w:val="right" w:leader="dot" w:pos="9016"/>
        </w:tabs>
        <w:rPr>
          <w:rFonts w:eastAsiaTheme="minorEastAsia"/>
          <w:noProof/>
          <w:lang w:eastAsia="en-GB"/>
        </w:rPr>
      </w:pPr>
      <w:hyperlink w:anchor="_Toc227067488" w:history="1">
        <w:r w:rsidRPr="00624673">
          <w:rPr>
            <w:rStyle w:val="Hyperlink"/>
            <w:noProof/>
          </w:rPr>
          <w:t>Supplementary Figure 9. Carbon cost outcomes under alternative beef-intensification cost assumptions.</w:t>
        </w:r>
        <w:r>
          <w:rPr>
            <w:noProof/>
            <w:webHidden/>
          </w:rPr>
          <w:tab/>
        </w:r>
        <w:r>
          <w:rPr>
            <w:noProof/>
            <w:webHidden/>
          </w:rPr>
          <w:fldChar w:fldCharType="begin"/>
        </w:r>
        <w:r>
          <w:rPr>
            <w:noProof/>
            <w:webHidden/>
          </w:rPr>
          <w:instrText xml:space="preserve"> PAGEREF _Toc227067488 \h </w:instrText>
        </w:r>
        <w:r>
          <w:rPr>
            <w:noProof/>
            <w:webHidden/>
          </w:rPr>
        </w:r>
        <w:r>
          <w:rPr>
            <w:noProof/>
            <w:webHidden/>
          </w:rPr>
          <w:fldChar w:fldCharType="separate"/>
        </w:r>
        <w:r>
          <w:rPr>
            <w:noProof/>
            <w:webHidden/>
          </w:rPr>
          <w:t>27</w:t>
        </w:r>
        <w:r>
          <w:rPr>
            <w:noProof/>
            <w:webHidden/>
          </w:rPr>
          <w:fldChar w:fldCharType="end"/>
        </w:r>
      </w:hyperlink>
    </w:p>
    <w:p w14:paraId="38D264B7" w14:textId="6CBD78A4" w:rsidR="00D52FC0" w:rsidRDefault="00FE3FDE">
      <w:r w:rsidRPr="001262CC">
        <w:fldChar w:fldCharType="end"/>
      </w:r>
    </w:p>
    <w:p w14:paraId="07F7D44D" w14:textId="77777777" w:rsidR="00D936A8" w:rsidRDefault="00D936A8">
      <w:r>
        <w:br w:type="page"/>
      </w:r>
    </w:p>
    <w:p w14:paraId="53AB4713" w14:textId="4CF746AE" w:rsidR="00700954" w:rsidRDefault="00700954" w:rsidP="00700954">
      <w:pPr>
        <w:pStyle w:val="Heading1"/>
      </w:pPr>
      <w:bookmarkStart w:id="2" w:name="_Toc225254920"/>
      <w:r>
        <w:lastRenderedPageBreak/>
        <w:t xml:space="preserve">List of </w:t>
      </w:r>
      <w:r w:rsidR="00441437">
        <w:t>T</w:t>
      </w:r>
      <w:r>
        <w:t>ables</w:t>
      </w:r>
      <w:bookmarkEnd w:id="2"/>
    </w:p>
    <w:p w14:paraId="630B3498" w14:textId="08B2A58D" w:rsidR="00830505" w:rsidRDefault="00DD7A27">
      <w:pPr>
        <w:pStyle w:val="TableofFigures"/>
        <w:tabs>
          <w:tab w:val="right" w:leader="dot" w:pos="9016"/>
        </w:tabs>
        <w:rPr>
          <w:rFonts w:eastAsiaTheme="minorEastAsia"/>
          <w:noProof/>
          <w:lang w:eastAsia="en-GB"/>
        </w:rPr>
      </w:pPr>
      <w:r>
        <w:fldChar w:fldCharType="begin"/>
      </w:r>
      <w:r>
        <w:instrText xml:space="preserve"> TOC \h \z \c "Supplementary Table" </w:instrText>
      </w:r>
      <w:r>
        <w:fldChar w:fldCharType="separate"/>
      </w:r>
      <w:hyperlink w:anchor="_Toc221109373" w:history="1">
        <w:r w:rsidR="00830505" w:rsidRPr="008C7894">
          <w:rPr>
            <w:rStyle w:val="Hyperlink"/>
            <w:noProof/>
          </w:rPr>
          <w:t>Supplementary Table 1. Property size classes used in the 2017 Brazilian Agricultural Census.</w:t>
        </w:r>
        <w:r w:rsidR="00830505">
          <w:rPr>
            <w:noProof/>
            <w:webHidden/>
          </w:rPr>
          <w:tab/>
        </w:r>
        <w:r w:rsidR="00830505">
          <w:rPr>
            <w:noProof/>
            <w:webHidden/>
          </w:rPr>
          <w:fldChar w:fldCharType="begin"/>
        </w:r>
        <w:r w:rsidR="00830505">
          <w:rPr>
            <w:noProof/>
            <w:webHidden/>
          </w:rPr>
          <w:instrText xml:space="preserve"> PAGEREF _Toc221109373 \h </w:instrText>
        </w:r>
        <w:r w:rsidR="00830505">
          <w:rPr>
            <w:noProof/>
            <w:webHidden/>
          </w:rPr>
        </w:r>
        <w:r w:rsidR="00830505">
          <w:rPr>
            <w:noProof/>
            <w:webHidden/>
          </w:rPr>
          <w:fldChar w:fldCharType="separate"/>
        </w:r>
        <w:r w:rsidR="002E1134">
          <w:rPr>
            <w:noProof/>
            <w:webHidden/>
          </w:rPr>
          <w:t>28</w:t>
        </w:r>
        <w:r w:rsidR="00830505">
          <w:rPr>
            <w:noProof/>
            <w:webHidden/>
          </w:rPr>
          <w:fldChar w:fldCharType="end"/>
        </w:r>
      </w:hyperlink>
    </w:p>
    <w:p w14:paraId="3FEDA08F" w14:textId="7F8FA722" w:rsidR="00830505" w:rsidRDefault="00830505">
      <w:pPr>
        <w:pStyle w:val="TableofFigures"/>
        <w:tabs>
          <w:tab w:val="right" w:leader="dot" w:pos="9016"/>
        </w:tabs>
        <w:rPr>
          <w:rFonts w:eastAsiaTheme="minorEastAsia"/>
          <w:noProof/>
          <w:lang w:eastAsia="en-GB"/>
        </w:rPr>
      </w:pPr>
      <w:hyperlink w:anchor="_Toc221109374" w:history="1">
        <w:r w:rsidRPr="008C7894">
          <w:rPr>
            <w:rStyle w:val="Hyperlink"/>
            <w:noProof/>
          </w:rPr>
          <w:t>Supplementary Table 2. State-level intensification costs and added beef production in Brazilian extensive pasture systems.</w:t>
        </w:r>
        <w:r>
          <w:rPr>
            <w:noProof/>
            <w:webHidden/>
          </w:rPr>
          <w:tab/>
        </w:r>
        <w:r>
          <w:rPr>
            <w:noProof/>
            <w:webHidden/>
          </w:rPr>
          <w:fldChar w:fldCharType="begin"/>
        </w:r>
        <w:r>
          <w:rPr>
            <w:noProof/>
            <w:webHidden/>
          </w:rPr>
          <w:instrText xml:space="preserve"> PAGEREF _Toc221109374 \h </w:instrText>
        </w:r>
        <w:r>
          <w:rPr>
            <w:noProof/>
            <w:webHidden/>
          </w:rPr>
        </w:r>
        <w:r>
          <w:rPr>
            <w:noProof/>
            <w:webHidden/>
          </w:rPr>
          <w:fldChar w:fldCharType="separate"/>
        </w:r>
        <w:r w:rsidR="002E1134">
          <w:rPr>
            <w:noProof/>
            <w:webHidden/>
          </w:rPr>
          <w:t>29</w:t>
        </w:r>
        <w:r>
          <w:rPr>
            <w:noProof/>
            <w:webHidden/>
          </w:rPr>
          <w:fldChar w:fldCharType="end"/>
        </w:r>
      </w:hyperlink>
    </w:p>
    <w:p w14:paraId="1A3552A9" w14:textId="4D539983" w:rsidR="00830505" w:rsidRDefault="00830505">
      <w:pPr>
        <w:pStyle w:val="TableofFigures"/>
        <w:tabs>
          <w:tab w:val="right" w:leader="dot" w:pos="9016"/>
        </w:tabs>
        <w:rPr>
          <w:rFonts w:eastAsiaTheme="minorEastAsia"/>
          <w:noProof/>
          <w:lang w:eastAsia="en-GB"/>
        </w:rPr>
      </w:pPr>
      <w:hyperlink w:anchor="_Toc221109375" w:history="1">
        <w:r w:rsidRPr="008C7894">
          <w:rPr>
            <w:rStyle w:val="Hyperlink"/>
            <w:noProof/>
          </w:rPr>
          <w:t>Supplementary Table 3. Reform, recovery  and maintenance costs (in 2021 USD per hectare) for Brazilian biomes.</w:t>
        </w:r>
        <w:r>
          <w:rPr>
            <w:noProof/>
            <w:webHidden/>
          </w:rPr>
          <w:tab/>
        </w:r>
        <w:r>
          <w:rPr>
            <w:noProof/>
            <w:webHidden/>
          </w:rPr>
          <w:fldChar w:fldCharType="begin"/>
        </w:r>
        <w:r>
          <w:rPr>
            <w:noProof/>
            <w:webHidden/>
          </w:rPr>
          <w:instrText xml:space="preserve"> PAGEREF _Toc221109375 \h </w:instrText>
        </w:r>
        <w:r>
          <w:rPr>
            <w:noProof/>
            <w:webHidden/>
          </w:rPr>
        </w:r>
        <w:r>
          <w:rPr>
            <w:noProof/>
            <w:webHidden/>
          </w:rPr>
          <w:fldChar w:fldCharType="separate"/>
        </w:r>
        <w:r w:rsidR="002E1134">
          <w:rPr>
            <w:noProof/>
            <w:webHidden/>
          </w:rPr>
          <w:t>31</w:t>
        </w:r>
        <w:r>
          <w:rPr>
            <w:noProof/>
            <w:webHidden/>
          </w:rPr>
          <w:fldChar w:fldCharType="end"/>
        </w:r>
      </w:hyperlink>
    </w:p>
    <w:p w14:paraId="0AB0E687" w14:textId="08D7954B" w:rsidR="00830505" w:rsidRDefault="00830505">
      <w:pPr>
        <w:pStyle w:val="TableofFigures"/>
        <w:tabs>
          <w:tab w:val="right" w:leader="dot" w:pos="9016"/>
        </w:tabs>
        <w:rPr>
          <w:rFonts w:eastAsiaTheme="minorEastAsia"/>
          <w:noProof/>
          <w:lang w:eastAsia="en-GB"/>
        </w:rPr>
      </w:pPr>
      <w:hyperlink w:anchor="_Toc221109376" w:history="1">
        <w:r w:rsidRPr="008C7894">
          <w:rPr>
            <w:rStyle w:val="Hyperlink"/>
            <w:noProof/>
          </w:rPr>
          <w:t>Supplementary Table 4. Variation in carbon costs under different discount rates when ignoring vs. mitigating leakage.</w:t>
        </w:r>
        <w:r>
          <w:rPr>
            <w:noProof/>
            <w:webHidden/>
          </w:rPr>
          <w:tab/>
        </w:r>
        <w:r>
          <w:rPr>
            <w:noProof/>
            <w:webHidden/>
          </w:rPr>
          <w:fldChar w:fldCharType="begin"/>
        </w:r>
        <w:r>
          <w:rPr>
            <w:noProof/>
            <w:webHidden/>
          </w:rPr>
          <w:instrText xml:space="preserve"> PAGEREF _Toc221109376 \h </w:instrText>
        </w:r>
        <w:r>
          <w:rPr>
            <w:noProof/>
            <w:webHidden/>
          </w:rPr>
        </w:r>
        <w:r>
          <w:rPr>
            <w:noProof/>
            <w:webHidden/>
          </w:rPr>
          <w:fldChar w:fldCharType="separate"/>
        </w:r>
        <w:r w:rsidR="002E1134">
          <w:rPr>
            <w:noProof/>
            <w:webHidden/>
          </w:rPr>
          <w:t>32</w:t>
        </w:r>
        <w:r>
          <w:rPr>
            <w:noProof/>
            <w:webHidden/>
          </w:rPr>
          <w:fldChar w:fldCharType="end"/>
        </w:r>
      </w:hyperlink>
    </w:p>
    <w:p w14:paraId="3F88874F" w14:textId="774D306E" w:rsidR="00830505" w:rsidRDefault="00830505">
      <w:pPr>
        <w:pStyle w:val="TableofFigures"/>
        <w:tabs>
          <w:tab w:val="right" w:leader="dot" w:pos="9016"/>
        </w:tabs>
        <w:rPr>
          <w:rFonts w:eastAsiaTheme="minorEastAsia"/>
          <w:noProof/>
          <w:lang w:eastAsia="en-GB"/>
        </w:rPr>
      </w:pPr>
      <w:hyperlink w:anchor="_Toc221109377" w:history="1">
        <w:r w:rsidRPr="008C7894">
          <w:rPr>
            <w:rStyle w:val="Hyperlink"/>
            <w:noProof/>
          </w:rPr>
          <w:t>Supplementary Table 5.  Carbon costs from restoration.</w:t>
        </w:r>
        <w:r>
          <w:rPr>
            <w:noProof/>
            <w:webHidden/>
          </w:rPr>
          <w:tab/>
        </w:r>
        <w:r>
          <w:rPr>
            <w:noProof/>
            <w:webHidden/>
          </w:rPr>
          <w:fldChar w:fldCharType="begin"/>
        </w:r>
        <w:r>
          <w:rPr>
            <w:noProof/>
            <w:webHidden/>
          </w:rPr>
          <w:instrText xml:space="preserve"> PAGEREF _Toc221109377 \h </w:instrText>
        </w:r>
        <w:r>
          <w:rPr>
            <w:noProof/>
            <w:webHidden/>
          </w:rPr>
        </w:r>
        <w:r>
          <w:rPr>
            <w:noProof/>
            <w:webHidden/>
          </w:rPr>
          <w:fldChar w:fldCharType="separate"/>
        </w:r>
        <w:r w:rsidR="002E1134">
          <w:rPr>
            <w:noProof/>
            <w:webHidden/>
          </w:rPr>
          <w:t>33</w:t>
        </w:r>
        <w:r>
          <w:rPr>
            <w:noProof/>
            <w:webHidden/>
          </w:rPr>
          <w:fldChar w:fldCharType="end"/>
        </w:r>
      </w:hyperlink>
    </w:p>
    <w:p w14:paraId="73BBB95D" w14:textId="672601E5" w:rsidR="00830505" w:rsidRDefault="00830505">
      <w:pPr>
        <w:pStyle w:val="TableofFigures"/>
        <w:tabs>
          <w:tab w:val="right" w:leader="dot" w:pos="9016"/>
        </w:tabs>
        <w:rPr>
          <w:rFonts w:eastAsiaTheme="minorEastAsia"/>
          <w:noProof/>
          <w:lang w:eastAsia="en-GB"/>
        </w:rPr>
      </w:pPr>
      <w:hyperlink w:anchor="_Toc221109378" w:history="1">
        <w:r w:rsidRPr="008C7894">
          <w:rPr>
            <w:rStyle w:val="Hyperlink"/>
            <w:noProof/>
          </w:rPr>
          <w:t>Supplementary Table 6.  Forest restoration costs under different methods for Brazilian biomes.</w:t>
        </w:r>
        <w:r>
          <w:rPr>
            <w:noProof/>
            <w:webHidden/>
          </w:rPr>
          <w:tab/>
        </w:r>
        <w:r>
          <w:rPr>
            <w:noProof/>
            <w:webHidden/>
          </w:rPr>
          <w:fldChar w:fldCharType="begin"/>
        </w:r>
        <w:r>
          <w:rPr>
            <w:noProof/>
            <w:webHidden/>
          </w:rPr>
          <w:instrText xml:space="preserve"> PAGEREF _Toc221109378 \h </w:instrText>
        </w:r>
        <w:r>
          <w:rPr>
            <w:noProof/>
            <w:webHidden/>
          </w:rPr>
        </w:r>
        <w:r>
          <w:rPr>
            <w:noProof/>
            <w:webHidden/>
          </w:rPr>
          <w:fldChar w:fldCharType="separate"/>
        </w:r>
        <w:r w:rsidR="002E1134">
          <w:rPr>
            <w:noProof/>
            <w:webHidden/>
          </w:rPr>
          <w:t>34</w:t>
        </w:r>
        <w:r>
          <w:rPr>
            <w:noProof/>
            <w:webHidden/>
          </w:rPr>
          <w:fldChar w:fldCharType="end"/>
        </w:r>
      </w:hyperlink>
    </w:p>
    <w:p w14:paraId="3C7FA7EF" w14:textId="03C3128F" w:rsidR="00A4192D" w:rsidRDefault="00DD7A27">
      <w:r>
        <w:fldChar w:fldCharType="end"/>
      </w:r>
      <w:r w:rsidR="00A4192D">
        <w:br w:type="page"/>
      </w:r>
    </w:p>
    <w:p w14:paraId="495EBF51" w14:textId="0FBB8ED2" w:rsidR="00BB286D" w:rsidRDefault="000B2EC5" w:rsidP="000B2EC5">
      <w:pPr>
        <w:pStyle w:val="Heading1"/>
      </w:pPr>
      <w:bookmarkStart w:id="3" w:name="_Toc225254921"/>
      <w:r w:rsidRPr="000B2EC5">
        <w:lastRenderedPageBreak/>
        <w:t>Supplementary Methods</w:t>
      </w:r>
      <w:bookmarkEnd w:id="3"/>
    </w:p>
    <w:p w14:paraId="76ACD388" w14:textId="6EE067F0" w:rsidR="002E2735" w:rsidRDefault="002E2735" w:rsidP="002E2735">
      <w:pPr>
        <w:pStyle w:val="Heading2"/>
      </w:pPr>
      <w:bookmarkStart w:id="4" w:name="_Toc225254922"/>
      <w:r>
        <w:t>Defining project sizes</w:t>
      </w:r>
      <w:bookmarkEnd w:id="4"/>
    </w:p>
    <w:p w14:paraId="079DE87A" w14:textId="19495BB2" w:rsidR="00D67168" w:rsidRPr="0044211C" w:rsidRDefault="006A7EFF" w:rsidP="00841EB8">
      <w:pPr>
        <w:pStyle w:val="BodyText"/>
        <w:spacing w:line="360" w:lineRule="auto"/>
      </w:pPr>
      <w:r>
        <w:rPr>
          <w:lang w:val="en-GB"/>
        </w:rPr>
        <w:t xml:space="preserve">We collected </w:t>
      </w:r>
      <w:r w:rsidR="009D06DD">
        <w:rPr>
          <w:lang w:val="en-GB"/>
        </w:rPr>
        <w:t>data</w:t>
      </w:r>
      <w:r w:rsidR="006C7EE4">
        <w:rPr>
          <w:lang w:val="en-GB"/>
        </w:rPr>
        <w:t xml:space="preserve"> on pro</w:t>
      </w:r>
      <w:r w:rsidR="00A61741">
        <w:rPr>
          <w:lang w:val="en-GB"/>
        </w:rPr>
        <w:t xml:space="preserve">perty size classes across Brazilian municipalities from </w:t>
      </w:r>
      <w:r w:rsidR="005B4280">
        <w:rPr>
          <w:lang w:val="en-GB"/>
        </w:rPr>
        <w:t>IBGE</w:t>
      </w:r>
      <w:r w:rsidR="00096591" w:rsidRPr="00096591">
        <w:t xml:space="preserve"> </w:t>
      </w:r>
      <w:r w:rsidR="00096591" w:rsidRPr="0044211C">
        <w:fldChar w:fldCharType="begin"/>
      </w:r>
      <w:r w:rsidR="00096591">
        <w:instrText xml:space="preserve"> ADDIN ZOTERO_ITEM CSL_CITATION {"citationID":"U0IiZWSu","properties":{"formattedCitation":"\\super 1\\nosupersub{}","plainCitation":"1","noteIndex":0},"citationItems":[{"id":6658,"uris":["http://zotero.org/users/3309187/items/44VYU3CX"],"itemData":{"id":6658,"type":"document","language":"pt-BR","publisher":"Instituto Brasileiro de Geografia e Estatística","title":"Censo Agropecuário: Tabela 6754","URL":"https://sidra.ibge.gov.br/pesquisa/censo-agropecuario/censo-agropecuario-2017/resultados-definitivos","author":[{"literal":"IBGE"}],"issued":{"date-parts":[["2017"]]}}}],"schema":"https://github.com/citation-style-language/schema/raw/master/csl-citation.json"} </w:instrText>
      </w:r>
      <w:r w:rsidR="00096591" w:rsidRPr="0044211C">
        <w:fldChar w:fldCharType="separate"/>
      </w:r>
      <w:r w:rsidR="00C17EE4" w:rsidRPr="00C17EE4">
        <w:rPr>
          <w:rFonts w:ascii="Aptos" w:hAnsi="Aptos" w:cs="Times New Roman"/>
          <w:vertAlign w:val="superscript"/>
        </w:rPr>
        <w:t>1</w:t>
      </w:r>
      <w:r w:rsidR="00096591" w:rsidRPr="0044211C">
        <w:fldChar w:fldCharType="end"/>
      </w:r>
      <w:r w:rsidR="00281AFB" w:rsidRPr="0044211C">
        <w:t>(</w:t>
      </w:r>
      <w:r w:rsidR="00281AFB" w:rsidRPr="00165FB8">
        <w:fldChar w:fldCharType="begin"/>
      </w:r>
      <w:r w:rsidR="00281AFB" w:rsidRPr="00165FB8">
        <w:instrText xml:space="preserve"> REF _Ref196468663 \h  \* MERGEFORMAT </w:instrText>
      </w:r>
      <w:r w:rsidR="00281AFB" w:rsidRPr="00165FB8">
        <w:fldChar w:fldCharType="separate"/>
      </w:r>
      <w:r w:rsidR="00281AFB" w:rsidRPr="00165FB8">
        <w:t>Supp</w:t>
      </w:r>
      <w:r w:rsidR="001F345D">
        <w:t>lementary</w:t>
      </w:r>
      <w:r w:rsidR="00281AFB" w:rsidRPr="00165FB8">
        <w:t xml:space="preserve"> Table 1</w:t>
      </w:r>
      <w:r w:rsidR="00281AFB" w:rsidRPr="00165FB8">
        <w:fldChar w:fldCharType="end"/>
      </w:r>
      <w:r w:rsidR="00281AFB" w:rsidRPr="00165FB8">
        <w:t>)</w:t>
      </w:r>
      <w:r w:rsidR="00281AFB">
        <w:t xml:space="preserve">. </w:t>
      </w:r>
      <w:r w:rsidR="00D67168" w:rsidRPr="0044211C">
        <w:t xml:space="preserve">For each size class </w:t>
      </w:r>
      <w:r w:rsidR="00D67168" w:rsidRPr="0044211C">
        <w:rPr>
          <w:rFonts w:ascii="Cambria Math" w:hAnsi="Cambria Math" w:cs="Cambria Math"/>
        </w:rPr>
        <w:t>𝑖</w:t>
      </w:r>
      <w:r w:rsidR="00D67168" w:rsidRPr="0044211C">
        <w:t xml:space="preserve"> within a municipality </w:t>
      </w:r>
      <w:r w:rsidR="002802A4">
        <w:rPr>
          <w:i/>
          <w:iCs/>
        </w:rPr>
        <w:t>j</w:t>
      </w:r>
      <w:r w:rsidR="00D45729" w:rsidRPr="0044211C">
        <w:t xml:space="preserve"> </w:t>
      </w:r>
      <w:r w:rsidR="00D67168">
        <w:t>total</w:t>
      </w:r>
      <w:r w:rsidR="00D67168" w:rsidRPr="0044211C">
        <w:t xml:space="preserve"> area </w:t>
      </w:r>
      <w:r w:rsidR="002010C0">
        <w:t xml:space="preserve">was calculated </w:t>
      </w:r>
      <w:r w:rsidR="00D67168">
        <w:t xml:space="preserve">as a proportion of all rural properties </w:t>
      </w:r>
      <m:oMath>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Pr</m:t>
                </m:r>
              </m:e>
              <m:sub>
                <m:r>
                  <w:rPr>
                    <w:rFonts w:ascii="Cambria Math" w:hAnsi="Cambria Math"/>
                    <w:sz w:val="22"/>
                    <w:szCs w:val="22"/>
                  </w:rPr>
                  <m:t>[i</m:t>
                </m:r>
                <m:r>
                  <m:rPr>
                    <m:sty m:val="p"/>
                  </m:rPr>
                  <w:rPr>
                    <w:rFonts w:ascii="Cambria Math" w:hAnsi="Cambria Math"/>
                    <w:sz w:val="22"/>
                    <w:szCs w:val="22"/>
                  </w:rPr>
                  <m:t>,</m:t>
                </m:r>
                <m:r>
                  <w:rPr>
                    <w:rFonts w:ascii="Cambria Math" w:hAnsi="Cambria Math"/>
                    <w:sz w:val="22"/>
                    <w:szCs w:val="22"/>
                  </w:rPr>
                  <m:t>j]</m:t>
                </m:r>
              </m:sub>
            </m:sSub>
          </m:e>
        </m:d>
        <m:r>
          <w:rPr>
            <w:rFonts w:ascii="Cambria Math" w:hAnsi="Cambria Math"/>
            <w:sz w:val="22"/>
            <w:szCs w:val="22"/>
          </w:rPr>
          <m:t xml:space="preserve"> </m:t>
        </m:r>
      </m:oMath>
      <w:r w:rsidR="00D67168" w:rsidRPr="0044211C">
        <w:t>as:</w:t>
      </w:r>
    </w:p>
    <w:p w14:paraId="4FEC57E0" w14:textId="6AD49FD6" w:rsidR="00D67168" w:rsidRPr="0005288A" w:rsidRDefault="005766E0" w:rsidP="00841EB8">
      <w:pPr>
        <w:pStyle w:val="BodyText"/>
        <w:spacing w:line="360" w:lineRule="auto"/>
        <w:rPr>
          <w:rFonts w:eastAsiaTheme="minorEastAsia"/>
          <w:sz w:val="22"/>
          <w:szCs w:val="22"/>
        </w:rPr>
      </w:pPr>
      <m:oMathPara>
        <m:oMath>
          <m:eqArr>
            <m:eqArrPr>
              <m:maxDist m:val="1"/>
              <m:ctrlPr>
                <w:rPr>
                  <w:rFonts w:ascii="Cambria Math" w:hAnsi="Cambria Math"/>
                  <w:i/>
                  <w:sz w:val="22"/>
                  <w:szCs w:val="22"/>
                </w:rPr>
              </m:ctrlPr>
            </m:eqArrPr>
            <m:e>
              <m:sSub>
                <m:sSubPr>
                  <m:ctrlPr>
                    <w:rPr>
                      <w:rFonts w:ascii="Cambria Math" w:hAnsi="Cambria Math"/>
                      <w:sz w:val="22"/>
                      <w:szCs w:val="22"/>
                    </w:rPr>
                  </m:ctrlPr>
                </m:sSubPr>
                <m:e>
                  <m:r>
                    <w:rPr>
                      <w:rFonts w:ascii="Cambria Math" w:hAnsi="Cambria Math"/>
                      <w:sz w:val="22"/>
                      <w:szCs w:val="22"/>
                    </w:rPr>
                    <m:t>Pr</m:t>
                  </m:r>
                </m:e>
                <m:sub>
                  <m:r>
                    <w:rPr>
                      <w:rFonts w:ascii="Cambria Math" w:hAnsi="Cambria Math"/>
                      <w:sz w:val="22"/>
                      <w:szCs w:val="22"/>
                    </w:rPr>
                    <m:t>[i,j]</m:t>
                  </m:r>
                </m:sub>
              </m:sSub>
              <m:r>
                <m:rPr>
                  <m:sty m:val="p"/>
                </m:rPr>
                <w:rPr>
                  <w:rFonts w:ascii="Cambria Math" w:hAnsi="Cambria Math"/>
                  <w:sz w:val="22"/>
                  <w:szCs w:val="22"/>
                </w:rPr>
                <m:t xml:space="preserve">= </m:t>
              </m:r>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A</m:t>
                      </m:r>
                    </m:e>
                    <m:sub>
                      <m:r>
                        <w:rPr>
                          <w:rFonts w:ascii="Cambria Math" w:hAnsi="Cambria Math"/>
                          <w:sz w:val="22"/>
                          <w:szCs w:val="22"/>
                        </w:rPr>
                        <m:t>[i,j]</m:t>
                      </m:r>
                    </m:sub>
                  </m:sSub>
                </m:num>
                <m:den>
                  <m:sSub>
                    <m:sSubPr>
                      <m:ctrlPr>
                        <w:rPr>
                          <w:rFonts w:ascii="Cambria Math" w:hAnsi="Cambria Math"/>
                          <w:sz w:val="22"/>
                          <w:szCs w:val="22"/>
                        </w:rPr>
                      </m:ctrlPr>
                    </m:sSubPr>
                    <m:e>
                      <m:r>
                        <w:rPr>
                          <w:rFonts w:ascii="Cambria Math" w:hAnsi="Cambria Math"/>
                          <w:sz w:val="22"/>
                          <w:szCs w:val="22"/>
                        </w:rPr>
                        <m:t>M</m:t>
                      </m:r>
                    </m:e>
                    <m:sub>
                      <m:r>
                        <w:rPr>
                          <w:rFonts w:ascii="Cambria Math" w:hAnsi="Cambria Math"/>
                          <w:sz w:val="22"/>
                          <w:szCs w:val="22"/>
                        </w:rPr>
                        <m:t>[j]</m:t>
                      </m:r>
                    </m:sub>
                  </m:sSub>
                </m:den>
              </m:f>
              <m:r>
                <w:rPr>
                  <w:rFonts w:ascii="Cambria Math" w:hAnsi="Cambria Math"/>
                  <w:sz w:val="22"/>
                  <w:szCs w:val="22"/>
                </w:rPr>
                <m:t xml:space="preserve">  #(S1)</m:t>
              </m:r>
            </m:e>
          </m:eqArr>
        </m:oMath>
      </m:oMathPara>
    </w:p>
    <w:p w14:paraId="38F4181F" w14:textId="182D1A33" w:rsidR="00D67168" w:rsidRDefault="00D67168" w:rsidP="00841EB8">
      <w:pPr>
        <w:pStyle w:val="BodyText"/>
        <w:spacing w:line="360" w:lineRule="auto"/>
        <w:rPr>
          <w:rFonts w:ascii="Cambria Math" w:hAnsi="Cambria Math" w:cs="Cambria Math"/>
        </w:rPr>
      </w:pPr>
      <w:r>
        <w:t xml:space="preserve">where </w:t>
      </w:r>
      <m:oMath>
        <m:sSub>
          <m:sSubPr>
            <m:ctrlPr>
              <w:rPr>
                <w:rFonts w:ascii="Cambria Math" w:hAnsi="Cambria Math" w:cs="Cambria Math"/>
                <w:i/>
              </w:rPr>
            </m:ctrlPr>
          </m:sSubPr>
          <m:e>
            <m:r>
              <w:rPr>
                <w:rFonts w:ascii="Cambria Math" w:hAnsi="Cambria Math" w:cs="Cambria Math"/>
              </w:rPr>
              <m:t>A</m:t>
            </m:r>
          </m:e>
          <m:sub>
            <m:r>
              <w:rPr>
                <w:rFonts w:ascii="Cambria Math" w:hAnsi="Cambria Math" w:cs="Cambria Math"/>
              </w:rPr>
              <m:t>[i,m]</m:t>
            </m:r>
          </m:sub>
        </m:sSub>
      </m:oMath>
      <w:r>
        <w:t xml:space="preserve"> </w:t>
      </w:r>
      <w:r w:rsidRPr="00214DA5">
        <w:t>is the total area</w:t>
      </w:r>
      <w:r>
        <w:t xml:space="preserve"> (ha)</w:t>
      </w:r>
      <w:r w:rsidRPr="00214DA5">
        <w:t xml:space="preserve"> of rural properties in size class</w:t>
      </w:r>
      <w:r>
        <w:t xml:space="preserve"> </w:t>
      </w:r>
      <w:r w:rsidRPr="00214DA5">
        <w:rPr>
          <w:rFonts w:ascii="Cambria Math" w:hAnsi="Cambria Math" w:cs="Cambria Math"/>
        </w:rPr>
        <w:t>𝑖</w:t>
      </w:r>
      <w:r w:rsidRPr="00214DA5">
        <w:t xml:space="preserve"> for municipality</w:t>
      </w:r>
      <w:r>
        <w:t xml:space="preserve"> </w:t>
      </w:r>
      <w:r w:rsidRPr="00214DA5">
        <w:rPr>
          <w:rFonts w:ascii="Cambria Math" w:hAnsi="Cambria Math" w:cs="Cambria Math"/>
        </w:rPr>
        <w:t>𝑗</w:t>
      </w:r>
      <w:r>
        <w:t xml:space="preserve"> and </w:t>
      </w:r>
      <m:oMath>
        <m:sSub>
          <m:sSubPr>
            <m:ctrlPr>
              <w:rPr>
                <w:rFonts w:ascii="Cambria Math" w:hAnsi="Cambria Math" w:cs="Cambria Math"/>
                <w:i/>
              </w:rPr>
            </m:ctrlPr>
          </m:sSubPr>
          <m:e>
            <m:r>
              <w:rPr>
                <w:rFonts w:ascii="Cambria Math" w:hAnsi="Cambria Math" w:cs="Cambria Math"/>
              </w:rPr>
              <m:t>M</m:t>
            </m:r>
          </m:e>
          <m:sub>
            <m:r>
              <w:rPr>
                <w:rFonts w:ascii="Cambria Math" w:hAnsi="Cambria Math" w:cs="Cambria Math"/>
              </w:rPr>
              <m:t>[j]</m:t>
            </m:r>
          </m:sub>
        </m:sSub>
      </m:oMath>
      <w:r>
        <w:t xml:space="preserve"> i</w:t>
      </w:r>
      <w:r w:rsidRPr="00A54D8E">
        <w:t>s the total area</w:t>
      </w:r>
      <w:r>
        <w:t xml:space="preserve"> (ha)</w:t>
      </w:r>
      <w:r w:rsidRPr="00A54D8E">
        <w:t xml:space="preserve"> of all rural properties within municipality</w:t>
      </w:r>
      <w:r>
        <w:t xml:space="preserve"> </w:t>
      </w:r>
      <w:r w:rsidR="00030BA1">
        <w:rPr>
          <w:rFonts w:ascii="Cambria Math" w:hAnsi="Cambria Math" w:cs="Cambria Math"/>
          <w:i/>
          <w:iCs/>
        </w:rPr>
        <w:t>j</w:t>
      </w:r>
      <w:r>
        <w:rPr>
          <w:rFonts w:ascii="Cambria Math" w:hAnsi="Cambria Math" w:cs="Cambria Math"/>
        </w:rPr>
        <w:t>.</w:t>
      </w:r>
    </w:p>
    <w:p w14:paraId="074E3EBF" w14:textId="457BB131" w:rsidR="00D67168" w:rsidRDefault="00D67168" w:rsidP="00841EB8">
      <w:pPr>
        <w:pStyle w:val="BodyText"/>
        <w:spacing w:line="360" w:lineRule="auto"/>
      </w:pPr>
      <w:r>
        <w:t>We then calculated the average property size (</w:t>
      </w:r>
      <m:oMath>
        <m:sSub>
          <m:sSubPr>
            <m:ctrlPr>
              <w:rPr>
                <w:rFonts w:ascii="Cambria Math" w:hAnsi="Cambria Math"/>
                <w:sz w:val="22"/>
                <w:szCs w:val="22"/>
              </w:rPr>
            </m:ctrlPr>
          </m:sSubPr>
          <m:e>
            <m:r>
              <w:rPr>
                <w:rFonts w:ascii="Cambria Math" w:hAnsi="Cambria Math"/>
                <w:sz w:val="22"/>
                <w:szCs w:val="22"/>
              </w:rPr>
              <m:t>S</m:t>
            </m:r>
          </m:e>
          <m:sub>
            <m:r>
              <w:rPr>
                <w:rFonts w:ascii="Cambria Math" w:hAnsi="Cambria Math"/>
                <w:sz w:val="22"/>
                <w:szCs w:val="22"/>
              </w:rPr>
              <m:t>[j]</m:t>
            </m:r>
          </m:sub>
        </m:sSub>
      </m:oMath>
      <w:r>
        <w:rPr>
          <w:rFonts w:eastAsiaTheme="minorEastAsia"/>
          <w:sz w:val="22"/>
          <w:szCs w:val="22"/>
        </w:rPr>
        <w:t>)</w:t>
      </w:r>
      <w:r>
        <w:t xml:space="preserve"> for municipality </w:t>
      </w:r>
      <w:r w:rsidR="00030BA1" w:rsidRPr="00030BA1">
        <w:rPr>
          <w:i/>
          <w:iCs/>
        </w:rPr>
        <w:t>j</w:t>
      </w:r>
      <w:r>
        <w:t xml:space="preserve"> as:</w:t>
      </w:r>
    </w:p>
    <w:p w14:paraId="5FC9E4ED" w14:textId="110E95C2" w:rsidR="00D67168" w:rsidRPr="0005288A" w:rsidRDefault="005766E0" w:rsidP="00841EB8">
      <w:pPr>
        <w:pStyle w:val="BodyText"/>
        <w:spacing w:line="360" w:lineRule="auto"/>
        <w:rPr>
          <w:rFonts w:eastAsiaTheme="minorEastAsia"/>
          <w:sz w:val="22"/>
          <w:szCs w:val="22"/>
        </w:rPr>
      </w:pPr>
      <m:oMathPara>
        <m:oMath>
          <m:eqArr>
            <m:eqArrPr>
              <m:maxDist m:val="1"/>
              <m:ctrlPr>
                <w:rPr>
                  <w:rFonts w:ascii="Cambria Math" w:hAnsi="Cambria Math"/>
                  <w:i/>
                  <w:sz w:val="22"/>
                  <w:szCs w:val="22"/>
                </w:rPr>
              </m:ctrlPr>
            </m:eqArrPr>
            <m:e>
              <m:r>
                <m:rPr>
                  <m:sty m:val="p"/>
                </m:rPr>
                <w:rPr>
                  <w:rFonts w:ascii="Cambria Math" w:hAnsi="Cambria Math"/>
                  <w:sz w:val="22"/>
                  <w:szCs w:val="22"/>
                </w:rPr>
                <m:t xml:space="preserve"> </m:t>
              </m:r>
              <m:sSub>
                <m:sSubPr>
                  <m:ctrlPr>
                    <w:rPr>
                      <w:rFonts w:ascii="Cambria Math" w:hAnsi="Cambria Math"/>
                      <w:sz w:val="22"/>
                      <w:szCs w:val="22"/>
                    </w:rPr>
                  </m:ctrlPr>
                </m:sSubPr>
                <m:e>
                  <m:r>
                    <w:rPr>
                      <w:rFonts w:ascii="Cambria Math" w:hAnsi="Cambria Math"/>
                      <w:sz w:val="22"/>
                      <w:szCs w:val="22"/>
                    </w:rPr>
                    <m:t>S</m:t>
                  </m:r>
                </m:e>
                <m:sub>
                  <m:r>
                    <w:rPr>
                      <w:rFonts w:ascii="Cambria Math" w:hAnsi="Cambria Math"/>
                      <w:sz w:val="22"/>
                      <w:szCs w:val="22"/>
                    </w:rPr>
                    <m:t>[j]</m:t>
                  </m:r>
                </m:sub>
              </m:sSub>
              <m:r>
                <m:rPr>
                  <m:sty m:val="p"/>
                </m:rPr>
                <w:rPr>
                  <w:rFonts w:ascii="Cambria Math" w:hAnsi="Cambria Math"/>
                  <w:sz w:val="22"/>
                  <w:szCs w:val="22"/>
                </w:rPr>
                <m:t xml:space="preserve">= </m:t>
              </m:r>
              <m:nary>
                <m:naryPr>
                  <m:chr m:val="∑"/>
                  <m:limLoc m:val="undOvr"/>
                  <m:supHide m:val="1"/>
                  <m:ctrlPr>
                    <w:rPr>
                      <w:rFonts w:ascii="Cambria Math" w:hAnsi="Cambria Math"/>
                      <w:sz w:val="22"/>
                      <w:szCs w:val="22"/>
                    </w:rPr>
                  </m:ctrlPr>
                </m:naryPr>
                <m:sub>
                  <m:r>
                    <w:rPr>
                      <w:rFonts w:ascii="Cambria Math" w:hAnsi="Cambria Math"/>
                      <w:sz w:val="22"/>
                      <w:szCs w:val="22"/>
                    </w:rPr>
                    <m:t>i</m:t>
                  </m:r>
                </m:sub>
                <m:sup/>
                <m:e>
                  <m:sSub>
                    <m:sSubPr>
                      <m:ctrlPr>
                        <w:rPr>
                          <w:rFonts w:ascii="Cambria Math" w:hAnsi="Cambria Math"/>
                          <w:sz w:val="22"/>
                          <w:szCs w:val="22"/>
                        </w:rPr>
                      </m:ctrlPr>
                    </m:sSubPr>
                    <m:e>
                      <m:r>
                        <m:rPr>
                          <m:sty m:val="p"/>
                        </m:rPr>
                        <w:rPr>
                          <w:rFonts w:ascii="Cambria Math" w:hAnsi="Cambria Math"/>
                          <w:sz w:val="22"/>
                          <w:szCs w:val="22"/>
                        </w:rPr>
                        <m:t>(</m:t>
                      </m:r>
                      <m:r>
                        <w:rPr>
                          <w:rFonts w:ascii="Cambria Math" w:hAnsi="Cambria Math"/>
                          <w:sz w:val="22"/>
                          <w:szCs w:val="22"/>
                        </w:rPr>
                        <m:t>Pr</m:t>
                      </m:r>
                    </m:e>
                    <m:sub>
                      <m:r>
                        <w:rPr>
                          <w:rFonts w:ascii="Cambria Math" w:hAnsi="Cambria Math"/>
                          <w:sz w:val="22"/>
                          <w:szCs w:val="22"/>
                        </w:rPr>
                        <m:t>[i,j]</m:t>
                      </m:r>
                    </m:sub>
                  </m:sSub>
                  <m:r>
                    <m:rPr>
                      <m:sty m:val="p"/>
                    </m:rPr>
                    <w:rPr>
                      <w:rFonts w:ascii="Cambria Math" w:hAnsi="Cambria Math"/>
                      <w:sz w:val="22"/>
                      <w:szCs w:val="22"/>
                    </w:rPr>
                    <m:t>∙</m:t>
                  </m:r>
                  <m:sSub>
                    <m:sSubPr>
                      <m:ctrlPr>
                        <w:rPr>
                          <w:rFonts w:ascii="Cambria Math" w:hAnsi="Cambria Math"/>
                          <w:sz w:val="22"/>
                          <w:szCs w:val="22"/>
                        </w:rPr>
                      </m:ctrlPr>
                    </m:sSubPr>
                    <m:e>
                      <m:r>
                        <m:rPr>
                          <m:sty m:val="p"/>
                        </m:rPr>
                        <w:rPr>
                          <w:rFonts w:ascii="Cambria Math" w:hAnsi="Cambria Math"/>
                          <w:sz w:val="22"/>
                          <w:szCs w:val="22"/>
                        </w:rPr>
                        <m:t>m</m:t>
                      </m:r>
                    </m:e>
                    <m:sub>
                      <m:r>
                        <m:rPr>
                          <m:sty m:val="p"/>
                        </m:rPr>
                        <w:rPr>
                          <w:rFonts w:ascii="Cambria Math" w:hAnsi="Cambria Math"/>
                          <w:sz w:val="22"/>
                          <w:szCs w:val="22"/>
                        </w:rPr>
                        <m:t>[i]</m:t>
                      </m:r>
                    </m:sub>
                  </m:sSub>
                  <m:r>
                    <m:rPr>
                      <m:sty m:val="p"/>
                    </m:rPr>
                    <w:rPr>
                      <w:rFonts w:ascii="Cambria Math" w:hAnsi="Cambria Math"/>
                      <w:sz w:val="22"/>
                      <w:szCs w:val="22"/>
                    </w:rPr>
                    <m:t>)</m:t>
                  </m:r>
                </m:e>
              </m:nary>
              <m:r>
                <w:rPr>
                  <w:rFonts w:ascii="Cambria Math" w:hAnsi="Cambria Math"/>
                  <w:sz w:val="22"/>
                  <w:szCs w:val="22"/>
                </w:rPr>
                <m:t xml:space="preserve"> #</m:t>
              </m:r>
              <m:d>
                <m:dPr>
                  <m:ctrlPr>
                    <w:rPr>
                      <w:rFonts w:ascii="Cambria Math" w:hAnsi="Cambria Math"/>
                      <w:i/>
                      <w:sz w:val="22"/>
                      <w:szCs w:val="22"/>
                    </w:rPr>
                  </m:ctrlPr>
                </m:dPr>
                <m:e>
                  <m:r>
                    <w:rPr>
                      <w:rFonts w:ascii="Cambria Math" w:hAnsi="Cambria Math"/>
                      <w:sz w:val="22"/>
                      <w:szCs w:val="22"/>
                    </w:rPr>
                    <m:t>S2</m:t>
                  </m:r>
                </m:e>
              </m:d>
            </m:e>
          </m:eqArr>
        </m:oMath>
      </m:oMathPara>
    </w:p>
    <w:p w14:paraId="5F603322" w14:textId="1F7BDC49" w:rsidR="00D67168" w:rsidRDefault="00D67168" w:rsidP="00841EB8">
      <w:pPr>
        <w:pStyle w:val="BodyText"/>
        <w:spacing w:line="360" w:lineRule="auto"/>
      </w:pPr>
      <w:r>
        <w:t xml:space="preserve">where </w:t>
      </w:r>
      <m:oMath>
        <m:sSub>
          <m:sSubPr>
            <m:ctrlPr>
              <w:rPr>
                <w:rFonts w:ascii="Cambria Math" w:hAnsi="Cambria Math"/>
                <w:i/>
              </w:rPr>
            </m:ctrlPr>
          </m:sSubPr>
          <m:e>
            <m:r>
              <w:rPr>
                <w:rFonts w:ascii="Cambria Math" w:hAnsi="Cambria Math"/>
              </w:rPr>
              <m:t>m</m:t>
            </m:r>
          </m:e>
          <m:sub>
            <m:r>
              <w:rPr>
                <w:rFonts w:ascii="Cambria Math" w:hAnsi="Cambria Math"/>
              </w:rPr>
              <m:t>[i]</m:t>
            </m:r>
          </m:sub>
        </m:sSub>
      </m:oMath>
      <w:r>
        <w:t xml:space="preserve">  is the midpoint value of size </w:t>
      </w:r>
      <w:proofErr w:type="gramStart"/>
      <w:r>
        <w:t xml:space="preserve">class </w:t>
      </w:r>
      <w:r>
        <w:rPr>
          <w:rFonts w:ascii="Cambria Math" w:hAnsi="Cambria Math" w:cs="Cambria Math"/>
        </w:rPr>
        <w:t>𝑖</w:t>
      </w:r>
      <w:proofErr w:type="gramEnd"/>
      <w:r>
        <w:t>.</w:t>
      </w:r>
    </w:p>
    <w:p w14:paraId="089693CB" w14:textId="77777777" w:rsidR="00D67168" w:rsidRDefault="00D67168" w:rsidP="00841EB8">
      <w:pPr>
        <w:pStyle w:val="BodyText"/>
        <w:spacing w:line="360" w:lineRule="auto"/>
      </w:pPr>
      <w:r>
        <w:t>We next</w:t>
      </w:r>
      <w:r w:rsidRPr="00977EF0">
        <w:t xml:space="preserve"> calculated the mean property size per biome</w:t>
      </w:r>
      <w:r>
        <w:t xml:space="preserve"> and</w:t>
      </w:r>
      <w:r w:rsidRPr="00977EF0">
        <w:t xml:space="preserve"> found average property sizes to be 1,700 ha in the Amazon biome and 300 ha in the Atlantic Forest biome.</w:t>
      </w:r>
    </w:p>
    <w:p w14:paraId="32ED682F" w14:textId="12E60C89" w:rsidR="00454707" w:rsidRDefault="00EB21DD" w:rsidP="00841EB8">
      <w:pPr>
        <w:pStyle w:val="Heading2"/>
        <w:spacing w:line="360" w:lineRule="auto"/>
      </w:pPr>
      <w:bookmarkStart w:id="5" w:name="_Toc225254923"/>
      <w:bookmarkStart w:id="6" w:name="_Hlk206594894"/>
      <w:r>
        <w:t xml:space="preserve">Estimating </w:t>
      </w:r>
      <w:r w:rsidR="0060610E">
        <w:t>current</w:t>
      </w:r>
      <w:r w:rsidR="002279B5">
        <w:t xml:space="preserve"> beef yields</w:t>
      </w:r>
      <w:bookmarkEnd w:id="5"/>
      <w:r w:rsidR="0060610E">
        <w:t xml:space="preserve"> </w:t>
      </w:r>
    </w:p>
    <w:bookmarkEnd w:id="6"/>
    <w:p w14:paraId="6C6C82B9" w14:textId="4457CCB6" w:rsidR="0023564F" w:rsidRPr="001842CE" w:rsidRDefault="00074810" w:rsidP="00841EB8">
      <w:pPr>
        <w:spacing w:before="120" w:after="120" w:line="360" w:lineRule="auto"/>
      </w:pPr>
      <w:r w:rsidRPr="001842CE">
        <w:t>To map beef yield for the year 2021</w:t>
      </w:r>
      <w:r w:rsidR="0019296E" w:rsidRPr="001842CE">
        <w:t>(current yield</w:t>
      </w:r>
      <w:r w:rsidR="00BE60B5">
        <w:t>,</w:t>
      </w:r>
      <w:r w:rsidR="00B559CE">
        <w:t xml:space="preserve"> </w:t>
      </w:r>
      <m:oMath>
        <m:sSub>
          <m:sSubPr>
            <m:ctrlPr>
              <w:rPr>
                <w:rFonts w:ascii="Cambria Math" w:hAnsi="Cambria Math"/>
                <w:i/>
              </w:rPr>
            </m:ctrlPr>
          </m:sSubPr>
          <m:e>
            <m:r>
              <w:rPr>
                <w:rFonts w:ascii="Cambria Math" w:hAnsi="Cambria Math"/>
              </w:rPr>
              <m:t>Y</m:t>
            </m:r>
          </m:e>
          <m:sub>
            <m:r>
              <w:rPr>
                <w:rFonts w:ascii="Cambria Math" w:hAnsi="Cambria Math"/>
              </w:rPr>
              <m:t>C</m:t>
            </m:r>
          </m:sub>
        </m:sSub>
      </m:oMath>
      <w:r w:rsidR="0019296E" w:rsidRPr="001842CE">
        <w:t>)</w:t>
      </w:r>
      <w:r w:rsidRPr="001842CE">
        <w:t xml:space="preserve">, </w:t>
      </w:r>
      <w:r w:rsidR="00766172" w:rsidRPr="00766172">
        <w:t>we combined beef production statistics reported at national and state levels with municipal-level data on stocking rates</w:t>
      </w:r>
      <w:r w:rsidR="00705B14">
        <w:t xml:space="preserve"> and pasture area</w:t>
      </w:r>
      <w:r w:rsidR="00766172" w:rsidRPr="00766172">
        <w:t xml:space="preserve"> and spatially explicit </w:t>
      </w:r>
      <w:proofErr w:type="gramStart"/>
      <w:r w:rsidR="00766172" w:rsidRPr="00766172">
        <w:t>pasture land</w:t>
      </w:r>
      <w:proofErr w:type="gramEnd"/>
      <w:r w:rsidR="00766172" w:rsidRPr="00766172">
        <w:t>-use data.</w:t>
      </w:r>
      <w:r w:rsidR="00180E45" w:rsidRPr="00180E45">
        <w:t xml:space="preserve"> Pasture maps were originally available at 30-m resolution and classified into low, medium, and high vigour classes</w:t>
      </w:r>
      <w:r w:rsidR="00C768D3" w:rsidRPr="00BB0429">
        <w:fldChar w:fldCharType="begin"/>
      </w:r>
      <w:r w:rsidR="00C768D3">
        <w:instrText xml:space="preserve"> ADDIN ZOTERO_ITEM CSL_CITATION {"citationID":"28mN3002","properties":{"formattedCitation":"\\super 2\\nosupersub{}","plainCitation":"2","noteIndex":0},"citationItems":[{"id":6416,"uris":["http://zotero.org/users/3309187/items/Q2R3NCMF"],"itemData":{"id":6416,"type":"webpage","abstract":"O Atlas das Pastagens é uma ferramenta desenvolvida pelo Laboratório de Processamento de Imagens e Geoprocessamento (Lapig/UFG), para tornar acessível, de forma online e gratuita, os dados relacionados às pastagens brasileiras. Todos os dados da plataforma são produzidos no âmbit","container-title":"Atlas das Pastagens","language":"pt-BR","title":"Atlas das Pastagens","URL":"https://atlasdaspastagens.ufg.br/","author":[{"family":"LAPIG","given":""}],"accessed":{"date-parts":[["2024",9,17]]},"issued":{"date-parts":[["2024"]]}}}],"schema":"https://github.com/citation-style-language/schema/raw/master/csl-citation.json"} </w:instrText>
      </w:r>
      <w:r w:rsidR="00C768D3" w:rsidRPr="00BB0429">
        <w:fldChar w:fldCharType="separate"/>
      </w:r>
      <w:r w:rsidR="00C768D3" w:rsidRPr="00C768D3">
        <w:rPr>
          <w:rFonts w:ascii="Aptos" w:hAnsi="Aptos" w:cs="Times New Roman"/>
          <w:kern w:val="0"/>
          <w:vertAlign w:val="superscript"/>
        </w:rPr>
        <w:t>2</w:t>
      </w:r>
      <w:r w:rsidR="00C768D3" w:rsidRPr="00BB0429">
        <w:fldChar w:fldCharType="end"/>
      </w:r>
      <w:r w:rsidR="00592522">
        <w:t xml:space="preserve">, which </w:t>
      </w:r>
      <w:r w:rsidR="00180E45" w:rsidRPr="00180E45">
        <w:t>we subsequently reclassified them to a 1-km grid to match the analysis resolution.</w:t>
      </w:r>
      <w:r w:rsidR="00BE0E8E">
        <w:t xml:space="preserve"> </w:t>
      </w:r>
      <w:r w:rsidR="00CC35C9" w:rsidRPr="00CC35C9">
        <w:t xml:space="preserve">We relied on national-level beef production estimates as the most accurate annual totals available </w:t>
      </w:r>
      <w:r w:rsidR="00680AB8" w:rsidRPr="00BB0429">
        <w:fldChar w:fldCharType="begin"/>
      </w:r>
      <w:r w:rsidR="00C768D3">
        <w:instrText xml:space="preserve"> ADDIN ZOTERO_ITEM CSL_CITATION {"citationID":"Glx71uut","properties":{"formattedCitation":"\\super 3\\nosupersub{}","plainCitation":"3","noteIndex":0},"citationItems":[{"id":6753,"uris":["http://zotero.org/users/3309187/items/4SDVED43"],"itemData":{"id":6753,"type":"webpage","title":"Oferta e demanda de carnes","URL":"https://www.conab.gov.br/info-agro/analises-do-mercado-agropecuario-e-extrativista/analises-do-mercado/oferta-e-demanda-de-carnes","author":[{"literal":"CONAB"}],"accessed":{"date-parts":[["2025",2,10]]},"issued":{"date-parts":[["2024"]]}},"label":"page"}],"schema":"https://github.com/citation-style-language/schema/raw/master/csl-citation.json"} </w:instrText>
      </w:r>
      <w:r w:rsidR="00680AB8" w:rsidRPr="00BB0429">
        <w:fldChar w:fldCharType="separate"/>
      </w:r>
      <w:r w:rsidR="00C768D3" w:rsidRPr="00C768D3">
        <w:rPr>
          <w:rFonts w:ascii="Aptos" w:hAnsi="Aptos" w:cs="Times New Roman"/>
          <w:kern w:val="0"/>
          <w:vertAlign w:val="superscript"/>
        </w:rPr>
        <w:t>3</w:t>
      </w:r>
      <w:r w:rsidR="00680AB8" w:rsidRPr="00BB0429">
        <w:fldChar w:fldCharType="end"/>
      </w:r>
      <w:r w:rsidR="00CC35C9" w:rsidRPr="00CC35C9">
        <w:t xml:space="preserve">, and used state-level slaughter statistics to spatially disaggregate production across </w:t>
      </w:r>
      <w:r w:rsidR="00CC35C9">
        <w:t>states</w:t>
      </w:r>
      <w:r w:rsidR="00C301F4">
        <w:t xml:space="preserve"> </w:t>
      </w:r>
      <w:r w:rsidR="003177C0" w:rsidRPr="00BB0429">
        <w:t>(</w:t>
      </w:r>
      <w:r w:rsidR="003177C0" w:rsidRPr="00BB0429">
        <w:rPr>
          <w:rFonts w:ascii="Aptos" w:hAnsi="Aptos"/>
        </w:rPr>
        <w:t>the finest resolution available</w:t>
      </w:r>
      <w:r w:rsidR="003177C0" w:rsidRPr="00BB0429">
        <w:t xml:space="preserve"> </w:t>
      </w:r>
      <w:r w:rsidR="003177C0" w:rsidRPr="00BB0429">
        <w:fldChar w:fldCharType="begin"/>
      </w:r>
      <w:r w:rsidR="00C768D3">
        <w:instrText xml:space="preserve"> ADDIN ZOTERO_ITEM CSL_CITATION {"citationID":"NIpKAyUG","properties":{"formattedCitation":"\\super 4\\nosupersub{}","plainCitation":"4","noteIndex":0},"citationItems":[{"id":6751,"uris":["http://zotero.org/users/3309187/items/B6GFN3X3"],"itemData":{"id":6751,"type":"webpage","title":"Pesquisa Trimestral do Abate de Animais","URL":"https://sidra.ibge.gov.br/tabela/1094","author":[{"literal":"IBGE"}],"accessed":{"date-parts":[["2025",2,10]]},"issued":{"date-parts":[["2024"]]}}}],"schema":"https://github.com/citation-style-language/schema/raw/master/csl-citation.json"} </w:instrText>
      </w:r>
      <w:r w:rsidR="003177C0" w:rsidRPr="00BB0429">
        <w:fldChar w:fldCharType="separate"/>
      </w:r>
      <w:r w:rsidR="00C768D3" w:rsidRPr="00C768D3">
        <w:rPr>
          <w:rFonts w:ascii="Aptos" w:hAnsi="Aptos" w:cs="Times New Roman"/>
          <w:kern w:val="0"/>
          <w:vertAlign w:val="superscript"/>
        </w:rPr>
        <w:t>4</w:t>
      </w:r>
      <w:r w:rsidR="003177C0" w:rsidRPr="00BB0429">
        <w:fldChar w:fldCharType="end"/>
      </w:r>
      <w:r w:rsidR="003177C0" w:rsidRPr="00BB0429">
        <w:t>)</w:t>
      </w:r>
      <w:r w:rsidR="00CC35C9">
        <w:t xml:space="preserve">. </w:t>
      </w:r>
      <w:r w:rsidR="0073550B">
        <w:t xml:space="preserve">To integrate datasets, </w:t>
      </w:r>
      <w:r w:rsidRPr="001842CE">
        <w:t>f</w:t>
      </w:r>
      <w:r w:rsidR="0023564F" w:rsidRPr="001842CE">
        <w:t>irst, we estimated the proportion of slaughter (</w:t>
      </w:r>
      <m:oMath>
        <m:sSub>
          <m:sSubPr>
            <m:ctrlPr>
              <w:rPr>
                <w:rFonts w:ascii="Cambria Math" w:hAnsi="Cambria Math"/>
              </w:rPr>
            </m:ctrlPr>
          </m:sSubPr>
          <m:e>
            <m:r>
              <w:rPr>
                <w:rFonts w:ascii="Cambria Math" w:hAnsi="Cambria Math"/>
              </w:rPr>
              <m:t>S</m:t>
            </m:r>
          </m:e>
          <m:sub>
            <m:r>
              <w:rPr>
                <w:rFonts w:ascii="Cambria Math" w:hAnsi="Cambria Math"/>
              </w:rPr>
              <m:t>p</m:t>
            </m:r>
          </m:sub>
        </m:sSub>
        <m:r>
          <w:rPr>
            <w:rFonts w:ascii="Cambria Math" w:hAnsi="Cambria Math"/>
          </w:rPr>
          <m:t>)</m:t>
        </m:r>
      </m:oMath>
      <w:r w:rsidR="0023564F" w:rsidRPr="001842CE">
        <w:t xml:space="preserve"> for each state as:</w:t>
      </w:r>
    </w:p>
    <w:p w14:paraId="19DFE1A7" w14:textId="60C8F5F1" w:rsidR="0023564F" w:rsidRPr="001842CE" w:rsidRDefault="005766E0" w:rsidP="00841EB8">
      <w:pPr>
        <w:pStyle w:val="BodyText"/>
        <w:spacing w:line="360" w:lineRule="auto"/>
        <w:rPr>
          <w:rFonts w:eastAsiaTheme="minorEastAsia"/>
        </w:rPr>
      </w:pPr>
      <m:oMathPara>
        <m:oMathParaPr>
          <m:jc m:val="center"/>
        </m:oMathParaPr>
        <m:oMath>
          <m:eqArr>
            <m:eqArrPr>
              <m:maxDist m:val="1"/>
              <m:ctrlPr>
                <w:rPr>
                  <w:rFonts w:ascii="Cambria Math" w:hAnsi="Cambria Math"/>
                  <w:i/>
                </w:rPr>
              </m:ctrlPr>
            </m:eqArrPr>
            <m:e>
              <m:sSub>
                <m:sSubPr>
                  <m:ctrlPr>
                    <w:rPr>
                      <w:rFonts w:ascii="Cambria Math" w:hAnsi="Cambria Math"/>
                    </w:rPr>
                  </m:ctrlPr>
                </m:sSubPr>
                <m:e>
                  <m:r>
                    <w:rPr>
                      <w:rFonts w:ascii="Cambria Math" w:hAnsi="Cambria Math"/>
                    </w:rPr>
                    <m:t>S</m:t>
                  </m:r>
                </m:e>
                <m:sub>
                  <m:r>
                    <w:rPr>
                      <w:rFonts w:ascii="Cambria Math" w:hAnsi="Cambria Math"/>
                    </w:rPr>
                    <m:t>p[UF]</m:t>
                  </m:r>
                </m:sub>
              </m:sSub>
              <m:r>
                <m:rPr>
                  <m:sty m:val="p"/>
                </m:rPr>
                <w:rPr>
                  <w:rFonts w:ascii="Cambria Math" w:hAnsi="Cambria Math"/>
                </w:rPr>
                <m:t>=</m:t>
              </m:r>
              <m:f>
                <m:fPr>
                  <m:ctrlPr>
                    <w:rPr>
                      <w:rFonts w:ascii="Cambria Math" w:hAnsi="Cambria Math"/>
                    </w:rPr>
                  </m:ctrlPr>
                </m:fPr>
                <m:num>
                  <m:r>
                    <w:rPr>
                      <w:rFonts w:ascii="Cambria Math" w:hAnsi="Cambria Math"/>
                    </w:rPr>
                    <m:t>slaughte</m:t>
                  </m:r>
                  <m:sSub>
                    <m:sSubPr>
                      <m:ctrlPr>
                        <w:rPr>
                          <w:rFonts w:ascii="Cambria Math" w:hAnsi="Cambria Math"/>
                        </w:rPr>
                      </m:ctrlPr>
                    </m:sSubPr>
                    <m:e>
                      <m:r>
                        <w:rPr>
                          <w:rFonts w:ascii="Cambria Math" w:hAnsi="Cambria Math"/>
                        </w:rPr>
                        <m:t>r</m:t>
                      </m:r>
                    </m:e>
                    <m:sub>
                      <m:r>
                        <w:rPr>
                          <w:rFonts w:ascii="Cambria Math" w:hAnsi="Cambria Math"/>
                        </w:rPr>
                        <m:t>[UF]</m:t>
                      </m:r>
                    </m:sub>
                  </m:sSub>
                </m:num>
                <m:den>
                  <m:r>
                    <m:rPr>
                      <m:sty m:val="p"/>
                    </m:rPr>
                    <w:rPr>
                      <w:rFonts w:ascii="Cambria Math" w:hAnsi="Cambria Math"/>
                    </w:rPr>
                    <m:t>∑</m:t>
                  </m:r>
                  <m:r>
                    <w:rPr>
                      <w:rFonts w:ascii="Cambria Math" w:hAnsi="Cambria Math"/>
                    </w:rPr>
                    <m:t>slaughte</m:t>
                  </m:r>
                  <m:sSub>
                    <m:sSubPr>
                      <m:ctrlPr>
                        <w:rPr>
                          <w:rFonts w:ascii="Cambria Math" w:hAnsi="Cambria Math"/>
                        </w:rPr>
                      </m:ctrlPr>
                    </m:sSubPr>
                    <m:e>
                      <m:r>
                        <w:rPr>
                          <w:rFonts w:ascii="Cambria Math" w:hAnsi="Cambria Math"/>
                        </w:rPr>
                        <m:t>r</m:t>
                      </m:r>
                    </m:e>
                    <m:sub>
                      <m:r>
                        <w:rPr>
                          <w:rFonts w:ascii="Cambria Math" w:hAnsi="Cambria Math"/>
                        </w:rPr>
                        <m:t>[UF]</m:t>
                      </m:r>
                    </m:sub>
                  </m:sSub>
                </m:den>
              </m:f>
              <m:r>
                <w:rPr>
                  <w:rFonts w:ascii="Cambria Math" w:hAnsi="Cambria Math"/>
                </w:rPr>
                <m:t xml:space="preserve"> #(S3)</m:t>
              </m:r>
            </m:e>
          </m:eqArr>
        </m:oMath>
      </m:oMathPara>
    </w:p>
    <w:p w14:paraId="0C2689AA" w14:textId="58AE8FB3" w:rsidR="00750231" w:rsidRPr="00541034" w:rsidRDefault="0023564F" w:rsidP="00841EB8">
      <w:pPr>
        <w:pStyle w:val="BodyText"/>
        <w:spacing w:line="360" w:lineRule="auto"/>
      </w:pPr>
      <w:r w:rsidRPr="00541034">
        <w:t xml:space="preserve">where </w:t>
      </w:r>
      <m:oMath>
        <m:r>
          <w:rPr>
            <w:rFonts w:ascii="Cambria Math" w:hAnsi="Cambria Math"/>
          </w:rPr>
          <m:t>slaughte</m:t>
        </m:r>
        <m:sSub>
          <m:sSubPr>
            <m:ctrlPr>
              <w:rPr>
                <w:rFonts w:ascii="Cambria Math" w:hAnsi="Cambria Math"/>
              </w:rPr>
            </m:ctrlPr>
          </m:sSubPr>
          <m:e>
            <m:r>
              <w:rPr>
                <w:rFonts w:ascii="Cambria Math" w:hAnsi="Cambria Math"/>
              </w:rPr>
              <m:t>r</m:t>
            </m:r>
          </m:e>
          <m:sub>
            <m:r>
              <w:rPr>
                <w:rFonts w:ascii="Cambria Math" w:hAnsi="Cambria Math"/>
              </w:rPr>
              <m:t>UF</m:t>
            </m:r>
          </m:sub>
        </m:sSub>
      </m:oMath>
      <w:r w:rsidRPr="00541034">
        <w:t xml:space="preserve"> is the amount (kg carcass weight) slaughtered in each state</w:t>
      </w:r>
      <w:r w:rsidR="00FD0C91" w:rsidRPr="00541034">
        <w:t xml:space="preserve"> (UF)</w:t>
      </w:r>
      <w:r w:rsidR="00D3714C" w:rsidRPr="00541034">
        <w:t xml:space="preserve"> and</w:t>
      </w:r>
      <w:r w:rsidR="003B1142" w:rsidRPr="00541034">
        <w:t xml:space="preserve"> </w:t>
      </w:r>
      <w:r w:rsidR="00A01890" w:rsidRPr="00541034">
        <w:t xml:space="preserve"> </w:t>
      </w:r>
      <m:oMath>
        <m:r>
          <m:rPr>
            <m:sty m:val="p"/>
          </m:rPr>
          <w:rPr>
            <w:rFonts w:ascii="Cambria Math" w:hAnsi="Cambria Math"/>
          </w:rPr>
          <m:t>∑</m:t>
        </m:r>
        <m:r>
          <w:rPr>
            <w:rFonts w:ascii="Cambria Math" w:hAnsi="Cambria Math"/>
          </w:rPr>
          <m:t>slaughte</m:t>
        </m:r>
        <m:sSub>
          <m:sSubPr>
            <m:ctrlPr>
              <w:rPr>
                <w:rFonts w:ascii="Cambria Math" w:hAnsi="Cambria Math"/>
              </w:rPr>
            </m:ctrlPr>
          </m:sSubPr>
          <m:e>
            <m:r>
              <w:rPr>
                <w:rFonts w:ascii="Cambria Math" w:hAnsi="Cambria Math"/>
              </w:rPr>
              <m:t>r</m:t>
            </m:r>
          </m:e>
          <m:sub>
            <m:r>
              <w:rPr>
                <w:rFonts w:ascii="Cambria Math" w:hAnsi="Cambria Math"/>
              </w:rPr>
              <m:t>UF</m:t>
            </m:r>
          </m:sub>
        </m:sSub>
      </m:oMath>
      <w:r w:rsidR="00A01890" w:rsidRPr="00541034">
        <w:t xml:space="preserve"> is the</w:t>
      </w:r>
      <w:r w:rsidR="008F16C1" w:rsidRPr="00541034">
        <w:t xml:space="preserve"> total beef production slaughtered in Brazil</w:t>
      </w:r>
      <w:r w:rsidR="00D3714C" w:rsidRPr="00541034">
        <w:t xml:space="preserve"> for </w:t>
      </w:r>
      <w:r w:rsidR="000409D1" w:rsidRPr="00541034">
        <w:t>2021</w:t>
      </w:r>
      <w:r w:rsidR="008F16C1" w:rsidRPr="00541034">
        <w:t>.</w:t>
      </w:r>
      <w:r w:rsidR="008D49FC" w:rsidRPr="00541034">
        <w:t xml:space="preserve"> </w:t>
      </w:r>
      <w:r w:rsidR="008E17AF" w:rsidRPr="00541034">
        <w:t xml:space="preserve">We </w:t>
      </w:r>
      <w:r w:rsidR="008E17AF" w:rsidRPr="00541034">
        <w:lastRenderedPageBreak/>
        <w:t>aggregated q</w:t>
      </w:r>
      <w:r w:rsidR="00750231" w:rsidRPr="00541034">
        <w:t>uarterly slaughter data at the state level</w:t>
      </w:r>
      <w:r w:rsidR="008E17AF" w:rsidRPr="00541034">
        <w:t xml:space="preserve"> to annual totals t</w:t>
      </w:r>
      <w:r w:rsidR="00750231" w:rsidRPr="00541034">
        <w:t>o estimate state-level beef production for 2021.</w:t>
      </w:r>
    </w:p>
    <w:p w14:paraId="0E8BE6F9" w14:textId="58E993B2" w:rsidR="0023564F" w:rsidRPr="001842CE" w:rsidRDefault="0023564F" w:rsidP="00841EB8">
      <w:pPr>
        <w:pStyle w:val="BodyText"/>
        <w:spacing w:line="360" w:lineRule="auto"/>
      </w:pPr>
      <w:r w:rsidRPr="001842CE">
        <w:t>Next, we estimated state-level production (</w:t>
      </w:r>
      <m:oMath>
        <m:sSub>
          <m:sSubPr>
            <m:ctrlPr>
              <w:rPr>
                <w:rFonts w:ascii="Cambria Math" w:hAnsi="Cambria Math"/>
              </w:rPr>
            </m:ctrlPr>
          </m:sSubPr>
          <m:e>
            <m:r>
              <w:rPr>
                <w:rFonts w:ascii="Cambria Math" w:hAnsi="Cambria Math"/>
              </w:rPr>
              <m:t>P</m:t>
            </m:r>
          </m:e>
          <m:sub>
            <m:r>
              <w:rPr>
                <w:rFonts w:ascii="Cambria Math" w:hAnsi="Cambria Math"/>
              </w:rPr>
              <m:t>[UF]</m:t>
            </m:r>
          </m:sub>
        </m:sSub>
      </m:oMath>
      <w:r w:rsidRPr="001842CE">
        <w:rPr>
          <w:rFonts w:eastAsiaTheme="minorEastAsia"/>
        </w:rPr>
        <w:t>,</w:t>
      </w:r>
      <w:r w:rsidRPr="001842CE">
        <w:t xml:space="preserve"> in kg carcass weight) by multiplying each state's slaughter proportion</w:t>
      </w:r>
      <w:r w:rsidR="005728A2">
        <w:t xml:space="preserve"> (</w:t>
      </w:r>
      <m:oMath>
        <m:sSub>
          <m:sSubPr>
            <m:ctrlPr>
              <w:rPr>
                <w:rFonts w:ascii="Cambria Math" w:hAnsi="Cambria Math"/>
                <w:sz w:val="22"/>
                <w:szCs w:val="22"/>
              </w:rPr>
            </m:ctrlPr>
          </m:sSubPr>
          <m:e>
            <m:r>
              <w:rPr>
                <w:rFonts w:ascii="Cambria Math" w:hAnsi="Cambria Math"/>
                <w:sz w:val="22"/>
                <w:szCs w:val="22"/>
              </w:rPr>
              <m:t>S</m:t>
            </m:r>
          </m:e>
          <m:sub>
            <m:r>
              <w:rPr>
                <w:rFonts w:ascii="Cambria Math" w:hAnsi="Cambria Math"/>
                <w:sz w:val="22"/>
                <w:szCs w:val="22"/>
              </w:rPr>
              <m:t>p[UF}</m:t>
            </m:r>
          </m:sub>
        </m:sSub>
      </m:oMath>
      <w:r w:rsidR="005728A2">
        <w:t>)</w:t>
      </w:r>
      <w:r w:rsidRPr="001842CE">
        <w:t xml:space="preserve"> by the total meat production in Brazil</w:t>
      </w:r>
      <w:r w:rsidR="00CB6D36" w:rsidRPr="001842CE">
        <w:t xml:space="preserve"> for the year 2021</w:t>
      </w:r>
      <w:r w:rsidRPr="001842CE">
        <w:t xml:space="preserve"> (</w:t>
      </w:r>
      <m:oMath>
        <m:sSub>
          <m:sSubPr>
            <m:ctrlPr>
              <w:rPr>
                <w:rFonts w:ascii="Cambria Math" w:hAnsi="Cambria Math"/>
              </w:rPr>
            </m:ctrlPr>
          </m:sSubPr>
          <m:e>
            <m:r>
              <w:rPr>
                <w:rFonts w:ascii="Cambria Math" w:hAnsi="Cambria Math"/>
              </w:rPr>
              <m:t>P</m:t>
            </m:r>
          </m:e>
          <m:sub>
            <m:r>
              <w:rPr>
                <w:rFonts w:ascii="Cambria Math" w:hAnsi="Cambria Math"/>
              </w:rPr>
              <m:t>Brazil</m:t>
            </m:r>
          </m:sub>
        </m:sSub>
      </m:oMath>
      <w:r w:rsidRPr="001842CE">
        <w:t xml:space="preserve"> , </w:t>
      </w:r>
      <w:r w:rsidR="000B3A1F" w:rsidRPr="001842CE">
        <w:rPr>
          <w:lang w:val="en-GB"/>
        </w:rPr>
        <w:t>8328.5</w:t>
      </w:r>
      <w:r w:rsidR="00093BCD">
        <w:rPr>
          <w:lang w:val="en-GB"/>
        </w:rPr>
        <w:t xml:space="preserve"> in 2021</w:t>
      </w:r>
      <w:r w:rsidRPr="001842CE">
        <w:t>):</w:t>
      </w:r>
    </w:p>
    <w:p w14:paraId="28289861" w14:textId="3683FFE7" w:rsidR="0023564F" w:rsidRPr="00B46A05" w:rsidRDefault="005766E0" w:rsidP="00841EB8">
      <w:pPr>
        <w:pStyle w:val="BodyText"/>
        <w:spacing w:line="360" w:lineRule="auto"/>
        <w:rPr>
          <w:rFonts w:eastAsiaTheme="minorEastAsia"/>
          <w:sz w:val="22"/>
          <w:szCs w:val="22"/>
        </w:rPr>
      </w:pPr>
      <m:oMathPara>
        <m:oMathParaPr>
          <m:jc m:val="center"/>
        </m:oMathParaPr>
        <m:oMath>
          <m:eqArr>
            <m:eqArrPr>
              <m:maxDist m:val="1"/>
              <m:ctrlPr>
                <w:rPr>
                  <w:rFonts w:ascii="Cambria Math" w:hAnsi="Cambria Math"/>
                  <w:i/>
                  <w:sz w:val="22"/>
                  <w:szCs w:val="22"/>
                </w:rPr>
              </m:ctrlPr>
            </m:eqArrPr>
            <m:e>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[UF]</m:t>
                  </m:r>
                </m:sub>
              </m:sSub>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S</m:t>
                  </m:r>
                </m:e>
                <m:sub>
                  <m:r>
                    <w:rPr>
                      <w:rFonts w:ascii="Cambria Math" w:hAnsi="Cambria Math"/>
                      <w:sz w:val="22"/>
                      <w:szCs w:val="22"/>
                    </w:rPr>
                    <m:t>p[UF}</m:t>
                  </m:r>
                </m:sub>
              </m:sSub>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Brazil</m:t>
                  </m:r>
                </m:sub>
              </m:sSub>
              <m:r>
                <w:rPr>
                  <w:rFonts w:ascii="Cambria Math" w:hAnsi="Cambria Math"/>
                  <w:sz w:val="22"/>
                  <w:szCs w:val="22"/>
                </w:rPr>
                <m:t xml:space="preserve"> #(S4)</m:t>
              </m:r>
            </m:e>
          </m:eqArr>
        </m:oMath>
      </m:oMathPara>
    </w:p>
    <w:p w14:paraId="386A8460" w14:textId="5AAE8D02" w:rsidR="0023564F" w:rsidRDefault="0023564F" w:rsidP="00841EB8">
      <w:pPr>
        <w:pStyle w:val="FirstParagraph"/>
        <w:spacing w:line="360" w:lineRule="auto"/>
      </w:pPr>
      <w:r w:rsidRPr="00F16D4B">
        <w:t>Then, we calculated animal performance per state</w:t>
      </w:r>
      <w:r>
        <w:t xml:space="preserve"> (</w:t>
      </w:r>
      <m:oMath>
        <m:r>
          <w:rPr>
            <w:rFonts w:ascii="Cambria Math" w:hAnsi="Cambria Math"/>
          </w:rPr>
          <m:t>A</m:t>
        </m:r>
        <m:sSub>
          <m:sSubPr>
            <m:ctrlPr>
              <w:rPr>
                <w:rFonts w:ascii="Cambria Math" w:hAnsi="Cambria Math"/>
              </w:rPr>
            </m:ctrlPr>
          </m:sSubPr>
          <m:e>
            <m:r>
              <w:rPr>
                <w:rFonts w:ascii="Cambria Math" w:hAnsi="Cambria Math"/>
              </w:rPr>
              <m:t>P</m:t>
            </m:r>
          </m:e>
          <m:sub>
            <m:r>
              <w:rPr>
                <w:rFonts w:ascii="Cambria Math" w:hAnsi="Cambria Math"/>
              </w:rPr>
              <m:t>UF</m:t>
            </m:r>
          </m:sub>
        </m:sSub>
      </m:oMath>
      <w:r>
        <w:rPr>
          <w:rFonts w:eastAsiaTheme="minorEastAsia"/>
        </w:rPr>
        <w:t>, in</w:t>
      </w:r>
      <w:r>
        <w:t xml:space="preserve"> kg carcass weight AU </w:t>
      </w:r>
      <w:r w:rsidRPr="00F16D4B">
        <w:rPr>
          <w:vertAlign w:val="superscript"/>
        </w:rPr>
        <w:t>-1</w:t>
      </w:r>
      <w:r>
        <w:t xml:space="preserve"> year</w:t>
      </w:r>
      <w:r w:rsidRPr="00F16D4B">
        <w:rPr>
          <w:vertAlign w:val="superscript"/>
        </w:rPr>
        <w:t>-1</w:t>
      </w:r>
      <w:r>
        <w:t xml:space="preserve">) </w:t>
      </w:r>
      <w:r w:rsidRPr="00A649CD">
        <w:t xml:space="preserve">by dividing state meat production by the number of </w:t>
      </w:r>
      <w:r>
        <w:t>animal units</w:t>
      </w:r>
      <w:r w:rsidRPr="00A649CD">
        <w:t xml:space="preserve"> in the respective state:</w:t>
      </w:r>
    </w:p>
    <w:p w14:paraId="6965271F" w14:textId="24874663" w:rsidR="0023564F" w:rsidRPr="00B46A05" w:rsidRDefault="005766E0" w:rsidP="00841EB8">
      <w:pPr>
        <w:pStyle w:val="BodyText"/>
        <w:spacing w:line="360" w:lineRule="auto"/>
        <w:rPr>
          <w:rFonts w:eastAsiaTheme="minorEastAsia"/>
          <w:sz w:val="22"/>
          <w:szCs w:val="22"/>
        </w:rPr>
      </w:pPr>
      <m:oMathPara>
        <m:oMathParaPr>
          <m:jc m:val="center"/>
        </m:oMathParaPr>
        <m:oMath>
          <m:eqArr>
            <m:eqArrPr>
              <m:maxDist m:val="1"/>
              <m:ctrlPr>
                <w:rPr>
                  <w:rFonts w:ascii="Cambria Math" w:hAnsi="Cambria Math"/>
                  <w:i/>
                  <w:sz w:val="22"/>
                  <w:szCs w:val="22"/>
                </w:rPr>
              </m:ctrlPr>
            </m:eqArrPr>
            <m:e>
              <m:r>
                <w:rPr>
                  <w:rFonts w:ascii="Cambria Math" w:hAnsi="Cambria Math"/>
                  <w:sz w:val="22"/>
                  <w:szCs w:val="22"/>
                </w:rPr>
                <m:t>A</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[UF]</m:t>
                  </m:r>
                </m:sub>
              </m:sSub>
              <m:r>
                <m:rPr>
                  <m:sty m:val="p"/>
                </m:rPr>
                <w:rPr>
                  <w:rFonts w:ascii="Cambria Math" w:hAnsi="Cambria Math"/>
                  <w:sz w:val="22"/>
                  <w:szCs w:val="22"/>
                </w:rPr>
                <m:t>=</m:t>
              </m:r>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[UF]</m:t>
                      </m:r>
                    </m:sub>
                  </m:sSub>
                </m:num>
                <m:den>
                  <m:sSub>
                    <m:sSubPr>
                      <m:ctrlPr>
                        <w:rPr>
                          <w:rFonts w:ascii="Cambria Math" w:hAnsi="Cambria Math"/>
                          <w:sz w:val="22"/>
                          <w:szCs w:val="22"/>
                        </w:rPr>
                      </m:ctrlPr>
                    </m:sSubPr>
                    <m:e>
                      <m:r>
                        <w:rPr>
                          <w:rFonts w:ascii="Cambria Math" w:hAnsi="Cambria Math"/>
                          <w:sz w:val="22"/>
                          <w:szCs w:val="22"/>
                        </w:rPr>
                        <m:t>AU</m:t>
                      </m:r>
                    </m:e>
                    <m:sub>
                      <m:r>
                        <w:rPr>
                          <w:rFonts w:ascii="Cambria Math" w:hAnsi="Cambria Math"/>
                          <w:sz w:val="22"/>
                          <w:szCs w:val="22"/>
                        </w:rPr>
                        <m:t>[UF]</m:t>
                      </m:r>
                    </m:sub>
                  </m:sSub>
                </m:den>
              </m:f>
              <m:r>
                <w:rPr>
                  <w:rFonts w:ascii="Cambria Math" w:hAnsi="Cambria Math"/>
                  <w:sz w:val="22"/>
                  <w:szCs w:val="22"/>
                </w:rPr>
                <m:t xml:space="preserve"> #</m:t>
              </m:r>
              <m:d>
                <m:dPr>
                  <m:ctrlPr>
                    <w:rPr>
                      <w:rFonts w:ascii="Cambria Math" w:hAnsi="Cambria Math"/>
                      <w:i/>
                      <w:sz w:val="22"/>
                      <w:szCs w:val="22"/>
                    </w:rPr>
                  </m:ctrlPr>
                </m:dPr>
                <m:e>
                  <m:r>
                    <w:rPr>
                      <w:rFonts w:ascii="Cambria Math" w:hAnsi="Cambria Math"/>
                      <w:sz w:val="22"/>
                      <w:szCs w:val="22"/>
                    </w:rPr>
                    <m:t>S5</m:t>
                  </m:r>
                </m:e>
              </m:d>
            </m:e>
          </m:eqArr>
        </m:oMath>
      </m:oMathPara>
    </w:p>
    <w:p w14:paraId="689ABEB4" w14:textId="0539385D" w:rsidR="0023564F" w:rsidRDefault="0023564F" w:rsidP="00841EB8">
      <w:pPr>
        <w:pStyle w:val="FirstParagraph"/>
        <w:spacing w:line="360" w:lineRule="auto"/>
      </w:pPr>
      <w:r>
        <w:t xml:space="preserve">where </w:t>
      </w:r>
      <m:oMath>
        <m:sSub>
          <m:sSubPr>
            <m:ctrlPr>
              <w:rPr>
                <w:rFonts w:ascii="Cambria Math" w:hAnsi="Cambria Math"/>
              </w:rPr>
            </m:ctrlPr>
          </m:sSubPr>
          <m:e>
            <m:r>
              <w:rPr>
                <w:rFonts w:ascii="Cambria Math" w:hAnsi="Cambria Math"/>
              </w:rPr>
              <m:t>AU</m:t>
            </m:r>
          </m:e>
          <m:sub>
            <m:r>
              <w:rPr>
                <w:rFonts w:ascii="Cambria Math" w:hAnsi="Cambria Math"/>
              </w:rPr>
              <m:t>[UF]</m:t>
            </m:r>
          </m:sub>
        </m:sSub>
      </m:oMath>
      <w:r>
        <w:t xml:space="preserve"> is the number of animal units per state, which we obtained by aggregating municipality data</w:t>
      </w:r>
      <w:r w:rsidR="000B22C8">
        <w:t xml:space="preserve"> from</w:t>
      </w:r>
      <w:r w:rsidR="008D7E6B">
        <w:t xml:space="preserve"> IBGE</w:t>
      </w:r>
      <w:r w:rsidR="00132729" w:rsidRPr="00BB0429">
        <w:rPr>
          <w:lang w:val="en-GB"/>
        </w:rPr>
        <w:fldChar w:fldCharType="begin"/>
      </w:r>
      <w:r w:rsidR="00132729">
        <w:rPr>
          <w:lang w:val="en-GB"/>
        </w:rPr>
        <w:instrText xml:space="preserve"> ADDIN ZOTERO_ITEM CSL_CITATION {"citationID":"ianeOC0s","properties":{"formattedCitation":"\\super 2\\nosupersub{}","plainCitation":"2","noteIndex":0},"citationItems":[{"id":6416,"uris":["http://zotero.org/users/3309187/items/Q2R3NCMF"],"itemData":{"id":6416,"type":"webpage","abstract":"O Atlas das Pastagens é uma ferramenta desenvolvida pelo Laboratório de Processamento de Imagens e Geoprocessamento (Lapig/UFG), para tornar acessível, de forma online e gratuita, os dados relacionados às pastagens brasileiras. Todos os dados da plataforma são produzidos no âmbit","container-title":"Atlas das Pastagens","language":"pt-BR","title":"Atlas das Pastagens","URL":"https://atlasdaspastagens.ufg.br/","author":[{"family":"LAPIG","given":""}],"accessed":{"date-parts":[["2024",9,17]]},"issued":{"date-parts":[["2024"]]}}}],"schema":"https://github.com/citation-style-language/schema/raw/master/csl-citation.json"} </w:instrText>
      </w:r>
      <w:r w:rsidR="00132729" w:rsidRPr="00BB0429">
        <w:rPr>
          <w:lang w:val="en-GB"/>
        </w:rPr>
        <w:fldChar w:fldCharType="separate"/>
      </w:r>
      <w:r w:rsidR="00132729" w:rsidRPr="00132729">
        <w:rPr>
          <w:rFonts w:ascii="Aptos" w:hAnsi="Aptos" w:cs="Times New Roman"/>
          <w:vertAlign w:val="superscript"/>
        </w:rPr>
        <w:t>2</w:t>
      </w:r>
      <w:r w:rsidR="00132729" w:rsidRPr="00BB0429">
        <w:rPr>
          <w:lang w:val="en-GB"/>
        </w:rPr>
        <w:fldChar w:fldCharType="end"/>
      </w:r>
      <w:r>
        <w:t>.</w:t>
      </w:r>
    </w:p>
    <w:p w14:paraId="1392F58E" w14:textId="6CFD720E" w:rsidR="0023564F" w:rsidRDefault="0023564F" w:rsidP="00841EB8">
      <w:pPr>
        <w:pStyle w:val="BodyText"/>
        <w:spacing w:line="360" w:lineRule="auto"/>
      </w:pPr>
      <w:r>
        <w:t>We next</w:t>
      </w:r>
      <w:r w:rsidRPr="00967D65">
        <w:t xml:space="preserve"> estimated the stocking rate</w:t>
      </w:r>
      <w:r>
        <w:t xml:space="preserve"> ( </w:t>
      </w:r>
      <m:oMath>
        <m:r>
          <w:rPr>
            <w:rFonts w:ascii="Cambria Math" w:hAnsi="Cambria Math"/>
          </w:rPr>
          <m:t>Sr</m:t>
        </m:r>
      </m:oMath>
      <w:r>
        <w:t xml:space="preserve">  in AU/ha) at the municipality level (</w:t>
      </w:r>
      <m:oMath>
        <m:r>
          <w:rPr>
            <w:rFonts w:ascii="Cambria Math" w:hAnsi="Cambria Math"/>
          </w:rPr>
          <m:t>j</m:t>
        </m:r>
      </m:oMath>
      <w:r>
        <w:rPr>
          <w:rFonts w:eastAsiaTheme="minorEastAsia"/>
        </w:rPr>
        <w:t>)</w:t>
      </w:r>
      <w:r>
        <w:t>, following a series of steps. Because different pasture qualities can hold different densities we first attributed a different weight</w:t>
      </w:r>
      <w:r w:rsidR="00D6643B">
        <w:t xml:space="preserve"> </w:t>
      </w:r>
      <w:r w:rsidR="00D6643B" w:rsidRPr="00D6643B">
        <w:rPr>
          <w:i/>
          <w:iCs/>
        </w:rPr>
        <w:t>w</w:t>
      </w:r>
      <w:r>
        <w:t xml:space="preserve"> to each class of pasture </w:t>
      </w:r>
      <m:oMath>
        <m:r>
          <w:rPr>
            <w:rFonts w:ascii="Cambria Math" w:hAnsi="Cambria Math"/>
          </w:rPr>
          <m:t>k</m:t>
        </m:r>
      </m:oMath>
      <w:r>
        <w:rPr>
          <w:rFonts w:eastAsiaTheme="minorEastAsia"/>
        </w:rPr>
        <w:t xml:space="preserve"> (</w:t>
      </w:r>
      <w:r w:rsidRPr="007F1175">
        <w:rPr>
          <w:rFonts w:eastAsiaTheme="minorEastAsia"/>
        </w:rPr>
        <w:t xml:space="preserve">low vigor= 0.5, medium = 0.7, high = 1.5; following </w:t>
      </w:r>
      <w:r w:rsidR="00DF2160">
        <w:rPr>
          <w:rFonts w:eastAsiaTheme="minorEastAsia"/>
        </w:rPr>
        <w:t>Carlos et al.</w:t>
      </w:r>
      <w:r w:rsidRPr="005F65A2">
        <w:t xml:space="preserve"> </w:t>
      </w:r>
      <w:r>
        <w:fldChar w:fldCharType="begin"/>
      </w:r>
      <w:r w:rsidR="00C768D3">
        <w:instrText xml:space="preserve"> ADDIN ZOTERO_ITEM CSL_CITATION {"citationID":"z5InLXkH","properties":{"formattedCitation":"\\super 5\\nosupersub{}","plainCitation":"5","noteIndex":0},"citationItems":[{"id":6320,"uris":["http://zotero.org/users/3309187/items/89BS6WRQ"],"itemData":{"id":6320,"type":"report","language":"en","publisher":"Observatório de Conhecimento e Inovação em Bioeconomia, Fundação Getúlio Vargas","publisher-place":"FGV-EESP, São Paulo, SP, Brasil.","source":"Zotero","title":"Costs of recovering degraded pastures in the brazilian states and biomes","URL":"https://agro.fgv.br/sites/default/files/2023-02/costs_of_recovering_degraded_pastures_in_the_brazilian_states_and_biomes_0.pdf","author":[{"family":"Carlos","given":"Sabrina De Matos"},{"family":"Assad","given":"Eduardo Delgado"},{"family":"Estevam","given":"Camila Genaro"},{"family":"Lima","given":"Cicero Zanetti De"},{"family":"Pavão","given":"Eduardo De Moraes"},{"family":"Pinto","given":"Talita Priscila"}],"issued":{"date-parts":[["2022"]]}},"label":"page"}],"schema":"https://github.com/citation-style-language/schema/raw/master/csl-citation.json"} </w:instrText>
      </w:r>
      <w:r>
        <w:fldChar w:fldCharType="separate"/>
      </w:r>
      <w:r w:rsidR="00C768D3" w:rsidRPr="00C768D3">
        <w:rPr>
          <w:rFonts w:ascii="Aptos" w:hAnsi="Aptos" w:cs="Times New Roman"/>
          <w:vertAlign w:val="superscript"/>
        </w:rPr>
        <w:t>5</w:t>
      </w:r>
      <w:r>
        <w:fldChar w:fldCharType="end"/>
      </w:r>
      <w:r>
        <w:t xml:space="preserve">) and then for each municipality </w:t>
      </w:r>
      <m:oMath>
        <m:r>
          <w:rPr>
            <w:rFonts w:ascii="Cambria Math" w:hAnsi="Cambria Math"/>
          </w:rPr>
          <m:t>j</m:t>
        </m:r>
      </m:oMath>
      <w:r>
        <w:t xml:space="preserve"> and pasture class</w:t>
      </w:r>
      <w:r w:rsidR="00B31EDB">
        <w:t xml:space="preserve"> </w:t>
      </w:r>
      <w:r w:rsidR="00B31EDB">
        <w:rPr>
          <w:rFonts w:ascii="Cambria Math" w:hAnsi="Cambria Math"/>
        </w:rPr>
        <w:t>𝑘</w:t>
      </w:r>
      <w:r>
        <w:t xml:space="preserve"> we calculated a weighted pasture area (</w:t>
      </w:r>
      <m:oMath>
        <m:sSub>
          <m:sSubPr>
            <m:ctrlPr>
              <w:rPr>
                <w:rFonts w:ascii="Cambria Math" w:hAnsi="Cambria Math"/>
                <w:i/>
              </w:rPr>
            </m:ctrlPr>
          </m:sSubPr>
          <m:e>
            <m:r>
              <w:rPr>
                <w:rFonts w:ascii="Cambria Math" w:hAnsi="Cambria Math"/>
              </w:rPr>
              <m:t>a</m:t>
            </m:r>
          </m:e>
          <m:sub>
            <m:r>
              <w:rPr>
                <w:rFonts w:ascii="Cambria Math" w:hAnsi="Cambria Math"/>
              </w:rPr>
              <m:t>w[j,k]</m:t>
            </m:r>
          </m:sub>
        </m:sSub>
      </m:oMath>
      <w:r>
        <w:rPr>
          <w:rFonts w:eastAsiaTheme="minorEastAsia"/>
        </w:rPr>
        <w:t>, in ha)</w:t>
      </w:r>
      <w:r>
        <w:t xml:space="preserve"> by multiplying the pasture area of each class (</w:t>
      </w:r>
      <m:oMath>
        <m:sSub>
          <m:sSubPr>
            <m:ctrlPr>
              <w:rPr>
                <w:rFonts w:ascii="Cambria Math" w:hAnsi="Cambria Math"/>
              </w:rPr>
            </m:ctrlPr>
          </m:sSubPr>
          <m:e>
            <m:r>
              <w:rPr>
                <w:rFonts w:ascii="Cambria Math" w:hAnsi="Cambria Math"/>
              </w:rPr>
              <m:t>a</m:t>
            </m:r>
          </m:e>
          <m:sub>
            <m:r>
              <w:rPr>
                <w:rFonts w:ascii="Cambria Math" w:hAnsi="Cambria Math"/>
              </w:rPr>
              <m:t>[j,k]</m:t>
            </m:r>
          </m:sub>
        </m:sSub>
      </m:oMath>
      <w:r>
        <w:rPr>
          <w:rFonts w:eastAsiaTheme="minorEastAsia"/>
        </w:rPr>
        <w:t>)</w:t>
      </w:r>
      <w:r>
        <w:t xml:space="preserve"> by the corresponding weights:</w:t>
      </w:r>
    </w:p>
    <w:p w14:paraId="07E30D39" w14:textId="1EF03A24" w:rsidR="0023564F" w:rsidRPr="00D85CFD" w:rsidRDefault="005766E0" w:rsidP="00841EB8">
      <w:pPr>
        <w:pStyle w:val="BodyText"/>
        <w:spacing w:line="360" w:lineRule="auto"/>
        <w:rPr>
          <w:rFonts w:eastAsiaTheme="minorEastAsia"/>
          <w:sz w:val="22"/>
          <w:szCs w:val="22"/>
        </w:rPr>
      </w:pPr>
      <m:oMathPara>
        <m:oMath>
          <m:eqArr>
            <m:eqArrPr>
              <m:maxDist m:val="1"/>
              <m:ctrlPr>
                <w:rPr>
                  <w:rFonts w:ascii="Cambria Math" w:hAnsi="Cambria Math"/>
                  <w:i/>
                  <w:sz w:val="22"/>
                  <w:szCs w:val="22"/>
                </w:rPr>
              </m:ctrlPr>
            </m:eqArr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w[j,k]</m:t>
                  </m:r>
                </m:sub>
              </m:sSub>
              <m:r>
                <m:rPr>
                  <m:sty m:val="p"/>
                </m:rPr>
                <w:rPr>
                  <w:rFonts w:ascii="Cambria Math" w:hAnsi="Cambria Math"/>
                  <w:sz w:val="22"/>
                  <w:szCs w:val="22"/>
                </w:rPr>
                <m:t>=</m:t>
              </m:r>
              <m:sSub>
                <m:sSubPr>
                  <m:ctrlPr>
                    <w:rPr>
                      <w:rFonts w:ascii="Cambria Math" w:hAnsi="Cambria Math"/>
                      <w:sz w:val="22"/>
                      <w:szCs w:val="22"/>
                    </w:rPr>
                  </m:ctrlPr>
                </m:sSub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[j,k]</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[k]</m:t>
                      </m:r>
                    </m:sub>
                  </m:sSub>
                </m:e>
                <m:sub>
                  <m:r>
                    <w:rPr>
                      <w:rFonts w:ascii="Cambria Math" w:hAnsi="Cambria Math"/>
                      <w:sz w:val="22"/>
                      <w:szCs w:val="22"/>
                    </w:rPr>
                    <m:t xml:space="preserve"> </m:t>
                  </m:r>
                </m:sub>
              </m:sSub>
              <m:r>
                <w:rPr>
                  <w:rFonts w:ascii="Cambria Math" w:hAnsi="Cambria Math"/>
                  <w:sz w:val="22"/>
                  <w:szCs w:val="22"/>
                </w:rPr>
                <m:t>#(S6)</m:t>
              </m:r>
            </m:e>
          </m:eqArr>
        </m:oMath>
      </m:oMathPara>
    </w:p>
    <w:p w14:paraId="2C7F05DF" w14:textId="736E07E4" w:rsidR="0023564F" w:rsidRDefault="0023564F" w:rsidP="00841EB8">
      <w:pPr>
        <w:pStyle w:val="FirstParagraph"/>
        <w:spacing w:line="360" w:lineRule="auto"/>
      </w:pPr>
      <w:r>
        <w:t>For each municipality w</w:t>
      </w:r>
      <w:r w:rsidRPr="00831F25">
        <w:t xml:space="preserve">e </w:t>
      </w:r>
      <w:r w:rsidRPr="00A83975">
        <w:t>allocate</w:t>
      </w:r>
      <w:r>
        <w:t>d its</w:t>
      </w:r>
      <w:r w:rsidRPr="00A83975">
        <w:t xml:space="preserve"> </w:t>
      </w:r>
      <w:r>
        <w:t>animal units</w:t>
      </w:r>
      <w:r w:rsidRPr="00A83975">
        <w:t xml:space="preserve"> </w:t>
      </w:r>
      <w:r>
        <w:t xml:space="preserve">to each class of pasture </w:t>
      </w:r>
      <m:oMath>
        <m:r>
          <w:rPr>
            <w:rFonts w:ascii="Cambria Math" w:hAnsi="Cambria Math"/>
          </w:rPr>
          <m:t>(</m:t>
        </m:r>
        <m:sSub>
          <m:sSubPr>
            <m:ctrlPr>
              <w:rPr>
                <w:rFonts w:ascii="Cambria Math" w:hAnsi="Cambria Math"/>
              </w:rPr>
            </m:ctrlPr>
          </m:sSubPr>
          <m:e>
            <m:r>
              <m:rPr>
                <m:sty m:val="p"/>
              </m:rPr>
              <w:rPr>
                <w:rFonts w:ascii="Cambria Math" w:hAnsi="Cambria Math"/>
              </w:rPr>
              <m:t>AU</m:t>
            </m:r>
            <m:ctrlPr>
              <w:rPr>
                <w:rFonts w:ascii="Cambria Math" w:hAnsi="Cambria Math"/>
                <w:i/>
              </w:rPr>
            </m:ctrlPr>
          </m:e>
          <m:sub>
            <m:r>
              <m:rPr>
                <m:sty m:val="p"/>
              </m:rPr>
              <w:rPr>
                <w:rFonts w:ascii="Cambria Math" w:hAnsi="Cambria Math"/>
              </w:rPr>
              <m:t>w[j,k]</m:t>
            </m:r>
          </m:sub>
        </m:sSub>
      </m:oMath>
      <w:r>
        <w:rPr>
          <w:rFonts w:eastAsiaTheme="minorEastAsia"/>
        </w:rPr>
        <w:t>) by</w:t>
      </w:r>
      <w:r w:rsidRPr="00A83975">
        <w:t xml:space="preserve"> </w:t>
      </w:r>
      <w:r w:rsidRPr="00245164">
        <w:t xml:space="preserve">multiplying </w:t>
      </w:r>
      <w:r>
        <w:t>its</w:t>
      </w:r>
      <w:r w:rsidRPr="00245164">
        <w:t xml:space="preserve"> total number of </w:t>
      </w:r>
      <w:r>
        <w:t>animal units</w:t>
      </w:r>
      <w:r w:rsidRPr="00245164">
        <w:t xml:space="preserve"> </w:t>
      </w:r>
      <w:r>
        <w:t>(</w:t>
      </w:r>
      <m:oMath>
        <m:sSub>
          <m:sSubPr>
            <m:ctrlPr>
              <w:rPr>
                <w:rFonts w:ascii="Cambria Math" w:hAnsi="Cambria Math"/>
              </w:rPr>
            </m:ctrlPr>
          </m:sSubPr>
          <m:e>
            <m:r>
              <w:rPr>
                <w:rFonts w:ascii="Cambria Math" w:hAnsi="Cambria Math"/>
              </w:rPr>
              <m:t>AU</m:t>
            </m:r>
          </m:e>
          <m:sub>
            <m:r>
              <w:rPr>
                <w:rFonts w:ascii="Cambria Math" w:hAnsi="Cambria Math"/>
              </w:rPr>
              <m:t>[j]</m:t>
            </m:r>
          </m:sub>
        </m:sSub>
      </m:oMath>
      <w:r>
        <w:t>) by</w:t>
      </w:r>
      <w:r w:rsidRPr="00A83975">
        <w:t xml:space="preserve"> the weighted area of each pasture class </w:t>
      </w:r>
      <w:r>
        <w:t xml:space="preserve">divided </w:t>
      </w:r>
      <w:r w:rsidRPr="00A83975">
        <w:t>by the total weighted area for the municipality:</w:t>
      </w:r>
    </w:p>
    <w:p w14:paraId="2010FE67" w14:textId="33724B66" w:rsidR="0023564F" w:rsidRPr="00D85CFD" w:rsidRDefault="005766E0" w:rsidP="00841EB8">
      <w:pPr>
        <w:pStyle w:val="FirstParagraph"/>
        <w:spacing w:line="360" w:lineRule="auto"/>
        <w:rPr>
          <w:rFonts w:eastAsiaTheme="minorEastAsia"/>
        </w:rPr>
      </w:pPr>
      <m:oMathPara>
        <m:oMath>
          <m:eqArr>
            <m:eqArrPr>
              <m:maxDist m:val="1"/>
              <m:ctrlPr>
                <w:rPr>
                  <w:rFonts w:ascii="Cambria Math" w:hAnsi="Cambria Math"/>
                  <w:i/>
                </w:rPr>
              </m:ctrlPr>
            </m:eqArrPr>
            <m:e>
              <m:r>
                <w:rPr>
                  <w:rFonts w:ascii="Cambria Math" w:hAnsi="Cambria Math"/>
                </w:rPr>
                <m:t>A</m:t>
              </m:r>
              <m:sSub>
                <m:sSubPr>
                  <m:ctrlPr>
                    <w:rPr>
                      <w:rFonts w:ascii="Cambria Math" w:hAnsi="Cambria Math"/>
                      <w:i/>
                    </w:rPr>
                  </m:ctrlPr>
                </m:sSubPr>
                <m:e>
                  <m:r>
                    <w:rPr>
                      <w:rFonts w:ascii="Cambria Math" w:hAnsi="Cambria Math"/>
                    </w:rPr>
                    <m:t>U</m:t>
                  </m:r>
                </m:e>
                <m:sub>
                  <m:r>
                    <w:rPr>
                      <w:rFonts w:ascii="Cambria Math" w:hAnsi="Cambria Math"/>
                    </w:rPr>
                    <m:t>w[j,k]</m:t>
                  </m:r>
                </m:sub>
              </m:sSub>
              <m:r>
                <w:rPr>
                  <w:rFonts w:ascii="Cambria Math" w:hAnsi="Cambria Math"/>
                </w:rPr>
                <m:t>=A</m:t>
              </m:r>
              <m:sSub>
                <m:sSubPr>
                  <m:ctrlPr>
                    <w:rPr>
                      <w:rFonts w:ascii="Cambria Math" w:hAnsi="Cambria Math"/>
                      <w:i/>
                    </w:rPr>
                  </m:ctrlPr>
                </m:sSubPr>
                <m:e>
                  <m:r>
                    <w:rPr>
                      <w:rFonts w:ascii="Cambria Math" w:hAnsi="Cambria Math"/>
                    </w:rPr>
                    <m:t>U</m:t>
                  </m:r>
                </m:e>
                <m:sub>
                  <m:r>
                    <w:rPr>
                      <w:rFonts w:ascii="Cambria Math" w:hAnsi="Cambria Math"/>
                    </w:rPr>
                    <m:t>[j]</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w[j,k]</m:t>
                      </m:r>
                    </m:sub>
                  </m:sSub>
                </m:num>
                <m:den>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a</m:t>
                          </m:r>
                        </m:e>
                        <m:sub>
                          <m:r>
                            <w:rPr>
                              <w:rFonts w:ascii="Cambria Math" w:hAnsi="Cambria Math"/>
                            </w:rPr>
                            <m:t>w[j,k]</m:t>
                          </m:r>
                        </m:sub>
                      </m:sSub>
                    </m:e>
                  </m:nary>
                </m:den>
              </m:f>
              <m:r>
                <w:rPr>
                  <w:rFonts w:ascii="Cambria Math" w:hAnsi="Cambria Math"/>
                </w:rPr>
                <m:t xml:space="preserve"> #(S7)</m:t>
              </m:r>
            </m:e>
          </m:eqArr>
        </m:oMath>
      </m:oMathPara>
    </w:p>
    <w:p w14:paraId="46FC6659" w14:textId="146D49F2" w:rsidR="0023564F" w:rsidRDefault="0023564F" w:rsidP="00841EB8">
      <w:pPr>
        <w:pStyle w:val="FirstParagraph"/>
        <w:spacing w:line="360" w:lineRule="auto"/>
      </w:pPr>
      <w:r w:rsidRPr="008B3AC1">
        <w:t>We</w:t>
      </w:r>
      <w:r>
        <w:t xml:space="preserve"> then</w:t>
      </w:r>
      <w:r w:rsidRPr="008B3AC1">
        <w:t xml:space="preserve"> obtained stocking rates (</w:t>
      </w:r>
      <m:oMath>
        <m:r>
          <w:rPr>
            <w:rFonts w:ascii="Cambria Math" w:hAnsi="Cambria Math"/>
          </w:rPr>
          <m:t>S</m:t>
        </m:r>
        <m:sSub>
          <m:sSubPr>
            <m:ctrlPr>
              <w:rPr>
                <w:rFonts w:ascii="Cambria Math" w:hAnsi="Cambria Math"/>
              </w:rPr>
            </m:ctrlPr>
          </m:sSubPr>
          <m:e>
            <m:r>
              <w:rPr>
                <w:rFonts w:ascii="Cambria Math" w:hAnsi="Cambria Math"/>
              </w:rPr>
              <m:t>r</m:t>
            </m:r>
          </m:e>
          <m:sub>
            <m:r>
              <w:rPr>
                <w:rFonts w:ascii="Cambria Math" w:hAnsi="Cambria Math"/>
              </w:rPr>
              <m:t>[j,k]</m:t>
            </m:r>
          </m:sub>
        </m:sSub>
      </m:oMath>
      <w:r w:rsidRPr="008B3AC1">
        <w:t xml:space="preserve">, </w:t>
      </w:r>
      <w:r w:rsidRPr="003C1489">
        <w:rPr>
          <w:i/>
          <w:iCs/>
        </w:rPr>
        <w:t>AU</w:t>
      </w:r>
      <w:r>
        <w:t xml:space="preserve"> </w:t>
      </w:r>
      <w:r w:rsidRPr="008B3AC1">
        <w:t>ha</w:t>
      </w:r>
      <w:r w:rsidRPr="008B3AC1">
        <w:rPr>
          <w:vertAlign w:val="superscript"/>
        </w:rPr>
        <w:t>-1</w:t>
      </w:r>
      <w:r w:rsidRPr="008B3AC1">
        <w:t xml:space="preserve">) by dividing the number of </w:t>
      </w:r>
      <w:r>
        <w:t>animal units</w:t>
      </w:r>
      <w:r w:rsidRPr="008B3AC1">
        <w:t xml:space="preserve"> assigned to each pasture class by the area of the corresponding pasture class:</w:t>
      </w:r>
    </w:p>
    <w:p w14:paraId="5BEF2F42" w14:textId="4DC772BD" w:rsidR="0023564F" w:rsidRPr="00D85CFD" w:rsidRDefault="005766E0" w:rsidP="00841EB8">
      <w:pPr>
        <w:pStyle w:val="BodyText"/>
        <w:spacing w:line="360" w:lineRule="auto"/>
        <w:rPr>
          <w:rFonts w:eastAsiaTheme="minorEastAsia"/>
          <w:sz w:val="22"/>
          <w:szCs w:val="22"/>
        </w:rPr>
      </w:pPr>
      <m:oMathPara>
        <m:oMathParaPr>
          <m:jc m:val="center"/>
        </m:oMathParaPr>
        <m:oMath>
          <m:eqArr>
            <m:eqArrPr>
              <m:maxDist m:val="1"/>
              <m:ctrlPr>
                <w:rPr>
                  <w:rFonts w:ascii="Cambria Math" w:hAnsi="Cambria Math"/>
                  <w:i/>
                  <w:sz w:val="22"/>
                  <w:szCs w:val="22"/>
                </w:rPr>
              </m:ctrlPr>
            </m:eqArrPr>
            <m:e>
              <m:r>
                <w:rPr>
                  <w:rFonts w:ascii="Cambria Math" w:hAnsi="Cambria Math"/>
                  <w:sz w:val="22"/>
                  <w:szCs w:val="22"/>
                </w:rPr>
                <m:t>S</m:t>
              </m:r>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[j,k]</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A</m:t>
                  </m:r>
                  <m:sSub>
                    <m:sSubPr>
                      <m:ctrlPr>
                        <w:rPr>
                          <w:rFonts w:ascii="Cambria Math" w:hAnsi="Cambria Math"/>
                          <w:i/>
                          <w:sz w:val="22"/>
                          <w:szCs w:val="22"/>
                        </w:rPr>
                      </m:ctrlPr>
                    </m:sSubPr>
                    <m:e>
                      <m:r>
                        <w:rPr>
                          <w:rFonts w:ascii="Cambria Math" w:hAnsi="Cambria Math"/>
                          <w:sz w:val="22"/>
                          <w:szCs w:val="22"/>
                        </w:rPr>
                        <m:t>U</m:t>
                      </m:r>
                    </m:e>
                    <m:sub>
                      <m:r>
                        <w:rPr>
                          <w:rFonts w:ascii="Cambria Math" w:hAnsi="Cambria Math"/>
                          <w:sz w:val="22"/>
                          <w:szCs w:val="22"/>
                        </w:rPr>
                        <m:t>w[j,k]</m:t>
                      </m:r>
                    </m:sub>
                  </m:sSub>
                </m:num>
                <m:den>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w[j,k]</m:t>
                      </m:r>
                    </m:sub>
                  </m:sSub>
                </m:den>
              </m:f>
              <m:r>
                <w:rPr>
                  <w:rFonts w:ascii="Cambria Math" w:hAnsi="Cambria Math"/>
                  <w:sz w:val="22"/>
                  <w:szCs w:val="22"/>
                </w:rPr>
                <m:t xml:space="preserve"> #(S8)</m:t>
              </m:r>
            </m:e>
          </m:eqArr>
        </m:oMath>
      </m:oMathPara>
    </w:p>
    <w:p w14:paraId="01F4E965" w14:textId="33905080" w:rsidR="0023564F" w:rsidRDefault="008039C5" w:rsidP="00841EB8">
      <w:pPr>
        <w:pStyle w:val="BodyText"/>
        <w:spacing w:line="360" w:lineRule="auto"/>
        <w:rPr>
          <w:lang w:val="en-GB"/>
        </w:rPr>
      </w:pPr>
      <w:r w:rsidRPr="008039C5">
        <w:rPr>
          <w:lang w:val="en-GB"/>
        </w:rPr>
        <w:lastRenderedPageBreak/>
        <w:t xml:space="preserve">These stocking rates were subsequently attributed to every pasture cell </w:t>
      </w:r>
      <w:r w:rsidRPr="008039C5">
        <w:rPr>
          <w:rFonts w:ascii="Cambria Math" w:hAnsi="Cambria Math" w:cs="Cambria Math"/>
          <w:lang w:val="en-GB"/>
        </w:rPr>
        <w:t>𝑐</w:t>
      </w:r>
      <w:r w:rsidRPr="008039C5">
        <w:rPr>
          <w:lang w:val="en-GB"/>
        </w:rPr>
        <w:t xml:space="preserve"> within </w:t>
      </w:r>
      <w:r>
        <w:rPr>
          <w:lang w:val="en-GB"/>
        </w:rPr>
        <w:t>m</w:t>
      </w:r>
      <w:r w:rsidRPr="008039C5">
        <w:rPr>
          <w:lang w:val="en-GB"/>
        </w:rPr>
        <w:t>unicipality</w:t>
      </w:r>
      <w:r>
        <w:rPr>
          <w:lang w:val="en-GB"/>
        </w:rPr>
        <w:t xml:space="preserve"> </w:t>
      </w:r>
      <w:r w:rsidRPr="008039C5">
        <w:rPr>
          <w:rFonts w:ascii="Cambria Math" w:hAnsi="Cambria Math" w:cs="Cambria Math"/>
          <w:lang w:val="en-GB"/>
        </w:rPr>
        <w:t>𝑗</w:t>
      </w:r>
      <w:r>
        <w:rPr>
          <w:rFonts w:ascii="Cambria Math" w:hAnsi="Cambria Math" w:cs="Cambria Math"/>
          <w:lang w:val="en-GB"/>
        </w:rPr>
        <w:t xml:space="preserve"> </w:t>
      </w:r>
      <w:r w:rsidRPr="008039C5">
        <w:rPr>
          <w:lang w:val="en-GB"/>
        </w:rPr>
        <w:t xml:space="preserve">and pasture class </w:t>
      </w:r>
      <w:r w:rsidRPr="008039C5">
        <w:rPr>
          <w:rFonts w:ascii="Cambria Math" w:hAnsi="Cambria Math" w:cs="Cambria Math"/>
          <w:lang w:val="en-GB"/>
        </w:rPr>
        <w:t>𝑘</w:t>
      </w:r>
      <w:r w:rsidRPr="008039C5">
        <w:rPr>
          <w:lang w:val="en-GB"/>
        </w:rPr>
        <w:t>, assuming homogeneous stocking rates within each municipality–class combination.</w:t>
      </w:r>
      <w:r>
        <w:rPr>
          <w:lang w:val="en-GB"/>
        </w:rPr>
        <w:t xml:space="preserve"> </w:t>
      </w:r>
      <w:r w:rsidR="002616CF" w:rsidRPr="002616CF">
        <w:rPr>
          <w:lang w:val="en-GB"/>
        </w:rPr>
        <w:t>To remove implausible values arising from errors in the source data,</w:t>
      </w:r>
      <w:r w:rsidR="0023564F">
        <w:rPr>
          <w:lang w:val="en-GB"/>
        </w:rPr>
        <w:t xml:space="preserve"> we capped stocking rate distribution between the 5</w:t>
      </w:r>
      <w:r w:rsidR="0023564F" w:rsidRPr="00B63190">
        <w:rPr>
          <w:vertAlign w:val="superscript"/>
          <w:lang w:val="en-GB"/>
        </w:rPr>
        <w:t>th</w:t>
      </w:r>
      <w:r w:rsidR="0023564F">
        <w:rPr>
          <w:lang w:val="en-GB"/>
        </w:rPr>
        <w:t xml:space="preserve"> and the 95</w:t>
      </w:r>
      <w:r w:rsidR="0023564F" w:rsidRPr="00B63190">
        <w:rPr>
          <w:vertAlign w:val="superscript"/>
          <w:lang w:val="en-GB"/>
        </w:rPr>
        <w:t>th</w:t>
      </w:r>
      <w:r w:rsidR="0023564F">
        <w:rPr>
          <w:lang w:val="en-GB"/>
        </w:rPr>
        <w:t xml:space="preserve"> percentiles, thereby excluding the lowest and highest extremes </w:t>
      </w:r>
      <w:r w:rsidR="0023564F" w:rsidRPr="007E2D43">
        <w:rPr>
          <w:lang w:val="en-GB"/>
        </w:rPr>
        <w:t>(</w:t>
      </w:r>
      <w:r w:rsidR="0023564F" w:rsidRPr="002D1C5E">
        <w:rPr>
          <w:highlight w:val="yellow"/>
        </w:rPr>
        <w:fldChar w:fldCharType="begin"/>
      </w:r>
      <w:r w:rsidR="0023564F" w:rsidRPr="002D1C5E">
        <w:instrText xml:space="preserve"> REF _Ref196469463 \h </w:instrText>
      </w:r>
      <w:r w:rsidR="002D1C5E">
        <w:rPr>
          <w:highlight w:val="yellow"/>
        </w:rPr>
        <w:instrText xml:space="preserve"> \* MERGEFORMAT </w:instrText>
      </w:r>
      <w:r w:rsidR="0023564F" w:rsidRPr="002D1C5E">
        <w:rPr>
          <w:highlight w:val="yellow"/>
        </w:rPr>
      </w:r>
      <w:r w:rsidR="0023564F" w:rsidRPr="002D1C5E">
        <w:rPr>
          <w:highlight w:val="yellow"/>
        </w:rPr>
        <w:fldChar w:fldCharType="separate"/>
      </w:r>
      <w:r w:rsidR="000F2F13" w:rsidRPr="00EA6A3F">
        <w:t>Supplementary Fig</w:t>
      </w:r>
      <w:r w:rsidR="000F2F13">
        <w:t>.1</w:t>
      </w:r>
      <w:r w:rsidR="0023564F" w:rsidRPr="002D1C5E">
        <w:rPr>
          <w:highlight w:val="yellow"/>
        </w:rPr>
        <w:fldChar w:fldCharType="end"/>
      </w:r>
      <w:r w:rsidR="0023564F" w:rsidRPr="007E2D43">
        <w:rPr>
          <w:lang w:val="en-GB"/>
        </w:rPr>
        <w:t>)</w:t>
      </w:r>
      <w:r w:rsidR="0023564F">
        <w:rPr>
          <w:lang w:val="en-GB"/>
        </w:rPr>
        <w:t>.</w:t>
      </w:r>
      <w:r w:rsidR="00BB489F">
        <w:rPr>
          <w:lang w:val="en-GB"/>
        </w:rPr>
        <w:t xml:space="preserve"> </w:t>
      </w:r>
      <w:r w:rsidR="00140782">
        <w:rPr>
          <w:lang w:val="en-GB"/>
        </w:rPr>
        <w:t>We then</w:t>
      </w:r>
      <w:r w:rsidR="00C44C59">
        <w:rPr>
          <w:lang w:val="en-GB"/>
        </w:rPr>
        <w:t xml:space="preserve"> calculated c</w:t>
      </w:r>
      <w:r w:rsidR="00BB489F">
        <w:rPr>
          <w:lang w:val="en-GB"/>
        </w:rPr>
        <w:t xml:space="preserve">urrent yield </w:t>
      </w:r>
      <w:r w:rsidR="00E57225">
        <w:rPr>
          <w:lang w:val="en-GB"/>
        </w:rPr>
        <w:t xml:space="preserve">by multiplying stocking rate by </w:t>
      </w:r>
      <w:r w:rsidR="00DF370F">
        <w:rPr>
          <w:lang w:val="en-GB"/>
        </w:rPr>
        <w:t>animal performance</w:t>
      </w:r>
      <w:r w:rsidR="007C18C4">
        <w:rPr>
          <w:lang w:val="en-GB"/>
        </w:rPr>
        <w:t xml:space="preserve"> </w:t>
      </w:r>
      <w:r w:rsidR="004310E1">
        <w:rPr>
          <w:lang w:val="en-GB"/>
        </w:rPr>
        <w:t>as shown in Equation 1 from the main text.</w:t>
      </w:r>
      <w:r w:rsidR="005831DF">
        <w:rPr>
          <w:lang w:val="en-GB"/>
        </w:rPr>
        <w:t xml:space="preserve"> </w:t>
      </w:r>
      <w:r w:rsidR="00F361A7" w:rsidRPr="00F361A7">
        <w:rPr>
          <w:lang w:val="en-GB"/>
        </w:rPr>
        <w:t>The resulting yield estimates exhibit substantial spatial variability, reflecting underlying heterogeneity in pasture condition, management intensity, and animal performance across Brazil.</w:t>
      </w:r>
    </w:p>
    <w:p w14:paraId="609CA7BC" w14:textId="7AB087C0" w:rsidR="008F0903" w:rsidRDefault="008B7153" w:rsidP="00841EB8">
      <w:pPr>
        <w:pStyle w:val="BodyText"/>
        <w:spacing w:line="360" w:lineRule="auto"/>
        <w:rPr>
          <w:lang w:val="en-GB"/>
        </w:rPr>
      </w:pPr>
      <w:r w:rsidRPr="008B7153">
        <w:rPr>
          <w:lang w:val="en-GB"/>
        </w:rPr>
        <w:t xml:space="preserve">Additionally, as a sensitivity test of the influence of the weights on the heterogeneity of the </w:t>
      </w:r>
      <w:r w:rsidR="00D11854">
        <w:rPr>
          <w:lang w:val="en-GB"/>
        </w:rPr>
        <w:t>forgone-</w:t>
      </w:r>
      <w:r w:rsidR="00132382">
        <w:rPr>
          <w:lang w:val="en-GB"/>
        </w:rPr>
        <w:t>production-to-carbon</w:t>
      </w:r>
      <w:r w:rsidR="009365B6">
        <w:rPr>
          <w:lang w:val="en-GB"/>
        </w:rPr>
        <w:t>-</w:t>
      </w:r>
      <w:r w:rsidR="00132382">
        <w:rPr>
          <w:lang w:val="en-GB"/>
        </w:rPr>
        <w:t xml:space="preserve">gained </w:t>
      </w:r>
      <w:r w:rsidRPr="008B7153">
        <w:rPr>
          <w:lang w:val="en-GB"/>
        </w:rPr>
        <w:t xml:space="preserve">ratio distribution, we calculated yields both using the weights and assuming equal stocking rates across pasture classes. We then calculated the </w:t>
      </w:r>
      <w:r w:rsidR="009F3776">
        <w:rPr>
          <w:lang w:val="en-GB"/>
        </w:rPr>
        <w:t>forgone-</w:t>
      </w:r>
      <w:r w:rsidR="006D4819" w:rsidRPr="006D4819">
        <w:rPr>
          <w:lang w:val="en-GB"/>
        </w:rPr>
        <w:t xml:space="preserve">production-to-carbon-gained </w:t>
      </w:r>
      <w:r w:rsidRPr="008B7153">
        <w:rPr>
          <w:lang w:val="en-GB"/>
        </w:rPr>
        <w:t>ratio across scales (country, biome, and local) and compared the coefficients of variation with and without weighting (</w:t>
      </w:r>
      <w:r w:rsidR="00092A8E">
        <w:rPr>
          <w:lang w:val="en-GB"/>
        </w:rPr>
        <w:fldChar w:fldCharType="begin"/>
      </w:r>
      <w:r w:rsidR="00092A8E">
        <w:rPr>
          <w:lang w:val="en-GB"/>
        </w:rPr>
        <w:instrText xml:space="preserve"> REF _Ref213763858 \h </w:instrText>
      </w:r>
      <w:r w:rsidR="00092A8E">
        <w:rPr>
          <w:lang w:val="en-GB"/>
        </w:rPr>
      </w:r>
      <w:r w:rsidR="00092A8E">
        <w:rPr>
          <w:lang w:val="en-GB"/>
        </w:rPr>
        <w:fldChar w:fldCharType="separate"/>
      </w:r>
      <w:r w:rsidR="00990A95">
        <w:t xml:space="preserve">Supplementary Fig. </w:t>
      </w:r>
      <w:r w:rsidR="00990A95">
        <w:rPr>
          <w:noProof/>
        </w:rPr>
        <w:t>8</w:t>
      </w:r>
      <w:r w:rsidR="00092A8E">
        <w:rPr>
          <w:lang w:val="en-GB"/>
        </w:rPr>
        <w:fldChar w:fldCharType="end"/>
      </w:r>
      <w:r w:rsidRPr="008B7153">
        <w:rPr>
          <w:lang w:val="en-GB"/>
        </w:rPr>
        <w:t>). We found only limited changes in variability, indicating that our results are robust even without weighting stocking rates.</w:t>
      </w:r>
    </w:p>
    <w:p w14:paraId="4705DD5A" w14:textId="2129BCA1" w:rsidR="008302D6" w:rsidRDefault="00C3492A" w:rsidP="00841EB8">
      <w:pPr>
        <w:pStyle w:val="Heading2"/>
        <w:spacing w:line="360" w:lineRule="auto"/>
      </w:pPr>
      <w:bookmarkStart w:id="7" w:name="_Toc225254924"/>
      <w:r>
        <w:t xml:space="preserve">Projecting future </w:t>
      </w:r>
      <w:r w:rsidR="002279B5">
        <w:t xml:space="preserve">beef </w:t>
      </w:r>
      <w:r>
        <w:t>yields</w:t>
      </w:r>
      <w:bookmarkEnd w:id="7"/>
    </w:p>
    <w:p w14:paraId="140A4AFE" w14:textId="134A1FB8" w:rsidR="00C559AD" w:rsidRDefault="00691894" w:rsidP="00841EB8">
      <w:pPr>
        <w:pStyle w:val="FirstParagraph"/>
        <w:spacing w:line="360" w:lineRule="auto"/>
        <w:rPr>
          <w:lang w:val="en-GB"/>
        </w:rPr>
      </w:pPr>
      <w:r>
        <w:rPr>
          <w:lang w:val="en-GB"/>
        </w:rPr>
        <w:t xml:space="preserve">For </w:t>
      </w:r>
      <w:r w:rsidR="00D32FDD">
        <w:rPr>
          <w:lang w:val="en-GB"/>
        </w:rPr>
        <w:t xml:space="preserve">our </w:t>
      </w:r>
      <w:r w:rsidR="00056F3A">
        <w:rPr>
          <w:lang w:val="en-GB"/>
        </w:rPr>
        <w:t>analysis,</w:t>
      </w:r>
      <w:r w:rsidR="00D32FDD">
        <w:rPr>
          <w:lang w:val="en-GB"/>
        </w:rPr>
        <w:t xml:space="preserve"> we used past trends in yield</w:t>
      </w:r>
      <w:r w:rsidR="00056F3A">
        <w:rPr>
          <w:lang w:val="en-GB"/>
        </w:rPr>
        <w:t>s</w:t>
      </w:r>
      <w:r w:rsidR="00D32FDD">
        <w:rPr>
          <w:lang w:val="en-GB"/>
        </w:rPr>
        <w:t xml:space="preserve"> to adjust</w:t>
      </w:r>
      <w:r w:rsidR="00A63CEC">
        <w:rPr>
          <w:lang w:val="en-GB"/>
        </w:rPr>
        <w:t xml:space="preserve"> our expectations of yield growth over time.</w:t>
      </w:r>
      <w:r w:rsidR="00B85924">
        <w:rPr>
          <w:lang w:val="en-GB"/>
        </w:rPr>
        <w:t xml:space="preserve"> </w:t>
      </w:r>
      <w:r w:rsidR="00B85924" w:rsidRPr="00B85924">
        <w:rPr>
          <w:lang w:val="en-GB"/>
        </w:rPr>
        <w:t xml:space="preserve">Alternatively, we considered two additional scenarios: one where beef yield was kept constant under 2021 values across the 50 years duration of the projects; one where all projects achieved a yield of 90% of the estimated carrying capacity for the region (see on the next section how we estimate carrying capacity and </w:t>
      </w:r>
      <w:r w:rsidR="00A3423B">
        <w:rPr>
          <w:lang w:val="en-GB"/>
        </w:rPr>
        <w:fldChar w:fldCharType="begin"/>
      </w:r>
      <w:r w:rsidR="00A3423B">
        <w:rPr>
          <w:lang w:val="en-GB"/>
        </w:rPr>
        <w:instrText xml:space="preserve"> REF _Ref213764044 \h </w:instrText>
      </w:r>
      <w:r w:rsidR="00A3423B">
        <w:rPr>
          <w:lang w:val="en-GB"/>
        </w:rPr>
      </w:r>
      <w:r w:rsidR="00A3423B">
        <w:rPr>
          <w:lang w:val="en-GB"/>
        </w:rPr>
        <w:fldChar w:fldCharType="separate"/>
      </w:r>
      <w:r w:rsidR="00A3423B" w:rsidRPr="0039578F">
        <w:t>Supplementary Fig</w:t>
      </w:r>
      <w:r w:rsidR="00832E5C">
        <w:t>.</w:t>
      </w:r>
      <w:r w:rsidR="00A3423B" w:rsidRPr="0039578F">
        <w:t xml:space="preserve"> </w:t>
      </w:r>
      <w:r w:rsidR="00A3423B">
        <w:rPr>
          <w:noProof/>
        </w:rPr>
        <w:t>3</w:t>
      </w:r>
      <w:r w:rsidR="00A3423B">
        <w:rPr>
          <w:lang w:val="en-GB"/>
        </w:rPr>
        <w:fldChar w:fldCharType="end"/>
      </w:r>
      <w:r w:rsidR="00832E5C">
        <w:rPr>
          <w:lang w:val="en-GB"/>
        </w:rPr>
        <w:t xml:space="preserve"> </w:t>
      </w:r>
      <w:r w:rsidR="00B85924" w:rsidRPr="00B85924">
        <w:rPr>
          <w:lang w:val="en-GB"/>
        </w:rPr>
        <w:t>for comparisons among predictions).</w:t>
      </w:r>
    </w:p>
    <w:p w14:paraId="074D2D98" w14:textId="0A9AA79F" w:rsidR="00CB72B3" w:rsidRDefault="00CB72B3" w:rsidP="00841EB8">
      <w:pPr>
        <w:pStyle w:val="FirstParagraph"/>
        <w:spacing w:line="360" w:lineRule="auto"/>
      </w:pPr>
      <w:r w:rsidRPr="00283A06">
        <w:rPr>
          <w:lang w:val="en-GB"/>
        </w:rPr>
        <w:t xml:space="preserve">To </w:t>
      </w:r>
      <w:r w:rsidR="006D28CA" w:rsidRPr="00283A06">
        <w:rPr>
          <w:lang w:val="en-GB"/>
        </w:rPr>
        <w:t>project</w:t>
      </w:r>
      <w:r w:rsidR="0052229A" w:rsidRPr="00283A06">
        <w:rPr>
          <w:lang w:val="en-GB"/>
        </w:rPr>
        <w:t xml:space="preserve"> future beef yields in the absence of projects</w:t>
      </w:r>
      <w:r w:rsidR="008B301F" w:rsidRPr="00283A06">
        <w:rPr>
          <w:lang w:val="en-GB"/>
        </w:rPr>
        <w:t xml:space="preserve"> using past trends</w:t>
      </w:r>
      <w:r w:rsidR="0052229A" w:rsidRPr="00283A06">
        <w:rPr>
          <w:lang w:val="en-GB"/>
        </w:rPr>
        <w:t>, w</w:t>
      </w:r>
      <w:r w:rsidRPr="00283A06">
        <w:rPr>
          <w:lang w:val="en-GB"/>
        </w:rPr>
        <w:t xml:space="preserve">e first aggregated municipality-level beef stocking rate data to the </w:t>
      </w:r>
      <w:r w:rsidR="008A040C" w:rsidRPr="00283A06">
        <w:rPr>
          <w:lang w:val="en-GB"/>
        </w:rPr>
        <w:t xml:space="preserve">local </w:t>
      </w:r>
      <w:r w:rsidR="00283A06" w:rsidRPr="00283A06">
        <w:rPr>
          <w:lang w:val="en-GB"/>
        </w:rPr>
        <w:t>domain</w:t>
      </w:r>
      <w:r w:rsidRPr="00AF1F21">
        <w:rPr>
          <w:lang w:val="en-GB"/>
        </w:rPr>
        <w:t xml:space="preserve"> for the period 2010–2019</w:t>
      </w:r>
      <w:r w:rsidRPr="001A3A8B">
        <w:t xml:space="preserve"> </w:t>
      </w:r>
      <w:r w:rsidRPr="001A3A8B">
        <w:rPr>
          <w:lang w:val="en-GB"/>
        </w:rPr>
        <w:t xml:space="preserve">, which </w:t>
      </w:r>
      <w:r w:rsidR="00DF0148">
        <w:rPr>
          <w:lang w:val="en-GB"/>
        </w:rPr>
        <w:t xml:space="preserve">reduces </w:t>
      </w:r>
      <w:r w:rsidRPr="001A3A8B">
        <w:rPr>
          <w:lang w:val="en-GB"/>
        </w:rPr>
        <w:t>variability</w:t>
      </w:r>
      <w:r w:rsidR="008A040C">
        <w:rPr>
          <w:lang w:val="en-GB"/>
        </w:rPr>
        <w:t xml:space="preserve"> compared to municipality data</w:t>
      </w:r>
      <w:r w:rsidRPr="001A3A8B">
        <w:rPr>
          <w:lang w:val="en-GB"/>
        </w:rPr>
        <w:t>.</w:t>
      </w:r>
      <w:r w:rsidRPr="00AF1F21">
        <w:rPr>
          <w:lang w:val="en-GB"/>
        </w:rPr>
        <w:t xml:space="preserve"> </w:t>
      </w:r>
      <w:r w:rsidR="0052634A">
        <w:rPr>
          <w:lang w:val="en-GB"/>
        </w:rPr>
        <w:t>We adopted i</w:t>
      </w:r>
      <w:r w:rsidR="00DF5407">
        <w:rPr>
          <w:lang w:val="en-GB"/>
        </w:rPr>
        <w:t>mmediate regions</w:t>
      </w:r>
      <w:r w:rsidR="0052634A">
        <w:rPr>
          <w:lang w:val="en-GB"/>
        </w:rPr>
        <w:t xml:space="preserve">, </w:t>
      </w:r>
      <w:r w:rsidR="00305187" w:rsidRPr="00305187">
        <w:rPr>
          <w:lang w:val="en-GB"/>
        </w:rPr>
        <w:t xml:space="preserve">territorial units defined around urban centres </w:t>
      </w:r>
      <w:r w:rsidR="006703FD">
        <w:rPr>
          <w:lang w:val="en-GB"/>
        </w:rPr>
        <w:t>defined by IBGE</w:t>
      </w:r>
      <w:r w:rsidR="00DE780C">
        <w:rPr>
          <w:lang w:val="en-GB"/>
        </w:rPr>
        <w:fldChar w:fldCharType="begin"/>
      </w:r>
      <w:r w:rsidR="00C768D3">
        <w:rPr>
          <w:lang w:val="en-GB"/>
        </w:rPr>
        <w:instrText xml:space="preserve"> ADDIN ZOTERO_ITEM CSL_CITATION {"citationID":"QUZgvv4z","properties":{"formattedCitation":"\\super 6\\nosupersub{}","plainCitation":"6","noteIndex":0},"citationItems":[{"id":7535,"uris":["http://zotero.org/users/3309187/items/K39YCFHM"],"itemData":{"id":7535,"type":"book","ISBN":"978-85-240-4418-2","language":"pt-BR","number-of-pages":"80","publisher":"IBGE","publisher-place":"Rio de Janeiro","source":"Câmara Brasileira do Livro ISBN","title":"Divisão regional do Brasil em regiões geográficas imediatas e regiões geográficas intermediárias","title-short":"Divisão regional do Brasil em regiões geográficas imediatas e regiões geográficas intermediárias","URL":"https://biblioteca.ibge.gov.br/index.php/biblioteca-catalogo?view=detalhes&amp;id=2100600","author":[{"literal":"IBGE"}],"issued":{"date-parts":[["2017"]]}}}],"schema":"https://github.com/citation-style-language/schema/raw/master/csl-citation.json"} </w:instrText>
      </w:r>
      <w:r w:rsidR="00DE780C">
        <w:rPr>
          <w:lang w:val="en-GB"/>
        </w:rPr>
        <w:fldChar w:fldCharType="separate"/>
      </w:r>
      <w:r w:rsidR="00C768D3" w:rsidRPr="00C768D3">
        <w:rPr>
          <w:rFonts w:ascii="Aptos" w:hAnsi="Aptos" w:cs="Times New Roman"/>
          <w:vertAlign w:val="superscript"/>
        </w:rPr>
        <w:t>6</w:t>
      </w:r>
      <w:r w:rsidR="00DE780C">
        <w:rPr>
          <w:lang w:val="en-GB"/>
        </w:rPr>
        <w:fldChar w:fldCharType="end"/>
      </w:r>
      <w:r w:rsidR="006703FD">
        <w:rPr>
          <w:lang w:val="en-GB"/>
        </w:rPr>
        <w:t xml:space="preserve"> </w:t>
      </w:r>
      <w:r w:rsidR="00305187" w:rsidRPr="00305187">
        <w:rPr>
          <w:lang w:val="en-GB"/>
        </w:rPr>
        <w:t>that provide basic goods and services to surrounding municipalities, capturing short-range socio-economic interactions</w:t>
      </w:r>
      <w:r w:rsidR="0052634A">
        <w:rPr>
          <w:lang w:val="en-GB"/>
        </w:rPr>
        <w:t xml:space="preserve">, as our local domain. </w:t>
      </w:r>
      <w:r w:rsidRPr="00C73E00">
        <w:rPr>
          <w:lang w:val="en-GB"/>
        </w:rPr>
        <w:t>Animal performance</w:t>
      </w:r>
      <w:r w:rsidRPr="008F5DFA">
        <w:rPr>
          <w:lang w:val="en-GB"/>
        </w:rPr>
        <w:t xml:space="preserve"> and yield were calculated following the same approach used for current yields (see</w:t>
      </w:r>
      <w:r w:rsidR="00D96E82">
        <w:rPr>
          <w:lang w:val="en-GB"/>
        </w:rPr>
        <w:t xml:space="preserve"> ”</w:t>
      </w:r>
      <w:r w:rsidR="00D96E82" w:rsidRPr="00D96E82">
        <w:rPr>
          <w:i/>
          <w:iCs/>
          <w:lang w:val="en-GB"/>
        </w:rPr>
        <w:t xml:space="preserve">Estimating </w:t>
      </w:r>
      <w:r w:rsidR="00D96E82" w:rsidRPr="00D96E82">
        <w:rPr>
          <w:i/>
          <w:iCs/>
          <w:lang w:val="en-GB"/>
        </w:rPr>
        <w:lastRenderedPageBreak/>
        <w:t>stocking rates and animal performance</w:t>
      </w:r>
      <w:r w:rsidR="00D96E82">
        <w:rPr>
          <w:lang w:val="en-GB"/>
        </w:rPr>
        <w:t>” section</w:t>
      </w:r>
      <w:r w:rsidRPr="008F5DFA">
        <w:rPr>
          <w:lang w:val="en-GB"/>
        </w:rPr>
        <w:t>). Data from 2020</w:t>
      </w:r>
      <w:r w:rsidR="006B51E3">
        <w:rPr>
          <w:lang w:val="en-GB"/>
        </w:rPr>
        <w:t xml:space="preserve"> </w:t>
      </w:r>
      <w:r w:rsidR="00795A61" w:rsidRPr="008F5DFA">
        <w:rPr>
          <w:lang w:val="en-GB"/>
        </w:rPr>
        <w:t>w</w:t>
      </w:r>
      <w:r w:rsidR="00795A61">
        <w:rPr>
          <w:lang w:val="en-GB"/>
        </w:rPr>
        <w:t>as</w:t>
      </w:r>
      <w:r w:rsidR="00795A61" w:rsidRPr="008F5DFA">
        <w:rPr>
          <w:lang w:val="en-GB"/>
        </w:rPr>
        <w:t xml:space="preserve"> </w:t>
      </w:r>
      <w:r w:rsidRPr="008F5DFA">
        <w:rPr>
          <w:lang w:val="en-GB"/>
        </w:rPr>
        <w:t>excluded due to yield anomalies likely related to the COVID-19 pandemic</w:t>
      </w:r>
      <w:r>
        <w:t xml:space="preserve">. </w:t>
      </w:r>
    </w:p>
    <w:p w14:paraId="48784C53" w14:textId="784C105E" w:rsidR="00DF2F5C" w:rsidRDefault="00CB72B3" w:rsidP="00841EB8">
      <w:pPr>
        <w:pStyle w:val="FirstParagraph"/>
        <w:spacing w:line="360" w:lineRule="auto"/>
      </w:pPr>
      <w:r w:rsidRPr="00281395">
        <w:t>We then fitted both linear and exponential models of yield over time and evaluated them against null models using a</w:t>
      </w:r>
      <w:r>
        <w:t xml:space="preserve"> </w:t>
      </w:r>
      <w:r w:rsidRPr="00FB1910">
        <w:t>ΔAIC &gt; 2 threshold</w:t>
      </w:r>
      <w:r>
        <w:t xml:space="preserve">. </w:t>
      </w:r>
      <w:r w:rsidRPr="008A1BA0">
        <w:t>While both outperformed their nulls, we adopted the linear model for projections, as exponential fits produced implausible results (</w:t>
      </w:r>
      <w:r w:rsidRPr="00654380">
        <w:rPr>
          <w:i/>
          <w:iCs/>
        </w:rPr>
        <w:t>e.g.</w:t>
      </w:r>
      <w:r w:rsidRPr="008A1BA0">
        <w:t xml:space="preserve"> &gt;8</w:t>
      </w:r>
      <w:r>
        <w:t>x</w:t>
      </w:r>
      <w:r w:rsidRPr="008A1BA0">
        <w:t xml:space="preserve"> increases in yield over 50 years</w:t>
      </w:r>
      <w:r w:rsidR="007D6F12">
        <w:t>,</w:t>
      </w:r>
      <w:r w:rsidR="00EC20F5">
        <w:t xml:space="preserve"> the typical duration of restoration projects</w:t>
      </w:r>
      <w:r w:rsidR="0038563A">
        <w:t xml:space="preserve"> for carbon</w:t>
      </w:r>
      <w:r w:rsidR="00C70E12">
        <w:t>,</w:t>
      </w:r>
      <w:r>
        <w:t xml:space="preserve"> vs. a 1.5x with the linear model</w:t>
      </w:r>
      <w:r w:rsidRPr="008A1BA0">
        <w:t xml:space="preserve">). </w:t>
      </w:r>
      <w:r w:rsidR="00DF2F5C" w:rsidRPr="00DF2F5C">
        <w:t xml:space="preserve"> </w:t>
      </w:r>
      <w:r w:rsidR="00A01E38" w:rsidRPr="00A01E38">
        <w:t>Under the exponential model, grazing carrying capacity was reached very quickly, whereas the linear model did not reach it in most cases.</w:t>
      </w:r>
    </w:p>
    <w:p w14:paraId="36DADC76" w14:textId="36061A35" w:rsidR="00CB72B3" w:rsidRDefault="004336F3" w:rsidP="00841EB8">
      <w:pPr>
        <w:pStyle w:val="FirstParagraph"/>
        <w:spacing w:line="360" w:lineRule="auto"/>
      </w:pPr>
      <w:r>
        <w:t xml:space="preserve"> </w:t>
      </w:r>
      <w:r w:rsidR="00CB72B3" w:rsidRPr="008A1BA0">
        <w:t>A separate linear model was fitted for each immediate region</w:t>
      </w:r>
      <w:r w:rsidR="00C44211">
        <w:t xml:space="preserve"> </w:t>
      </w:r>
      <w:proofErr w:type="spellStart"/>
      <w:r w:rsidR="00C802F2">
        <w:rPr>
          <w:i/>
          <w:iCs/>
        </w:rPr>
        <w:t>im</w:t>
      </w:r>
      <w:proofErr w:type="spellEnd"/>
      <w:r w:rsidR="00CB72B3" w:rsidRPr="008A1BA0">
        <w:t>:</w:t>
      </w:r>
    </w:p>
    <w:p w14:paraId="05487635" w14:textId="04EB755E" w:rsidR="00CB72B3" w:rsidRPr="00A22EC2" w:rsidRDefault="005766E0" w:rsidP="00841EB8">
      <w:pPr>
        <w:pStyle w:val="BodyText"/>
        <w:spacing w:line="360" w:lineRule="auto"/>
        <w:rPr>
          <w:rFonts w:eastAsiaTheme="minorEastAsia"/>
        </w:rPr>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y</m:t>
                  </m:r>
                </m:e>
                <m:sub>
                  <m:r>
                    <w:rPr>
                      <w:rFonts w:ascii="Cambria Math" w:hAnsi="Cambria Math"/>
                    </w:rPr>
                    <m:t>[im,t]</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[0,im]</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[1,im]</m:t>
                  </m:r>
                </m:sub>
              </m:sSub>
              <m:r>
                <w:rPr>
                  <w:rFonts w:ascii="Cambria Math" w:hAnsi="Cambria Math"/>
                </w:rPr>
                <m:t xml:space="preserve">∙ t+ </m:t>
              </m:r>
              <m:sSub>
                <m:sSubPr>
                  <m:ctrlPr>
                    <w:rPr>
                      <w:rFonts w:ascii="Cambria Math" w:hAnsi="Cambria Math"/>
                      <w:i/>
                    </w:rPr>
                  </m:ctrlPr>
                </m:sSubPr>
                <m:e>
                  <m:r>
                    <w:rPr>
                      <w:rFonts w:ascii="Cambria Math" w:hAnsi="Cambria Math"/>
                    </w:rPr>
                    <m:t>∈</m:t>
                  </m:r>
                </m:e>
                <m:sub>
                  <m:r>
                    <w:rPr>
                      <w:rFonts w:ascii="Cambria Math" w:hAnsi="Cambria Math"/>
                    </w:rPr>
                    <m:t>[r,im]</m:t>
                  </m:r>
                </m:sub>
              </m:sSub>
              <m:r>
                <w:rPr>
                  <w:rFonts w:ascii="Cambria Math" w:hAnsi="Cambria Math"/>
                </w:rPr>
                <m:t>#(S9)#</m:t>
              </m:r>
            </m:e>
          </m:eqArr>
        </m:oMath>
      </m:oMathPara>
    </w:p>
    <w:p w14:paraId="47EB92D7" w14:textId="1482BC2C" w:rsidR="00CB72B3" w:rsidRDefault="00CB72B3" w:rsidP="00841EB8">
      <w:pPr>
        <w:pStyle w:val="FirstParagraph"/>
        <w:spacing w:line="360" w:lineRule="auto"/>
      </w:pPr>
      <w:r w:rsidRPr="0086018C">
        <w:t xml:space="preserve">where </w:t>
      </w:r>
      <m:oMath>
        <m:sSub>
          <m:sSubPr>
            <m:ctrlPr>
              <w:rPr>
                <w:rFonts w:ascii="Cambria Math" w:hAnsi="Cambria Math"/>
                <w:i/>
              </w:rPr>
            </m:ctrlPr>
          </m:sSubPr>
          <m:e>
            <m:r>
              <w:rPr>
                <w:rFonts w:ascii="Cambria Math" w:hAnsi="Cambria Math"/>
              </w:rPr>
              <m:t>y</m:t>
            </m:r>
          </m:e>
          <m:sub>
            <m:r>
              <w:rPr>
                <w:rFonts w:ascii="Cambria Math" w:hAnsi="Cambria Math"/>
              </w:rPr>
              <m:t>[im,t]</m:t>
            </m:r>
          </m:sub>
        </m:sSub>
      </m:oMath>
      <w:r w:rsidRPr="0086018C">
        <w:t xml:space="preserve"> </w:t>
      </w:r>
      <w:r w:rsidR="00470F7C" w:rsidRPr="00470F7C">
        <w:rPr>
          <w:lang w:val="en-GB"/>
        </w:rPr>
        <w:t>is the beef yield (kg carcass weight ha</w:t>
      </w:r>
      <w:r w:rsidR="00470F7C" w:rsidRPr="00470F7C">
        <w:rPr>
          <w:rFonts w:ascii="Cambria Math" w:hAnsi="Cambria Math" w:cs="Cambria Math"/>
          <w:lang w:val="en-GB"/>
        </w:rPr>
        <w:t>⁻</w:t>
      </w:r>
      <w:r w:rsidR="00470F7C" w:rsidRPr="00470F7C">
        <w:rPr>
          <w:rFonts w:ascii="Aptos" w:hAnsi="Aptos" w:cs="Aptos"/>
          <w:lang w:val="en-GB"/>
        </w:rPr>
        <w:t>¹</w:t>
      </w:r>
      <w:r w:rsidR="00470F7C" w:rsidRPr="00470F7C">
        <w:rPr>
          <w:lang w:val="en-GB"/>
        </w:rPr>
        <w:t xml:space="preserve"> yr</w:t>
      </w:r>
      <w:r w:rsidR="00470F7C" w:rsidRPr="00470F7C">
        <w:rPr>
          <w:rFonts w:ascii="Cambria Math" w:hAnsi="Cambria Math" w:cs="Cambria Math"/>
          <w:lang w:val="en-GB"/>
        </w:rPr>
        <w:t>⁻</w:t>
      </w:r>
      <w:r w:rsidR="00470F7C" w:rsidRPr="00470F7C">
        <w:rPr>
          <w:rFonts w:ascii="Aptos" w:hAnsi="Aptos" w:cs="Aptos"/>
          <w:lang w:val="en-GB"/>
        </w:rPr>
        <w:t>¹</w:t>
      </w:r>
      <w:r w:rsidR="00470F7C" w:rsidRPr="00470F7C">
        <w:rPr>
          <w:lang w:val="en-GB"/>
        </w:rPr>
        <w:t xml:space="preserve">) in region </w:t>
      </w:r>
      <w:proofErr w:type="spellStart"/>
      <w:r w:rsidR="00C802F2" w:rsidRPr="00C802F2">
        <w:rPr>
          <w:i/>
          <w:iCs/>
          <w:lang w:val="en-GB"/>
        </w:rPr>
        <w:t>im</w:t>
      </w:r>
      <w:proofErr w:type="spellEnd"/>
      <w:r w:rsidR="00C802F2">
        <w:rPr>
          <w:lang w:val="en-GB"/>
        </w:rPr>
        <w:t xml:space="preserve"> </w:t>
      </w:r>
      <w:r w:rsidR="00470F7C" w:rsidRPr="00470F7C">
        <w:rPr>
          <w:lang w:val="en-GB"/>
        </w:rPr>
        <w:t xml:space="preserve">and year </w:t>
      </w:r>
      <m:oMath>
        <m:r>
          <w:rPr>
            <w:rFonts w:ascii="Cambria Math" w:hAnsi="Cambria Math"/>
            <w:lang w:val="en-GB"/>
          </w:rPr>
          <m:t>t</m:t>
        </m:r>
      </m:oMath>
      <w:r w:rsidR="00470F7C" w:rsidRPr="00470F7C">
        <w:rPr>
          <w:lang w:val="en-GB"/>
        </w:rPr>
        <w:t>,</w:t>
      </w:r>
      <w:r w:rsidRPr="00F45ADA">
        <w:rPr>
          <w:i/>
          <w:iCs/>
        </w:rPr>
        <w:t xml:space="preserve"> </w:t>
      </w:r>
      <m:oMath>
        <m:sSub>
          <m:sSubPr>
            <m:ctrlPr>
              <w:rPr>
                <w:rFonts w:ascii="Cambria Math" w:hAnsi="Cambria Math"/>
                <w:i/>
                <w:iCs/>
              </w:rPr>
            </m:ctrlPr>
          </m:sSubPr>
          <m:e>
            <m:r>
              <w:rPr>
                <w:rFonts w:ascii="Cambria Math" w:hAnsi="Cambria Math"/>
              </w:rPr>
              <m:t>β</m:t>
            </m:r>
          </m:e>
          <m:sub>
            <m:r>
              <w:rPr>
                <w:rFonts w:ascii="Cambria Math" w:hAnsi="Cambria Math"/>
              </w:rPr>
              <m:t>[0,im]</m:t>
            </m:r>
          </m:sub>
        </m:sSub>
      </m:oMath>
      <w:r w:rsidRPr="0086018C">
        <w:t xml:space="preserve"> </w:t>
      </w:r>
      <w:r w:rsidRPr="0086018C">
        <w:rPr>
          <w:rFonts w:ascii="Arial" w:hAnsi="Arial" w:cs="Arial"/>
        </w:rPr>
        <w:t>​</w:t>
      </w:r>
      <w:r w:rsidRPr="0086018C">
        <w:t xml:space="preserve"> is the intercept, </w:t>
      </w:r>
      <m:oMath>
        <m:sSub>
          <m:sSubPr>
            <m:ctrlPr>
              <w:rPr>
                <w:rFonts w:ascii="Cambria Math" w:hAnsi="Cambria Math"/>
                <w:i/>
              </w:rPr>
            </m:ctrlPr>
          </m:sSubPr>
          <m:e>
            <m:r>
              <w:rPr>
                <w:rFonts w:ascii="Cambria Math" w:hAnsi="Cambria Math"/>
              </w:rPr>
              <m:t>β</m:t>
            </m:r>
          </m:e>
          <m:sub>
            <m:r>
              <w:rPr>
                <w:rFonts w:ascii="Cambria Math" w:hAnsi="Cambria Math"/>
              </w:rPr>
              <m:t>[1,im]</m:t>
            </m:r>
          </m:sub>
        </m:sSub>
      </m:oMath>
      <w:r w:rsidRPr="0086018C">
        <w:rPr>
          <w:rFonts w:ascii="Arial" w:hAnsi="Arial" w:cs="Arial"/>
        </w:rPr>
        <w:t>​</w:t>
      </w:r>
      <w:r w:rsidRPr="0086018C">
        <w:t xml:space="preserve"> is the slope representing the annual change in yield, and</w:t>
      </w:r>
      <w:r>
        <w:t xml:space="preserve"> </w:t>
      </w:r>
      <m:oMath>
        <m:sSub>
          <m:sSubPr>
            <m:ctrlPr>
              <w:rPr>
                <w:rFonts w:ascii="Cambria Math" w:hAnsi="Cambria Math"/>
                <w:i/>
              </w:rPr>
            </m:ctrlPr>
          </m:sSubPr>
          <m:e>
            <m:r>
              <w:rPr>
                <w:rFonts w:ascii="Cambria Math" w:hAnsi="Cambria Math"/>
              </w:rPr>
              <m:t>∈</m:t>
            </m:r>
          </m:e>
          <m:sub>
            <m:r>
              <w:rPr>
                <w:rFonts w:ascii="Cambria Math" w:hAnsi="Cambria Math"/>
              </w:rPr>
              <m:t>[im,t]</m:t>
            </m:r>
          </m:sub>
        </m:sSub>
      </m:oMath>
      <w:r w:rsidRPr="0086018C">
        <w:rPr>
          <w:rFonts w:ascii="Arial" w:hAnsi="Arial" w:cs="Arial"/>
        </w:rPr>
        <w:t>​</w:t>
      </w:r>
      <w:r w:rsidRPr="0086018C">
        <w:t xml:space="preserve"> is the residual error term.</w:t>
      </w:r>
    </w:p>
    <w:p w14:paraId="333081CE" w14:textId="6960821E" w:rsidR="008A2CC6" w:rsidRDefault="002957CE" w:rsidP="00841EB8">
      <w:pPr>
        <w:pStyle w:val="Heading2"/>
        <w:spacing w:line="360" w:lineRule="auto"/>
      </w:pPr>
      <w:bookmarkStart w:id="8" w:name="_Toc225254925"/>
      <w:r w:rsidRPr="002957CE">
        <w:t>Maximum beef yield at carrying capacity</w:t>
      </w:r>
      <w:bookmarkEnd w:id="8"/>
    </w:p>
    <w:p w14:paraId="75373D4B" w14:textId="7B2E3A0B" w:rsidR="0087575E" w:rsidRDefault="00836843" w:rsidP="00841EB8">
      <w:pPr>
        <w:pStyle w:val="FirstParagraph"/>
        <w:spacing w:line="360" w:lineRule="auto"/>
      </w:pPr>
      <w:r w:rsidRPr="00836843">
        <w:t>To ensure that projected yields did not exceed biophysically feasible limits,</w:t>
      </w:r>
      <w:r w:rsidRPr="00836843" w:rsidDel="00836843">
        <w:t xml:space="preserve"> </w:t>
      </w:r>
      <w:r w:rsidR="0087575E">
        <w:t>(see above) w</w:t>
      </w:r>
      <w:r w:rsidR="0087575E" w:rsidRPr="00A322CF">
        <w:t>e estimated the potential stocking rate as a function of the potential biomass growth of grasses under future climate conditions, based on projections from RCP 4.5 for the period 2011–2040</w:t>
      </w:r>
      <w:r w:rsidR="00C17EE4">
        <w:fldChar w:fldCharType="begin"/>
      </w:r>
      <w:r w:rsidR="00C768D3">
        <w:instrText xml:space="preserve"> ADDIN ZOTERO_ITEM CSL_CITATION {"citationID":"Q9KHass3","properties":{"formattedCitation":"\\super 7\\nosupersub{}","plainCitation":"7","noteIndex":0},"citationItems":[{"id":6578,"uris":["http://zotero.org/users/3309187/items/9VKNSL7D"],"itemData":{"id":6578,"type":"book","abstract":"This publication provides the GAEZ v4 model documentation for (1) Agro-climatic analysis, (2) Crop biomass and yield calculations, (3) Land Utilization Types, (4) Observed phenology and crop calendars, (5) Temperature sum and temperature profile constraint-factors, (6) Crop-specific water requirements, (7) Soil-water balance, (8) Agro-climatic constraints, (9) Agro-edaphic constraints more crops, (10) Agro-ecological crop potentials, (11) Actual crop production and yields, (12) Yield and production gaps. This GAEZ v4 model documentation summarizes information on the structure of GAEZ methodology and provides information on updates of input data and model procedures from GAEZ v3.","ISBN":"978-92-5-134426-2","language":"English","publisher":"FAO ;","source":"openknowledge.fao.org","title":"Global Agro-Ecological Zones v4 – Model documentation","URL":"https://openknowledge.fao.org/handle/20.500.14283/cb4744en","author":[{"literal":"G. Fischer"},{"literal":"Nachtergaele, F.O"},{"literal":"van Velthuizen, H.T"},{"literal":"Chiozza, F."},{"literal":"Franceschini, G."},{"literal":"Henry, M."},{"literal":"Muchoney, D."},{"literal":"Tramberend, S."}],"accessed":{"date-parts":[["2024",10,25]]},"issued":{"date-parts":[["2021"]]}}}],"schema":"https://github.com/citation-style-language/schema/raw/master/csl-citation.json"} </w:instrText>
      </w:r>
      <w:r w:rsidR="00C17EE4">
        <w:fldChar w:fldCharType="separate"/>
      </w:r>
      <w:r w:rsidR="00C768D3" w:rsidRPr="00C768D3">
        <w:rPr>
          <w:rFonts w:ascii="Aptos" w:hAnsi="Aptos" w:cs="Times New Roman"/>
          <w:vertAlign w:val="superscript"/>
        </w:rPr>
        <w:t>7</w:t>
      </w:r>
      <w:r w:rsidR="00C17EE4">
        <w:fldChar w:fldCharType="end"/>
      </w:r>
      <w:r w:rsidR="00574598">
        <w:t>.</w:t>
      </w:r>
      <w:r w:rsidR="00566354">
        <w:t xml:space="preserve"> </w:t>
      </w:r>
      <w:r w:rsidR="00566354" w:rsidRPr="00566354">
        <w:t>Potential grass productivity represents climatically and edaphically constrained biomass growth under standardized assumptions of optimal pasture management. As such, the resulting stocking rates should be interpreted as a theoretical upper bound on cattle density.</w:t>
      </w:r>
      <w:r w:rsidR="00F12934">
        <w:t xml:space="preserve"> </w:t>
      </w:r>
      <w:r w:rsidR="0087575E">
        <w:t>T</w:t>
      </w:r>
      <w:r w:rsidR="0087575E" w:rsidRPr="00A06941">
        <w:t>he stocking rate (</w:t>
      </w:r>
      <w:r w:rsidR="0087575E" w:rsidRPr="00A06941">
        <w:rPr>
          <w:i/>
          <w:iCs/>
        </w:rPr>
        <w:t>SR</w:t>
      </w:r>
      <w:r w:rsidR="0087575E" w:rsidRPr="00A06941">
        <w:t>), expressed in animal units (AU), was calculated using the following equation:</w:t>
      </w:r>
    </w:p>
    <w:p w14:paraId="63375FB4" w14:textId="11F033BF" w:rsidR="0087575E" w:rsidRPr="00BC3514" w:rsidRDefault="005766E0" w:rsidP="00841EB8">
      <w:pPr>
        <w:pStyle w:val="BodyText"/>
        <w:spacing w:line="360" w:lineRule="auto"/>
        <w:rPr>
          <w:rFonts w:eastAsiaTheme="minorEastAsia"/>
        </w:rPr>
      </w:pPr>
      <m:oMathPara>
        <m:oMathParaPr>
          <m:jc m:val="center"/>
        </m:oMathParaPr>
        <m:oMath>
          <m:eqArr>
            <m:eqArrPr>
              <m:maxDist m:val="1"/>
              <m:ctrlPr>
                <w:rPr>
                  <w:rFonts w:ascii="Cambria Math" w:hAnsi="Cambria Math"/>
                  <w:i/>
                </w:rPr>
              </m:ctrlPr>
            </m:eqArrPr>
            <m:e>
              <m:r>
                <w:rPr>
                  <w:rFonts w:ascii="Cambria Math" w:hAnsi="Cambria Math"/>
                </w:rPr>
                <m:t>SR</m:t>
              </m:r>
              <m:r>
                <m:rPr>
                  <m:sty m:val="p"/>
                </m:rPr>
                <w:rPr>
                  <w:rFonts w:ascii="Cambria Math" w:hAnsi="Cambria Math"/>
                </w:rPr>
                <m:t>=</m:t>
              </m:r>
              <m:f>
                <m:fPr>
                  <m:ctrlPr>
                    <w:rPr>
                      <w:rFonts w:ascii="Cambria Math" w:hAnsi="Cambria Math"/>
                    </w:rPr>
                  </m:ctrlPr>
                </m:fPr>
                <m:num>
                  <m:r>
                    <w:rPr>
                      <w:rFonts w:ascii="Cambria Math" w:hAnsi="Cambria Math"/>
                    </w:rPr>
                    <m:t>DDP</m:t>
                  </m:r>
                  <m:r>
                    <m:rPr>
                      <m:sty m:val="p"/>
                    </m:rPr>
                    <w:rPr>
                      <w:rFonts w:ascii="Cambria Math" w:hAnsi="Cambria Math"/>
                    </w:rPr>
                    <m:t>⋅</m:t>
                  </m:r>
                  <m:r>
                    <w:rPr>
                      <w:rFonts w:ascii="Cambria Math" w:hAnsi="Cambria Math"/>
                    </w:rPr>
                    <m:t>GE</m:t>
                  </m:r>
                </m:num>
                <m:den>
                  <m:r>
                    <w:rPr>
                      <w:rFonts w:ascii="Cambria Math" w:hAnsi="Cambria Math"/>
                    </w:rPr>
                    <m:t>I</m:t>
                  </m:r>
                  <m:r>
                    <m:rPr>
                      <m:sty m:val="p"/>
                    </m:rPr>
                    <w:rPr>
                      <w:rFonts w:ascii="Cambria Math" w:hAnsi="Cambria Math"/>
                    </w:rPr>
                    <m:t>*</m:t>
                  </m:r>
                  <m:r>
                    <w:rPr>
                      <w:rFonts w:ascii="Cambria Math" w:hAnsi="Cambria Math"/>
                    </w:rPr>
                    <m:t>cos</m:t>
                  </m:r>
                  <m:d>
                    <m:dPr>
                      <m:ctrlPr>
                        <w:rPr>
                          <w:rFonts w:ascii="Cambria Math" w:hAnsi="Cambria Math"/>
                        </w:rPr>
                      </m:ctrlPr>
                    </m:dPr>
                    <m:e>
                      <m:r>
                        <w:rPr>
                          <w:rFonts w:ascii="Cambria Math" w:hAnsi="Cambria Math"/>
                        </w:rPr>
                        <m:t>S</m:t>
                      </m:r>
                    </m:e>
                  </m:d>
                </m:den>
              </m:f>
              <m:r>
                <w:rPr>
                  <w:rFonts w:ascii="Cambria Math" w:hAnsi="Cambria Math"/>
                </w:rPr>
                <m:t xml:space="preserve"> #(S10)</m:t>
              </m:r>
            </m:e>
          </m:eqArr>
        </m:oMath>
      </m:oMathPara>
    </w:p>
    <w:p w14:paraId="64E91A14" w14:textId="77777777" w:rsidR="004B5CE0" w:rsidRPr="004B5CE0" w:rsidRDefault="004B5CE0" w:rsidP="00841EB8">
      <w:pPr>
        <w:pStyle w:val="BodyText"/>
        <w:spacing w:line="360" w:lineRule="auto"/>
        <w:rPr>
          <w:rFonts w:eastAsiaTheme="minorEastAsia"/>
          <w:sz w:val="22"/>
          <w:szCs w:val="22"/>
        </w:rPr>
      </w:pPr>
    </w:p>
    <w:p w14:paraId="5E5F6729" w14:textId="1B06A849" w:rsidR="0087575E" w:rsidRDefault="0087575E" w:rsidP="00841EB8">
      <w:pPr>
        <w:pStyle w:val="FirstParagraph"/>
        <w:spacing w:line="360" w:lineRule="auto"/>
        <w:rPr>
          <w:lang w:val="en-GB"/>
        </w:rPr>
      </w:pPr>
      <w:r>
        <w:t xml:space="preserve">where </w:t>
      </w:r>
      <m:oMath>
        <m:r>
          <w:rPr>
            <w:rFonts w:ascii="Cambria Math" w:hAnsi="Cambria Math"/>
          </w:rPr>
          <m:t>DDP</m:t>
        </m:r>
      </m:oMath>
      <w:r>
        <w:t xml:space="preserve"> is the Daily demand for pasture;</w:t>
      </w:r>
      <w:r w:rsidRPr="00B15473">
        <w:rPr>
          <w:rFonts w:ascii="Cambria Math" w:hAnsi="Cambria Math"/>
          <w:i/>
        </w:rPr>
        <w:t xml:space="preserve"> </w:t>
      </w:r>
      <m:oMath>
        <m:r>
          <w:rPr>
            <w:rFonts w:ascii="Cambria Math" w:hAnsi="Cambria Math"/>
          </w:rPr>
          <m:t>GE</m:t>
        </m:r>
      </m:oMath>
      <w:r>
        <w:t xml:space="preserve"> </w:t>
      </w:r>
      <w:r w:rsidRPr="00B15473">
        <w:t>is grazing efficiency (i.e., the proportion of available forage that is actually consumed by cattle)</w:t>
      </w:r>
      <w:r>
        <w:t xml:space="preserve">, </w:t>
      </w:r>
      <m:oMath>
        <m:r>
          <w:rPr>
            <w:rFonts w:ascii="Cambria Math" w:hAnsi="Cambria Math"/>
          </w:rPr>
          <m:t>I</m:t>
        </m:r>
      </m:oMath>
      <w:r>
        <w:t xml:space="preserve"> is ingested feed per animal unit per day (kg AU</w:t>
      </w:r>
      <w:r w:rsidRPr="00636FE9">
        <w:rPr>
          <w:vertAlign w:val="superscript"/>
        </w:rPr>
        <w:t>-1</w:t>
      </w:r>
      <w:r>
        <w:t xml:space="preserve"> day</w:t>
      </w:r>
      <w:r w:rsidRPr="00636FE9">
        <w:rPr>
          <w:vertAlign w:val="superscript"/>
        </w:rPr>
        <w:t>-1</w:t>
      </w:r>
      <w:r>
        <w:t xml:space="preserve">); and </w:t>
      </w:r>
      <m:oMath>
        <m:r>
          <w:rPr>
            <w:rFonts w:ascii="Cambria Math" w:hAnsi="Cambria Math"/>
          </w:rPr>
          <m:t>S</m:t>
        </m:r>
      </m:oMath>
      <w:r>
        <w:t xml:space="preserve"> is terrain slope in degrees </w:t>
      </w:r>
      <w:r>
        <w:fldChar w:fldCharType="begin"/>
      </w:r>
      <w:r w:rsidR="00C768D3">
        <w:instrText xml:space="preserve"> ADDIN ZOTERO_ITEM CSL_CITATION {"citationID":"DpcqvDbu","properties":{"formattedCitation":"\\super 8\\nosupersub{}","plainCitation":"8","noteIndex":0},"citationItems":[{"id":7055,"uris":["http://zotero.org/users/3309187/items/YTI5L988"],"itemData":{"id":7055,"type":"dataset","publisher":"available from the CGIAR-CSI SRTM 90m Database","title":"Hole-filled SRTM for the globe Version 4","URL":"https://srtm.csi.cgiar.org/","author":[{"literal":"Jarvis, A.,"},{"literal":"H.I. Reuter"},{"literal":"A. Nelson"},{"literal":"E. Guevara"}],"issued":{"date-parts":[["2008"]]}},"label":"page"}],"schema":"https://github.com/citation-style-language/schema/raw/master/csl-citation.json"} </w:instrText>
      </w:r>
      <w:r>
        <w:fldChar w:fldCharType="separate"/>
      </w:r>
      <w:r w:rsidR="00C768D3" w:rsidRPr="00C768D3">
        <w:rPr>
          <w:rFonts w:ascii="Aptos" w:hAnsi="Aptos" w:cs="Times New Roman"/>
          <w:vertAlign w:val="superscript"/>
        </w:rPr>
        <w:t>8</w:t>
      </w:r>
      <w:r>
        <w:fldChar w:fldCharType="end"/>
      </w:r>
      <w:r>
        <w:t xml:space="preserve">. </w:t>
      </w:r>
      <w:r w:rsidRPr="002B5644">
        <w:t xml:space="preserve">We used the maximum </w:t>
      </w:r>
      <w:r w:rsidR="00D17B77">
        <w:lastRenderedPageBreak/>
        <w:t xml:space="preserve">daily </w:t>
      </w:r>
      <w:r w:rsidRPr="002B5644">
        <w:t xml:space="preserve">potential biomass growth </w:t>
      </w:r>
      <w:r w:rsidR="00B96677">
        <w:t>(kg of grass ha</w:t>
      </w:r>
      <w:r w:rsidR="00B96677" w:rsidRPr="004D0B96">
        <w:rPr>
          <w:vertAlign w:val="superscript"/>
        </w:rPr>
        <w:t>-1</w:t>
      </w:r>
      <w:r w:rsidR="00B96677">
        <w:t xml:space="preserve"> day</w:t>
      </w:r>
      <w:r w:rsidR="00B96677" w:rsidRPr="004D0B96">
        <w:rPr>
          <w:vertAlign w:val="superscript"/>
        </w:rPr>
        <w:t>-1</w:t>
      </w:r>
      <w:r w:rsidR="00B96677">
        <w:t xml:space="preserve">) </w:t>
      </w:r>
      <w:r w:rsidRPr="002B5644">
        <w:t xml:space="preserve">as a proxy for </w:t>
      </w:r>
      <w:r w:rsidRPr="002B5644">
        <w:rPr>
          <w:i/>
          <w:iCs/>
        </w:rPr>
        <w:t>DDP</w:t>
      </w:r>
      <w:r w:rsidRPr="002B5644">
        <w:t xml:space="preserve"> to estimate </w:t>
      </w:r>
      <w:r w:rsidR="00D931A1">
        <w:t xml:space="preserve">an upper </w:t>
      </w:r>
      <w:proofErr w:type="gramStart"/>
      <w:r w:rsidR="00D931A1">
        <w:t>bound</w:t>
      </w:r>
      <w:proofErr w:type="gramEnd"/>
      <w:r w:rsidR="00D931A1">
        <w:t xml:space="preserve"> on</w:t>
      </w:r>
      <w:r w:rsidRPr="002B5644">
        <w:t xml:space="preserve"> maximum cattle density that could be supported under ideal conditions.</w:t>
      </w:r>
      <w:r>
        <w:t xml:space="preserve"> </w:t>
      </w:r>
      <w:r w:rsidRPr="002B5644">
        <w:t>We assumed a grazing efficiency (</w:t>
      </w:r>
      <w:r w:rsidRPr="002B5644">
        <w:rPr>
          <w:i/>
          <w:iCs/>
        </w:rPr>
        <w:t>GE</w:t>
      </w:r>
      <w:r w:rsidRPr="002B5644">
        <w:t>) of 0.5 and an average ingestion rate (</w:t>
      </w:r>
      <w:r w:rsidRPr="002B5644">
        <w:rPr>
          <w:i/>
          <w:iCs/>
        </w:rPr>
        <w:t>I</w:t>
      </w:r>
      <w:r w:rsidRPr="002B5644">
        <w:t>) of 8 kg AU</w:t>
      </w:r>
      <w:r w:rsidRPr="002B5644">
        <w:rPr>
          <w:rFonts w:ascii="Cambria Math" w:hAnsi="Cambria Math" w:cs="Cambria Math"/>
        </w:rPr>
        <w:t>⁻</w:t>
      </w:r>
      <w:r w:rsidRPr="002B5644">
        <w:rPr>
          <w:rFonts w:ascii="Aptos" w:hAnsi="Aptos" w:cs="Aptos"/>
        </w:rPr>
        <w:t>¹</w:t>
      </w:r>
      <w:r w:rsidRPr="002B5644">
        <w:t xml:space="preserve"> day</w:t>
      </w:r>
      <w:r w:rsidRPr="002B5644">
        <w:rPr>
          <w:rFonts w:ascii="Cambria Math" w:hAnsi="Cambria Math" w:cs="Cambria Math"/>
        </w:rPr>
        <w:t>⁻</w:t>
      </w:r>
      <w:r w:rsidRPr="002B5644">
        <w:rPr>
          <w:rFonts w:ascii="Aptos" w:hAnsi="Aptos" w:cs="Aptos"/>
        </w:rPr>
        <w:t>¹</w:t>
      </w:r>
      <w:r w:rsidRPr="002B5644">
        <w:t xml:space="preserve">, in line with values reported in previous studies </w:t>
      </w:r>
      <w:r>
        <w:fldChar w:fldCharType="begin"/>
      </w:r>
      <w:r w:rsidR="00C768D3">
        <w:instrText xml:space="preserve"> ADDIN ZOTERO_ITEM CSL_CITATION {"citationID":"HAMbzDSf","properties":{"formattedCitation":"\\super 9\\uc0\\u8211{}11\\nosupersub{}","plainCitation":"9–11","noteIndex":0},"citationItems":[{"id":6346,"uris":["http://zotero.org/users/3309187/items/D8DHRFD6"],"itemData":{"id":6346,"type":"article-journal","abstract":"Increased demand for both agricultural production and forest restoration may lead to increased competition for land in the next decades. Sustainably increasing cattle ranching productivity is a potential solution to reconcile different land uses, while also improving biodiversity conservation and the provision of ecosystem services. If not strategically implemented in integration with complementary policies, sustainable intensification can however result in negative environmental, economic and social effects. We analyzed the potential for sustainable intensification as a solution for a conflict between agricultural expansion and forest restoration in the Paraitinga Watershed at the Brazilian Atlantic Forest, a global biodiversity hotspot. In addition, we provide policy recommendations for sustainable development in the region, based on interviews with producers and local actors. We found that the Paraitinga Watershed has the potential to increase its cattle-ranching productivity and, as a result, relinquish spared land for other uses. This was true even in the most conservative intensification scenario considered (50% of the maximum potential productivity reached), in which 76,702ha of pastures can be spared for other uses (46% of total pasture area). We found that restoration, apiculture and rural tourism are promising activities to promote sustainable development in the region, thus potentially increasing food production and mitigating competition for land. Our study shows that results from socioeconomic interviews and biophysical modelling of potential productivity increases offer robust insights into practical solutions on how to pursue sustainable development in one of the world’s most threatened biodiversity hotspots.","container-title":"Land Use Policy","DOI":"10.1016/j.landusepol.2016.08.004","ISSN":"0264-8377","journalAbbreviation":"Land Use Policy","page":"419-426","source":"ScienceDirect","title":"Reconciling rural development and ecological restoration: Strategies and policy recommendations for the Brazilian Atlantic Forest","title-short":"Reconciling rural development and ecological restoration","volume":"60","author":[{"family":"Alves-Pinto","given":"Helena N."},{"family":"Latawiec","given":"Agnieszka E."},{"family":"Strassburg","given":"Bernardo B. N."},{"family":"Barros","given":"Felipe S. M."},{"family":"Sansevero","given":"Jerônimo B. B."},{"family":"Iribarrem","given":"Alvaro"},{"family":"Crouzeilles","given":"Renato"},{"family":"Lemgruber","given":"Luisa"},{"family":"C. Rangel","given":"Marcio"},{"family":"Silva","given":"Augusto C. P."}],"issued":{"date-parts":[["2017",1,1]]}}},{"id":6409,"uris":["http://zotero.org/users/3309187/items/CS5EF75S"],"itemData":{"id":6409,"type":"article-journal","abstract":"Abstract: The objective of this work was to evaluate the potential of livestock intensification in Brazil. Beef cattle stocking rates were estimated according to agricultural census data on livestock production in Brazilian municipalities. Pasture carrying capacity was obtained by combining moderate resolution imaging spectroradiometer (Modis) images of gross primary productivity and data on dry matter demand per animal unit (AU). Cattle stocking rate for Brazil, in 2014/2015, was 0.97 AU ha-1, and the carrying capacity was 3.60 AU ha-1; therefore, there is an average livestock intensification potential of 2.63 AU ha-1. The highest average intensification potential was observed for the Southern region (3.62 AU ha-1), and the lowest for the Northern (2.13 AU ha-1) and Northeastern regions (2.22 AU ha-1). It is possible to estimate cattle stocking rate, pasture carrying capacity, and potential of livestock intensification by integrating data on agricultural census and remote sensing.","container-title":"Pesquisa Agropecuária Brasileira","DOI":"10.1590/S0100-204X2018000900009","ISSN":"0100-204X, 1678-3921","journalAbbreviation":"Pesq. agropec. bras.","language":"en","page":"1053-1060","publisher":"Embrapa Secretaria de Pesquisa e Desenvolvimento; Pesquisa Agropecuária Brasileira","source":"SciELO","title":"Livestock intensification potential in Brazil based on agricultural census and satellite data analysis","volume":"53","author":[{"family":"Arantes","given":"Arielle Elias"},{"family":"Couto","given":"Victor Rezende de Moreira"},{"family":"Sano","given":"Edson Eyji"},{"family":"Ferreira","given":"Laerte Guimarães"}],"issued":{"date-parts":[["2018",9]]}}},{"id":1410,"uris":["http://zotero.org/users/3309187/items/2C7VHZ2H"],"itemData":{"id":1410,"type":"article-journal","abstract":"Providing food and other products to a growing human population while safeguarding natural ecosystems and the provision of their services is a significant scientific, social and political challenge. With food demand likely to double over the next four decades, anthropization is already driving climate change and is the principal force behind species extinction, among other environmental impacts. The sustainable intensification of production on current agricultural lands has been suggested as a key solution to the competition for land between agriculture and natural ecosystems. However, few investigations have shown the extent to which these lands can meet projected demands while considering biophysical constraints. Here we investigate the improved use of existing agricultural lands and present insights into avoiding future competition for land. We focus on Brazil, a country projected to experience the largest increase in agricultural production over the next four decades and the richest nation in terrestrial carbon and biodiversity. Using various models and climatic datasets, we produced the first estimate of the carrying capacity of Brazil's 115 million hectares of cultivated pasturelands. We then investigated if the improved use of cultivated pasturelands would free enough land for the expansion of meat, crops, wood and biofuel, respecting biophysical constraints (i.e., terrain, climate) and including climate change impacts. We found that the current productivity of Brazilian cultivated pasturelands is 32–34% of its potential and that increasing productivity to 49–52% of the potential would suffice to meet demands for meat, crops, wood products and biofuels until at least 2040, without further conversion of natural ecosystems. As a result up to 14.3Gt CO2 Eq could be mitigated. The fact that the country poised to undergo the largest expansion of agricultural production over the coming decades can do so without further conversion of natural habitats provokes the question whether the same can be true in other regional contexts and, ultimately, at the global scale.","container-title":"Global Environmental Change","DOI":"10.1016/j.gloenvcha.2014.06.001","ISSN":"0959-3780","journalAbbreviation":"Global Environmental Change","page":"84-97","source":"ScienceDirect","title":"When enough should be enough: Improving the use of current agricultural lands could meet production demands and spare natural habitats in Brazil","title-short":"When enough should be enough","volume":"28","author":[{"family":"Strassburg","given":"Bernardo B. N."},{"family":"Latawiec","given":"Agnieszka E."},{"family":"Barioni","given":"Luis G."},{"family":"Nobre","given":"Carlos A."},{"family":"Silva","given":"Vanderley P.","non-dropping-particle":"da"},{"family":"Valentim","given":"Judson F."},{"family":"Vianna","given":"Murilo"},{"family":"Assad","given":"Eduardo D."}],"issued":{"date-parts":[["2014",9,1]]}}}],"schema":"https://github.com/citation-style-language/schema/raw/master/csl-citation.json"} </w:instrText>
      </w:r>
      <w:r>
        <w:fldChar w:fldCharType="separate"/>
      </w:r>
      <w:r w:rsidR="00C768D3" w:rsidRPr="00C768D3">
        <w:rPr>
          <w:rFonts w:ascii="Aptos" w:hAnsi="Aptos" w:cs="Times New Roman"/>
          <w:vertAlign w:val="superscript"/>
        </w:rPr>
        <w:t>9–11</w:t>
      </w:r>
      <w:r>
        <w:fldChar w:fldCharType="end"/>
      </w:r>
      <w:r w:rsidRPr="003F0CB4">
        <w:rPr>
          <w:lang w:val="en-GB"/>
        </w:rPr>
        <w:t xml:space="preserve"> </w:t>
      </w:r>
      <w:r w:rsidRPr="007860CD">
        <w:rPr>
          <w:rFonts w:ascii="Aptos" w:hAnsi="Aptos" w:cs="Aptos"/>
        </w:rPr>
        <w:t>(</w:t>
      </w:r>
      <w:r w:rsidR="00C709D4">
        <w:rPr>
          <w:rFonts w:ascii="Aptos" w:hAnsi="Aptos" w:cs="Aptos"/>
          <w:highlight w:val="yellow"/>
        </w:rPr>
        <w:fldChar w:fldCharType="begin"/>
      </w:r>
      <w:r w:rsidR="00C709D4">
        <w:rPr>
          <w:rFonts w:ascii="Aptos" w:hAnsi="Aptos" w:cs="Aptos"/>
        </w:rPr>
        <w:instrText xml:space="preserve"> REF _Ref213764109 \h </w:instrText>
      </w:r>
      <w:r w:rsidR="00C709D4">
        <w:rPr>
          <w:rFonts w:ascii="Aptos" w:hAnsi="Aptos" w:cs="Aptos"/>
          <w:highlight w:val="yellow"/>
        </w:rPr>
      </w:r>
      <w:r w:rsidR="00C709D4">
        <w:rPr>
          <w:rFonts w:ascii="Aptos" w:hAnsi="Aptos" w:cs="Aptos"/>
          <w:highlight w:val="yellow"/>
        </w:rPr>
        <w:fldChar w:fldCharType="separate"/>
      </w:r>
      <w:r w:rsidR="00C709D4" w:rsidRPr="00A23202">
        <w:t>Supp</w:t>
      </w:r>
      <w:r w:rsidR="00990A95">
        <w:t>lementary</w:t>
      </w:r>
      <w:r w:rsidR="00C709D4" w:rsidRPr="00A23202">
        <w:t xml:space="preserve"> Fig</w:t>
      </w:r>
      <w:r w:rsidR="00C71816">
        <w:t>.</w:t>
      </w:r>
      <w:r w:rsidR="00C709D4" w:rsidRPr="00A23202">
        <w:t xml:space="preserve"> </w:t>
      </w:r>
      <w:r w:rsidR="00C709D4">
        <w:rPr>
          <w:noProof/>
        </w:rPr>
        <w:t>2</w:t>
      </w:r>
      <w:r w:rsidR="00C709D4">
        <w:rPr>
          <w:rFonts w:ascii="Aptos" w:hAnsi="Aptos" w:cs="Aptos"/>
          <w:highlight w:val="yellow"/>
        </w:rPr>
        <w:fldChar w:fldCharType="end"/>
      </w:r>
      <w:r w:rsidR="00CC0728">
        <w:rPr>
          <w:rFonts w:ascii="Aptos" w:hAnsi="Aptos" w:cs="Aptos"/>
        </w:rPr>
        <w:t>C</w:t>
      </w:r>
      <w:r>
        <w:rPr>
          <w:rFonts w:ascii="Aptos" w:hAnsi="Aptos" w:cs="Aptos"/>
        </w:rPr>
        <w:t>)</w:t>
      </w:r>
      <w:r w:rsidRPr="003F0CB4">
        <w:rPr>
          <w:lang w:val="en-GB"/>
        </w:rPr>
        <w:t xml:space="preserve">. </w:t>
      </w:r>
    </w:p>
    <w:p w14:paraId="0D0589E2" w14:textId="245D104C" w:rsidR="0087575E" w:rsidRPr="005B7AFB" w:rsidRDefault="0087575E" w:rsidP="00841EB8">
      <w:pPr>
        <w:pStyle w:val="BodyText"/>
        <w:spacing w:line="360" w:lineRule="auto"/>
        <w:rPr>
          <w:lang w:val="en-GB"/>
        </w:rPr>
      </w:pPr>
      <w:r>
        <w:rPr>
          <w:lang w:val="en-GB"/>
        </w:rPr>
        <w:t>After</w:t>
      </w:r>
      <w:r w:rsidR="009F73C7">
        <w:rPr>
          <w:lang w:val="en-GB"/>
        </w:rPr>
        <w:t xml:space="preserve"> </w:t>
      </w:r>
      <w:r>
        <w:rPr>
          <w:lang w:val="en-GB"/>
        </w:rPr>
        <w:t xml:space="preserve">calculating stocking rate, we assumed animal </w:t>
      </w:r>
      <w:r w:rsidRPr="00AD493C">
        <w:rPr>
          <w:lang w:val="en-GB"/>
        </w:rPr>
        <w:t>performance remained constant</w:t>
      </w:r>
      <w:r>
        <w:rPr>
          <w:lang w:val="en-GB"/>
        </w:rPr>
        <w:t xml:space="preserve"> and calculate</w:t>
      </w:r>
      <w:r w:rsidR="009F73C7">
        <w:rPr>
          <w:lang w:val="en-GB"/>
        </w:rPr>
        <w:t>d</w:t>
      </w:r>
      <w:r>
        <w:rPr>
          <w:lang w:val="en-GB"/>
        </w:rPr>
        <w:t xml:space="preserve"> beef yield at carrying capacity.</w:t>
      </w:r>
    </w:p>
    <w:p w14:paraId="364284E2" w14:textId="4801D923" w:rsidR="008D218A" w:rsidRDefault="005F0EED" w:rsidP="00841EB8">
      <w:pPr>
        <w:pStyle w:val="Heading2"/>
        <w:spacing w:line="360" w:lineRule="auto"/>
      </w:pPr>
      <w:bookmarkStart w:id="9" w:name="_Toc225254926"/>
      <w:r>
        <w:t>Costs for increasing beef yields</w:t>
      </w:r>
      <w:bookmarkEnd w:id="9"/>
      <w:r>
        <w:t xml:space="preserve"> </w:t>
      </w:r>
    </w:p>
    <w:p w14:paraId="37573B96" w14:textId="4B59D2F2" w:rsidR="00907997" w:rsidRDefault="00755A18" w:rsidP="00841EB8">
      <w:pPr>
        <w:pStyle w:val="Heading3"/>
        <w:spacing w:line="360" w:lineRule="auto"/>
      </w:pPr>
      <w:bookmarkStart w:id="10" w:name="_Toc225254927"/>
      <w:r w:rsidRPr="00755A18">
        <w:t>Primary estimation used in main analyses</w:t>
      </w:r>
      <w:bookmarkEnd w:id="10"/>
    </w:p>
    <w:p w14:paraId="4DB88A02" w14:textId="1E67E023" w:rsidR="004E3E83" w:rsidRDefault="00581B1C" w:rsidP="00841EB8">
      <w:pPr>
        <w:spacing w:before="120" w:after="120" w:line="360" w:lineRule="auto"/>
      </w:pPr>
      <w:r w:rsidRPr="00581B1C">
        <w:t>We estimated beef intensification costs through improved pasture management using spatially explicit yield (kg carcass weight ha</w:t>
      </w:r>
      <w:r w:rsidRPr="00581B1C">
        <w:rPr>
          <w:rFonts w:ascii="Cambria Math" w:hAnsi="Cambria Math" w:cs="Cambria Math"/>
        </w:rPr>
        <w:t>⁻</w:t>
      </w:r>
      <w:r w:rsidRPr="00581B1C">
        <w:rPr>
          <w:rFonts w:ascii="Aptos" w:hAnsi="Aptos" w:cs="Aptos"/>
        </w:rPr>
        <w:t>¹</w:t>
      </w:r>
      <w:r w:rsidRPr="00581B1C">
        <w:t xml:space="preserve"> yr</w:t>
      </w:r>
      <w:r w:rsidRPr="00581B1C">
        <w:rPr>
          <w:rFonts w:ascii="Cambria Math" w:hAnsi="Cambria Math" w:cs="Cambria Math"/>
        </w:rPr>
        <w:t>⁻</w:t>
      </w:r>
      <w:r w:rsidRPr="00581B1C">
        <w:rPr>
          <w:rFonts w:ascii="Aptos" w:hAnsi="Aptos" w:cs="Aptos"/>
        </w:rPr>
        <w:t>¹</w:t>
      </w:r>
      <w:r w:rsidRPr="00581B1C">
        <w:t>) and production cost (USD ha</w:t>
      </w:r>
      <w:r w:rsidRPr="00581B1C">
        <w:rPr>
          <w:rFonts w:ascii="Cambria Math" w:hAnsi="Cambria Math" w:cs="Cambria Math"/>
        </w:rPr>
        <w:t>⁻</w:t>
      </w:r>
      <w:r w:rsidRPr="00581B1C">
        <w:rPr>
          <w:rFonts w:ascii="Aptos" w:hAnsi="Aptos" w:cs="Aptos"/>
        </w:rPr>
        <w:t>¹</w:t>
      </w:r>
      <w:r w:rsidRPr="00581B1C">
        <w:t xml:space="preserve">) estimates derived from the </w:t>
      </w:r>
      <w:proofErr w:type="spellStart"/>
      <w:r w:rsidRPr="00581B1C">
        <w:t>BeefSC</w:t>
      </w:r>
      <w:proofErr w:type="spellEnd"/>
      <w:r w:rsidRPr="00581B1C">
        <w:t xml:space="preserve"> model </w:t>
      </w:r>
      <w:r w:rsidR="0092433E">
        <w:t>described in</w:t>
      </w:r>
      <w:r w:rsidRPr="00581B1C">
        <w:t xml:space="preserve"> </w:t>
      </w:r>
      <w:proofErr w:type="spellStart"/>
      <w:r>
        <w:t>Wirsenius</w:t>
      </w:r>
      <w:proofErr w:type="spellEnd"/>
      <w:r>
        <w:t xml:space="preserve"> &amp; d’Albertas</w:t>
      </w:r>
      <w:r>
        <w:fldChar w:fldCharType="begin"/>
      </w:r>
      <w:r>
        <w:instrText xml:space="preserve"> ADDIN ZOTERO_ITEM CSL_CITATION {"citationID":"svkcFqfe","properties":{"formattedCitation":"\\super 12\\nosupersub{}","plainCitation":"12","noteIndex":0},"citationItems":[{"id":7706,"uris":["http://zotero.org/users/3309187/items/SNRWVMAI"],"itemData":{"id":7706,"type":"report","abstract":"This report documents BeefSC (Beef Stocking-rate and Cost model), a spatially explicit framework for estimating optimal cattle stocking rates, beef yields, and production costs across Brazil under four stylized beef production systems spanning extensive to semi-intensive management. It combines a biophysical stocking-rate optimization module with an enterprise cost module to translate pasture growth, herd dynamics, supplementation, and feedlot finishing into pixel-level cost and output estimates. The document includes full model description, equations and parameters, input datasets, and results from the Brazilian application.","DOI":"10.5281/zenodo.18845417","publisher":"Zenodo","source":"Zenodo","title":"BeefSC: A model for calculating optimal stocking rates and costs of beef. Description of model (v. 1.0) and input data for application on Brazilian beef production","title-short":"BeefSC","URL":"https://zenodo.org/records/18845417","author":[{"family":"Wirsenius","given":"Stefan"},{"family":"Gomes de Carvalho","given":"Francisco","non-dropping-particle":"d'Albertas"}],"accessed":{"date-parts":[["2026",3,3]]},"issued":{"date-parts":[["2026",3,3]]}}}],"schema":"https://github.com/citation-style-language/schema/raw/master/csl-citation.json"} </w:instrText>
      </w:r>
      <w:r>
        <w:fldChar w:fldCharType="separate"/>
      </w:r>
      <w:r w:rsidRPr="00666A67">
        <w:rPr>
          <w:rFonts w:ascii="Aptos" w:hAnsi="Aptos" w:cs="Times New Roman"/>
          <w:kern w:val="0"/>
          <w:vertAlign w:val="superscript"/>
        </w:rPr>
        <w:t>12</w:t>
      </w:r>
      <w:r>
        <w:fldChar w:fldCharType="end"/>
      </w:r>
      <w:r w:rsidRPr="00581B1C">
        <w:t>. The model provides pixel-level estimates of beef yields and costs on a ~10-km grid across Brazil under contrasting production systems ranging from low-productivity extensive ranching to more intensive pasture-based systems. Model outputs incorporate biophysical conditions, herd dynamics, fertilizer and feed inputs, and transportation costs for agricultural inputs and live cattle to slaughterhouses.</w:t>
      </w:r>
      <w:r w:rsidR="004E3E83">
        <w:t xml:space="preserve"> </w:t>
      </w:r>
      <w:r w:rsidR="004E3E83" w:rsidRPr="004E3E83">
        <w:t>To estimate the cost of intensification, we calculated the difference in annual production costs between the Extensive 1</w:t>
      </w:r>
      <w:r w:rsidR="00767286">
        <w:t xml:space="preserve"> – which is the predominant across Brazil – </w:t>
      </w:r>
      <w:r w:rsidR="004E3E83" w:rsidRPr="004E3E83">
        <w:t xml:space="preserve"> and Extensive 2 systems, representing the transition from low-input grazing to improved pasture management with fertilizer application. Corresponding yield gains were calculated as the difference in carcass production (kg ha</w:t>
      </w:r>
      <w:r w:rsidR="004E3E83" w:rsidRPr="004E3E83">
        <w:rPr>
          <w:rFonts w:ascii="Cambria Math" w:hAnsi="Cambria Math" w:cs="Cambria Math"/>
        </w:rPr>
        <w:t>⁻</w:t>
      </w:r>
      <w:r w:rsidR="004E3E83" w:rsidRPr="004E3E83">
        <w:rPr>
          <w:rFonts w:ascii="Aptos" w:hAnsi="Aptos" w:cs="Aptos"/>
        </w:rPr>
        <w:t>¹</w:t>
      </w:r>
      <w:r w:rsidR="004E3E83" w:rsidRPr="004E3E83">
        <w:t xml:space="preserve"> yr</w:t>
      </w:r>
      <w:r w:rsidR="004E3E83" w:rsidRPr="004E3E83">
        <w:rPr>
          <w:rFonts w:ascii="Cambria Math" w:hAnsi="Cambria Math" w:cs="Cambria Math"/>
        </w:rPr>
        <w:t>⁻</w:t>
      </w:r>
      <w:r w:rsidR="004E3E83" w:rsidRPr="004E3E83">
        <w:rPr>
          <w:rFonts w:ascii="Aptos" w:hAnsi="Aptos" w:cs="Aptos"/>
        </w:rPr>
        <w:t>¹</w:t>
      </w:r>
      <w:r w:rsidR="004E3E83" w:rsidRPr="004E3E83">
        <w:t>) between these two systems.</w:t>
      </w:r>
    </w:p>
    <w:p w14:paraId="67AD4A6F" w14:textId="6B091A00" w:rsidR="00195377" w:rsidRDefault="00FF45FA" w:rsidP="00841EB8">
      <w:pPr>
        <w:pStyle w:val="FirstParagraph"/>
        <w:spacing w:line="360" w:lineRule="auto"/>
      </w:pPr>
      <w:r w:rsidRPr="00FF45FA">
        <w:rPr>
          <w:lang w:val="en-GB"/>
        </w:rPr>
        <w:t xml:space="preserve">To adopt a conservative approach, we aggregated these </w:t>
      </w:r>
      <w:proofErr w:type="spellStart"/>
      <w:r w:rsidRPr="00FF45FA">
        <w:rPr>
          <w:lang w:val="en-GB"/>
        </w:rPr>
        <w:t>BeefSC</w:t>
      </w:r>
      <w:proofErr w:type="spellEnd"/>
      <w:r w:rsidRPr="00FF45FA">
        <w:rPr>
          <w:lang w:val="en-GB"/>
        </w:rPr>
        <w:t xml:space="preserve">-derived estimates by calculating mean beef yields and production costs at the Brazilian state (UF) level, and assumed that the difference between Extensive 1 and Extensive 2 represents the potential yield gain achievable through pasture intensification, while the corresponding difference in costs represents the effective cost of that level of intensification </w:t>
      </w:r>
      <w:r w:rsidR="00533C89" w:rsidRPr="00533C89">
        <w:rPr>
          <w:lang w:val="en-GB"/>
        </w:rPr>
        <w:t>(</w:t>
      </w:r>
      <w:r w:rsidR="00D21B15">
        <w:rPr>
          <w:lang w:val="en-GB"/>
        </w:rPr>
        <w:fldChar w:fldCharType="begin"/>
      </w:r>
      <w:r w:rsidR="00D21B15">
        <w:rPr>
          <w:lang w:val="en-GB"/>
        </w:rPr>
        <w:instrText xml:space="preserve"> REF _Ref221025797 \h </w:instrText>
      </w:r>
      <w:r w:rsidR="00D21B15">
        <w:rPr>
          <w:lang w:val="en-GB"/>
        </w:rPr>
      </w:r>
      <w:r w:rsidR="00D21B15">
        <w:rPr>
          <w:lang w:val="en-GB"/>
        </w:rPr>
        <w:fldChar w:fldCharType="separate"/>
      </w:r>
      <w:r w:rsidR="00D21B15">
        <w:t xml:space="preserve">Supplementary Table </w:t>
      </w:r>
      <w:r w:rsidR="00D21B15">
        <w:rPr>
          <w:noProof/>
        </w:rPr>
        <w:t>2</w:t>
      </w:r>
      <w:r w:rsidR="00D21B15">
        <w:rPr>
          <w:lang w:val="en-GB"/>
        </w:rPr>
        <w:fldChar w:fldCharType="end"/>
      </w:r>
      <w:r w:rsidR="00533C89" w:rsidRPr="00533C89">
        <w:rPr>
          <w:lang w:val="en-GB"/>
        </w:rPr>
        <w:t xml:space="preserve">). </w:t>
      </w:r>
      <w:r w:rsidR="00B647DE">
        <w:rPr>
          <w:lang w:val="en-GB"/>
        </w:rPr>
        <w:t xml:space="preserve">State-level estimates were derived together with their associated 95% confidence intervals. </w:t>
      </w:r>
      <w:r w:rsidR="00533C89" w:rsidRPr="00533C89">
        <w:rPr>
          <w:lang w:val="en-GB"/>
        </w:rPr>
        <w:t xml:space="preserve">For each pasture cell </w:t>
      </w:r>
      <m:oMath>
        <m:r>
          <w:rPr>
            <w:rFonts w:ascii="Cambria Math" w:hAnsi="Cambria Math"/>
            <w:lang w:val="en-GB"/>
          </w:rPr>
          <m:t>c</m:t>
        </m:r>
      </m:oMath>
      <w:r w:rsidR="00533C89">
        <w:rPr>
          <w:rFonts w:eastAsiaTheme="minorEastAsia"/>
          <w:lang w:val="en-GB"/>
        </w:rPr>
        <w:t xml:space="preserve"> </w:t>
      </w:r>
      <w:r w:rsidR="00533C89" w:rsidRPr="00533C89">
        <w:rPr>
          <w:lang w:val="en-GB"/>
        </w:rPr>
        <w:t xml:space="preserve">classified as degraded based on pasture vigour, we attributed </w:t>
      </w:r>
      <w:r w:rsidR="000F42A9" w:rsidRPr="00533C89">
        <w:rPr>
          <w:lang w:val="en-GB"/>
        </w:rPr>
        <w:t>an</w:t>
      </w:r>
      <w:r w:rsidR="00533C89" w:rsidRPr="00533C89">
        <w:rPr>
          <w:lang w:val="en-GB"/>
        </w:rPr>
        <w:t xml:space="preserve"> </w:t>
      </w:r>
      <w:r w:rsidR="00BE45DC">
        <w:rPr>
          <w:lang w:val="en-GB"/>
        </w:rPr>
        <w:t xml:space="preserve">annual </w:t>
      </w:r>
      <w:r w:rsidR="00533C89" w:rsidRPr="00533C89">
        <w:rPr>
          <w:lang w:val="en-GB"/>
        </w:rPr>
        <w:t xml:space="preserve">yield gain corresponding to the state </w:t>
      </w:r>
      <w:r w:rsidR="00533C89" w:rsidRPr="00533C89">
        <w:rPr>
          <w:lang w:val="en-GB"/>
        </w:rPr>
        <w:lastRenderedPageBreak/>
        <w:t>in which the cell is located</w:t>
      </w:r>
      <w:r w:rsidR="00BE45DC">
        <w:rPr>
          <w:lang w:val="en-GB"/>
        </w:rPr>
        <w:t xml:space="preserve">, interpolating between the lower and upper bounds of the </w:t>
      </w:r>
      <w:r w:rsidR="002514C3">
        <w:rPr>
          <w:lang w:val="en-GB"/>
        </w:rPr>
        <w:t>confidence intervals according to the relative composition of low- and medium-vigour pasture withing each cell.</w:t>
      </w:r>
      <w:r w:rsidR="00B4164D">
        <w:rPr>
          <w:lang w:val="en-GB"/>
        </w:rPr>
        <w:t xml:space="preserve"> </w:t>
      </w:r>
      <w:r w:rsidR="00B4164D" w:rsidRPr="00B4164D">
        <w:rPr>
          <w:lang w:val="en-GB"/>
        </w:rPr>
        <w:t>This assigns larger gains to more degraded pastures while preserving conservative, empirically grounded uncertainty.</w:t>
      </w:r>
      <w:r w:rsidR="00B4164D">
        <w:rPr>
          <w:lang w:val="en-GB"/>
        </w:rPr>
        <w:t xml:space="preserve"> </w:t>
      </w:r>
      <w:r w:rsidR="00195377">
        <w:t>We then estimated long-run costs as a N</w:t>
      </w:r>
      <w:r w:rsidR="00195377" w:rsidRPr="00CF70CF">
        <w:t xml:space="preserve">et </w:t>
      </w:r>
      <w:r w:rsidR="00195377">
        <w:t>P</w:t>
      </w:r>
      <w:r w:rsidR="00195377" w:rsidRPr="00CF70CF">
        <w:t xml:space="preserve">resent </w:t>
      </w:r>
      <w:r w:rsidR="00195377">
        <w:t>V</w:t>
      </w:r>
      <w:r w:rsidR="00195377" w:rsidRPr="00CF70CF">
        <w:t>alue (</w:t>
      </w:r>
      <w:r w:rsidR="00195377" w:rsidRPr="000C070B">
        <w:rPr>
          <w:i/>
          <w:iCs/>
        </w:rPr>
        <w:t>NPV</w:t>
      </w:r>
      <w:r w:rsidR="00195377" w:rsidRPr="00CF70CF">
        <w:t>)</w:t>
      </w:r>
      <w:r w:rsidR="00195377">
        <w:t>:</w:t>
      </w:r>
    </w:p>
    <w:p w14:paraId="7E0D85B9" w14:textId="5A9AFF53" w:rsidR="00195377" w:rsidRPr="00BA39D6" w:rsidRDefault="005766E0" w:rsidP="00841EB8">
      <w:pPr>
        <w:pStyle w:val="TableCaption"/>
        <w:spacing w:line="360" w:lineRule="auto"/>
        <w:rPr>
          <w:rFonts w:eastAsiaTheme="minorEastAsia"/>
          <w:b w:val="0"/>
          <w:bCs w:val="0"/>
        </w:rPr>
      </w:pPr>
      <m:oMathPara>
        <m:oMath>
          <m:eqArr>
            <m:eqArrPr>
              <m:maxDist m:val="1"/>
              <m:ctrlPr>
                <w:rPr>
                  <w:rFonts w:ascii="Cambria Math" w:hAnsi="Cambria Math"/>
                  <w:b w:val="0"/>
                  <w:bCs w:val="0"/>
                </w:rPr>
              </m:ctrlPr>
            </m:eqArrPr>
            <m:e>
              <m:r>
                <m:rPr>
                  <m:sty m:val="bi"/>
                </m:rPr>
                <w:rPr>
                  <w:rStyle w:val="BodyTextChar"/>
                  <w:rFonts w:ascii="Cambria Math" w:hAnsi="Cambria Math"/>
                </w:rPr>
                <m:t>NPV</m:t>
              </m:r>
              <m:r>
                <m:rPr>
                  <m:sty m:val="b"/>
                </m:rPr>
                <w:rPr>
                  <w:rStyle w:val="BodyTextChar"/>
                  <w:rFonts w:ascii="Cambria Math" w:hAnsi="Cambria Math"/>
                </w:rPr>
                <m:t xml:space="preserve">= </m:t>
              </m:r>
              <m:nary>
                <m:naryPr>
                  <m:chr m:val="∑"/>
                  <m:limLoc m:val="undOvr"/>
                  <m:ctrlPr>
                    <w:rPr>
                      <w:rStyle w:val="BodyTextChar"/>
                      <w:rFonts w:ascii="Cambria Math" w:hAnsi="Cambria Math"/>
                      <w:b w:val="0"/>
                      <w:bCs w:val="0"/>
                    </w:rPr>
                  </m:ctrlPr>
                </m:naryPr>
                <m:sub>
                  <m:r>
                    <m:rPr>
                      <m:sty m:val="bi"/>
                    </m:rPr>
                    <w:rPr>
                      <w:rStyle w:val="BodyTextChar"/>
                      <w:rFonts w:ascii="Cambria Math" w:hAnsi="Cambria Math"/>
                    </w:rPr>
                    <m:t>t</m:t>
                  </m:r>
                  <m:r>
                    <m:rPr>
                      <m:sty m:val="b"/>
                    </m:rPr>
                    <w:rPr>
                      <w:rStyle w:val="BodyTextChar"/>
                      <w:rFonts w:ascii="Cambria Math" w:hAnsi="Cambria Math"/>
                    </w:rPr>
                    <m:t>=1</m:t>
                  </m:r>
                </m:sub>
                <m:sup>
                  <m:r>
                    <m:rPr>
                      <m:sty m:val="b"/>
                    </m:rPr>
                    <w:rPr>
                      <w:rStyle w:val="BodyTextChar"/>
                      <w:rFonts w:ascii="Cambria Math" w:hAnsi="Cambria Math"/>
                    </w:rPr>
                    <m:t>50</m:t>
                  </m:r>
                </m:sup>
                <m:e>
                  <m:f>
                    <m:fPr>
                      <m:ctrlPr>
                        <w:rPr>
                          <w:rStyle w:val="BodyTextChar"/>
                          <w:rFonts w:ascii="Cambria Math" w:hAnsi="Cambria Math"/>
                          <w:b w:val="0"/>
                          <w:bCs w:val="0"/>
                        </w:rPr>
                      </m:ctrlPr>
                    </m:fPr>
                    <m:num>
                      <m:sSub>
                        <m:sSubPr>
                          <m:ctrlPr>
                            <w:rPr>
                              <w:rStyle w:val="BodyTextChar"/>
                              <w:rFonts w:ascii="Cambria Math" w:hAnsi="Cambria Math"/>
                              <w:b w:val="0"/>
                              <w:bCs w:val="0"/>
                              <w:i/>
                            </w:rPr>
                          </m:ctrlPr>
                        </m:sSubPr>
                        <m:e>
                          <m:r>
                            <m:rPr>
                              <m:sty m:val="bi"/>
                            </m:rPr>
                            <w:rPr>
                              <w:rStyle w:val="BodyTextChar"/>
                              <w:rFonts w:ascii="Cambria Math" w:hAnsi="Cambria Math"/>
                            </w:rPr>
                            <m:t>C</m:t>
                          </m:r>
                        </m:e>
                        <m:sub>
                          <m:r>
                            <m:rPr>
                              <m:sty m:val="bi"/>
                            </m:rPr>
                            <w:rPr>
                              <w:rStyle w:val="BodyTextChar"/>
                              <w:rFonts w:ascii="Cambria Math" w:hAnsi="Cambria Math"/>
                            </w:rPr>
                            <m:t>prod[c,UF]</m:t>
                          </m:r>
                        </m:sub>
                      </m:sSub>
                    </m:num>
                    <m:den>
                      <m:sSup>
                        <m:sSupPr>
                          <m:ctrlPr>
                            <w:rPr>
                              <w:rStyle w:val="BodyTextChar"/>
                              <w:rFonts w:ascii="Cambria Math" w:hAnsi="Cambria Math"/>
                              <w:b w:val="0"/>
                              <w:bCs w:val="0"/>
                            </w:rPr>
                          </m:ctrlPr>
                        </m:sSupPr>
                        <m:e>
                          <m:d>
                            <m:dPr>
                              <m:ctrlPr>
                                <w:rPr>
                                  <w:rStyle w:val="BodyTextChar"/>
                                  <w:rFonts w:ascii="Cambria Math" w:hAnsi="Cambria Math"/>
                                  <w:b w:val="0"/>
                                  <w:bCs w:val="0"/>
                                </w:rPr>
                              </m:ctrlPr>
                            </m:dPr>
                            <m:e>
                              <m:r>
                                <m:rPr>
                                  <m:sty m:val="b"/>
                                </m:rPr>
                                <w:rPr>
                                  <w:rStyle w:val="BodyTextChar"/>
                                  <w:rFonts w:ascii="Cambria Math" w:hAnsi="Cambria Math"/>
                                </w:rPr>
                                <m:t>1+</m:t>
                              </m:r>
                              <m:r>
                                <m:rPr>
                                  <m:sty m:val="bi"/>
                                </m:rPr>
                                <w:rPr>
                                  <w:rStyle w:val="BodyTextChar"/>
                                  <w:rFonts w:ascii="Cambria Math" w:hAnsi="Cambria Math"/>
                                </w:rPr>
                                <m:t>r</m:t>
                              </m:r>
                            </m:e>
                          </m:d>
                        </m:e>
                        <m:sup>
                          <m:r>
                            <m:rPr>
                              <m:sty m:val="bi"/>
                            </m:rPr>
                            <w:rPr>
                              <w:rStyle w:val="BodyTextChar"/>
                              <w:rFonts w:ascii="Cambria Math" w:hAnsi="Cambria Math"/>
                            </w:rPr>
                            <m:t>t</m:t>
                          </m:r>
                        </m:sup>
                      </m:sSup>
                    </m:den>
                  </m:f>
                </m:e>
              </m:nary>
              <m:r>
                <m:rPr>
                  <m:sty m:val="b"/>
                </m:rPr>
                <w:rPr>
                  <w:rStyle w:val="BodyTextChar"/>
                  <w:rFonts w:ascii="Cambria Math" w:hAnsi="Cambria Math"/>
                </w:rPr>
                <m:t xml:space="preserve"> #</m:t>
              </m:r>
              <m:d>
                <m:dPr>
                  <m:ctrlPr>
                    <w:rPr>
                      <w:rStyle w:val="BodyTextChar"/>
                      <w:rFonts w:ascii="Cambria Math" w:hAnsi="Cambria Math"/>
                      <w:b w:val="0"/>
                      <w:bCs w:val="0"/>
                    </w:rPr>
                  </m:ctrlPr>
                </m:dPr>
                <m:e>
                  <m:r>
                    <m:rPr>
                      <m:sty m:val="b"/>
                    </m:rPr>
                    <w:rPr>
                      <w:rStyle w:val="BodyTextChar"/>
                      <w:rFonts w:ascii="Cambria Math" w:hAnsi="Cambria Math"/>
                    </w:rPr>
                    <m:t>S11</m:t>
                  </m:r>
                </m:e>
              </m:d>
            </m:e>
          </m:eqArr>
        </m:oMath>
      </m:oMathPara>
    </w:p>
    <w:p w14:paraId="67CFFEA5" w14:textId="5E6507D7" w:rsidR="00195377" w:rsidRDefault="00195377" w:rsidP="00841EB8">
      <w:pPr>
        <w:pStyle w:val="BodyText"/>
        <w:spacing w:line="360" w:lineRule="auto"/>
      </w:pPr>
      <w:r>
        <w:t xml:space="preserve">where </w:t>
      </w:r>
      <m:oMath>
        <m:sSub>
          <m:sSubPr>
            <m:ctrlPr>
              <w:rPr>
                <w:rFonts w:ascii="Cambria Math" w:hAnsi="Cambria Math"/>
                <w:i/>
              </w:rPr>
            </m:ctrlPr>
          </m:sSubPr>
          <m:e>
            <m:r>
              <w:rPr>
                <w:rFonts w:ascii="Cambria Math" w:hAnsi="Cambria Math"/>
              </w:rPr>
              <m:t>C</m:t>
            </m:r>
          </m:e>
          <m:sub>
            <m:r>
              <w:rPr>
                <w:rFonts w:ascii="Cambria Math" w:hAnsi="Cambria Math"/>
              </w:rPr>
              <m:t>prod[c,UF]</m:t>
            </m:r>
          </m:sub>
        </m:sSub>
      </m:oMath>
      <w:r>
        <w:t xml:space="preserve"> is the annual production costs (USD ha</w:t>
      </w:r>
      <w:r w:rsidRPr="00FA23FC">
        <w:rPr>
          <w:vertAlign w:val="superscript"/>
        </w:rPr>
        <w:t>-1</w:t>
      </w:r>
      <w:r>
        <w:t xml:space="preserve"> year</w:t>
      </w:r>
      <w:r w:rsidRPr="00FA23FC">
        <w:rPr>
          <w:vertAlign w:val="superscript"/>
        </w:rPr>
        <w:t>-1</w:t>
      </w:r>
      <w:r>
        <w:t xml:space="preserve">); </w:t>
      </w:r>
      <w:r w:rsidRPr="00F179C5">
        <w:rPr>
          <w:i/>
          <w:iCs/>
        </w:rPr>
        <w:t>r</w:t>
      </w:r>
      <w:r>
        <w:t xml:space="preserve"> is the discount rate (0.08,</w:t>
      </w:r>
      <w:r w:rsidRPr="008C0C36">
        <w:t xml:space="preserve"> </w:t>
      </w:r>
      <w:r>
        <w:t>aligned</w:t>
      </w:r>
      <w:r w:rsidRPr="00CF70CF">
        <w:t xml:space="preserve"> with subsidized loan rates available to producers under Brazil’s Low-Carbon Agriculture Plan</w:t>
      </w:r>
      <w:r>
        <w:t xml:space="preserve"> </w:t>
      </w:r>
      <w:r>
        <w:fldChar w:fldCharType="begin"/>
      </w:r>
      <w:r w:rsidR="00666A67">
        <w:instrText xml:space="preserve"> ADDIN ZOTERO_ITEM CSL_CITATION {"citationID":"BTNfYx5E","properties":{"formattedCitation":"\\super 13\\nosupersub{}","plainCitation":"13","noteIndex":0},"citationItems":[{"id":7149,"uris":["http://zotero.org/users/3309187/items/7S3CL9CB"],"itemData":{"id":7149,"type":"report","language":"en","publisher":"Ministry of Agriculture, Livestock and Food Supply.","title":"Plan for adaptation and low carbon emission in agriculture strategic vision for a new cycle","URL":"https://www.gov.br/agricultura/pt-br/assuntos/sustentabilidade/planoabc-abcmais/publicacoes/abc-english.pdf","author":[{"literal":"Brazil. Ministry of Agriculture, Livestock and Food Supply."}],"issued":{"date-parts":[["2021"]]}}}],"schema":"https://github.com/citation-style-language/schema/raw/master/csl-citation.json"} </w:instrText>
      </w:r>
      <w:r>
        <w:fldChar w:fldCharType="separate"/>
      </w:r>
      <w:r w:rsidR="00666A67" w:rsidRPr="00666A67">
        <w:rPr>
          <w:rFonts w:ascii="Aptos" w:hAnsi="Aptos" w:cs="Times New Roman"/>
          <w:vertAlign w:val="superscript"/>
        </w:rPr>
        <w:t>13</w:t>
      </w:r>
      <w:r>
        <w:fldChar w:fldCharType="end"/>
      </w:r>
      <w:r>
        <w:t xml:space="preserve">, and </w:t>
      </w:r>
      <w:r w:rsidRPr="00D96DA8">
        <w:rPr>
          <w:i/>
          <w:iCs/>
        </w:rPr>
        <w:t>t</w:t>
      </w:r>
      <w:r>
        <w:t xml:space="preserve"> spans </w:t>
      </w:r>
      <w:r w:rsidR="009D7486">
        <w:t>project</w:t>
      </w:r>
      <w:r w:rsidR="003F0C95">
        <w:t xml:space="preserve"> years 1-50</w:t>
      </w:r>
      <w:r>
        <w:t>.</w:t>
      </w:r>
    </w:p>
    <w:p w14:paraId="5BE662D0" w14:textId="350192EE" w:rsidR="00755A18" w:rsidRPr="00755A18" w:rsidRDefault="00A02C3C" w:rsidP="00841EB8">
      <w:pPr>
        <w:pStyle w:val="Heading3"/>
        <w:spacing w:line="360" w:lineRule="auto"/>
      </w:pPr>
      <w:bookmarkStart w:id="11" w:name="_Toc225254928"/>
      <w:r w:rsidRPr="00A02C3C">
        <w:t>Alternative estimation used for robustness</w:t>
      </w:r>
      <w:r w:rsidR="00072193">
        <w:t xml:space="preserve"> evaluation</w:t>
      </w:r>
      <w:bookmarkEnd w:id="11"/>
    </w:p>
    <w:p w14:paraId="30F0B575" w14:textId="7007C664" w:rsidR="008D218A" w:rsidRDefault="00F51036" w:rsidP="00841EB8">
      <w:pPr>
        <w:pStyle w:val="FirstParagraph"/>
        <w:spacing w:line="360" w:lineRule="auto"/>
      </w:pPr>
      <w:r>
        <w:t>Alternatively, w</w:t>
      </w:r>
      <w:r w:rsidR="008D218A">
        <w:t xml:space="preserve">e </w:t>
      </w:r>
      <w:r>
        <w:t xml:space="preserve">also </w:t>
      </w:r>
      <w:r w:rsidR="008D218A">
        <w:t>estimated</w:t>
      </w:r>
      <w:r w:rsidR="008D218A" w:rsidRPr="009977C1">
        <w:t xml:space="preserve"> </w:t>
      </w:r>
      <w:r w:rsidR="008D218A">
        <w:t>beef</w:t>
      </w:r>
      <w:r w:rsidR="008D218A" w:rsidRPr="009977C1">
        <w:t xml:space="preserve"> intensification </w:t>
      </w:r>
      <w:r w:rsidR="008D218A">
        <w:t xml:space="preserve">costs </w:t>
      </w:r>
      <w:r w:rsidR="008D218A" w:rsidRPr="009977C1">
        <w:t>through improved pasture management</w:t>
      </w:r>
      <w:r w:rsidR="008D218A">
        <w:t xml:space="preserve">, using </w:t>
      </w:r>
      <w:r w:rsidR="008D218A" w:rsidRPr="009977C1">
        <w:t xml:space="preserve">recovery and reform costs from </w:t>
      </w:r>
      <w:r w:rsidR="008A3943">
        <w:t>Carlos et al</w:t>
      </w:r>
      <w:r w:rsidR="008D218A" w:rsidRPr="009977C1">
        <w:t>.</w:t>
      </w:r>
      <w:r w:rsidR="008D218A" w:rsidRPr="007D3C6D">
        <w:fldChar w:fldCharType="begin"/>
      </w:r>
      <w:r w:rsidR="00C768D3">
        <w:instrText xml:space="preserve"> ADDIN ZOTERO_ITEM CSL_CITATION {"citationID":"78vUjjk3","properties":{"formattedCitation":"\\super 5\\nosupersub{}","plainCitation":"5","noteIndex":0},"citationItems":[{"id":6320,"uris":["http://zotero.org/users/3309187/items/89BS6WRQ"],"itemData":{"id":6320,"type":"report","language":"en","publisher":"Observatório de Conhecimento e Inovação em Bioeconomia, Fundação Getúlio Vargas","publisher-place":"FGV-EESP, São Paulo, SP, Brasil.","source":"Zotero","title":"Costs of recovering degraded pastures in the brazilian states and biomes","URL":"https://agro.fgv.br/sites/default/files/2023-02/costs_of_recovering_degraded_pastures_in_the_brazilian_states_and_biomes_0.pdf","author":[{"family":"Carlos","given":"Sabrina De Matos"},{"family":"Assad","given":"Eduardo Delgado"},{"family":"Estevam","given":"Camila Genaro"},{"family":"Lima","given":"Cicero Zanetti De"},{"family":"Pavão","given":"Eduardo De Moraes"},{"family":"Pinto","given":"Talita Priscila"}],"issued":{"date-parts":[["2022"]]}},"label":"page","suppress-author":true}],"schema":"https://github.com/citation-style-language/schema/raw/master/csl-citation.json"} </w:instrText>
      </w:r>
      <w:r w:rsidR="008D218A" w:rsidRPr="007D3C6D">
        <w:fldChar w:fldCharType="separate"/>
      </w:r>
      <w:r w:rsidR="00C768D3" w:rsidRPr="00C768D3">
        <w:rPr>
          <w:rFonts w:ascii="Aptos" w:hAnsi="Aptos" w:cs="Times New Roman"/>
          <w:vertAlign w:val="superscript"/>
        </w:rPr>
        <w:t>5</w:t>
      </w:r>
      <w:r w:rsidR="008D218A" w:rsidRPr="007D3C6D">
        <w:fldChar w:fldCharType="end"/>
      </w:r>
      <w:r w:rsidR="008D218A" w:rsidRPr="0064574F">
        <w:t xml:space="preserve">, where </w:t>
      </w:r>
      <w:r w:rsidR="008D218A" w:rsidRPr="008C11AE">
        <w:t xml:space="preserve">recovery </w:t>
      </w:r>
      <w:r w:rsidR="008D218A" w:rsidRPr="0064574F">
        <w:t xml:space="preserve">applies to moderately degraded pastures and </w:t>
      </w:r>
      <w:r w:rsidR="008D218A" w:rsidRPr="008C11AE">
        <w:t>reform</w:t>
      </w:r>
      <w:r w:rsidR="008D218A" w:rsidRPr="0064574F">
        <w:t xml:space="preserve"> to severely degraded areas (</w:t>
      </w:r>
      <w:r w:rsidR="00BF39F1">
        <w:rPr>
          <w:highlight w:val="yellow"/>
        </w:rPr>
        <w:fldChar w:fldCharType="begin"/>
      </w:r>
      <w:r w:rsidR="00BF39F1">
        <w:instrText xml:space="preserve"> REF _Ref221025830 \h </w:instrText>
      </w:r>
      <w:r w:rsidR="00BF39F1">
        <w:rPr>
          <w:highlight w:val="yellow"/>
        </w:rPr>
      </w:r>
      <w:r w:rsidR="00BF39F1">
        <w:rPr>
          <w:highlight w:val="yellow"/>
        </w:rPr>
        <w:fldChar w:fldCharType="separate"/>
      </w:r>
      <w:r w:rsidR="00BF39F1" w:rsidRPr="00BE085F">
        <w:t xml:space="preserve">Supplementary Table </w:t>
      </w:r>
      <w:r w:rsidR="00BF39F1">
        <w:rPr>
          <w:noProof/>
        </w:rPr>
        <w:t>3</w:t>
      </w:r>
      <w:r w:rsidR="00BF39F1">
        <w:rPr>
          <w:highlight w:val="yellow"/>
        </w:rPr>
        <w:fldChar w:fldCharType="end"/>
      </w:r>
      <w:r w:rsidR="008D218A" w:rsidRPr="0064574F">
        <w:t xml:space="preserve">). </w:t>
      </w:r>
      <w:r w:rsidR="008D218A">
        <w:t>R</w:t>
      </w:r>
      <w:r w:rsidR="008D218A" w:rsidRPr="0064574F">
        <w:t xml:space="preserve">ecovery </w:t>
      </w:r>
      <w:r w:rsidR="008D218A">
        <w:t xml:space="preserve">and reform </w:t>
      </w:r>
      <w:r w:rsidR="008D218A" w:rsidRPr="0064574F">
        <w:t>activities</w:t>
      </w:r>
      <w:r w:rsidR="008D218A">
        <w:t xml:space="preserve"> are estimated to</w:t>
      </w:r>
      <w:r w:rsidR="008D218A" w:rsidRPr="0064574F">
        <w:t xml:space="preserve"> increase carrying capacity by 1 </w:t>
      </w:r>
      <w:r w:rsidR="008D218A">
        <w:t xml:space="preserve">and </w:t>
      </w:r>
      <w:r w:rsidR="008D218A" w:rsidRPr="0064574F">
        <w:t>0.75</w:t>
      </w:r>
      <w:r w:rsidR="008D218A">
        <w:t xml:space="preserve"> AU ha</w:t>
      </w:r>
      <w:r w:rsidR="008D218A" w:rsidRPr="00605BBE">
        <w:rPr>
          <w:vertAlign w:val="superscript"/>
        </w:rPr>
        <w:t>-1</w:t>
      </w:r>
      <w:r w:rsidR="008D218A" w:rsidRPr="0064574F">
        <w:t xml:space="preserve"> </w:t>
      </w:r>
      <w:r w:rsidR="008D218A">
        <w:t>respectively</w:t>
      </w:r>
      <w:r w:rsidR="008D218A" w:rsidRPr="0064574F">
        <w:t>.</w:t>
      </w:r>
      <w:r w:rsidR="008D218A">
        <w:t xml:space="preserve"> </w:t>
      </w:r>
      <w:r w:rsidR="008D218A" w:rsidRPr="003A17E2">
        <w:t xml:space="preserve">Both are assumed to occur in year </w:t>
      </w:r>
      <w:r w:rsidR="008D218A">
        <w:t xml:space="preserve">one </w:t>
      </w:r>
      <w:r w:rsidR="008D218A" w:rsidRPr="003A17E2">
        <w:t xml:space="preserve">of implementation. </w:t>
      </w:r>
    </w:p>
    <w:p w14:paraId="77B3A90E" w14:textId="5F137A48" w:rsidR="008D218A" w:rsidRDefault="008D218A" w:rsidP="00841EB8">
      <w:pPr>
        <w:pStyle w:val="FirstParagraph"/>
        <w:spacing w:line="360" w:lineRule="auto"/>
      </w:pPr>
      <w:r w:rsidRPr="003A17E2">
        <w:t xml:space="preserve">Maintenance </w:t>
      </w:r>
      <w:r>
        <w:t xml:space="preserve">cost </w:t>
      </w:r>
      <w:r w:rsidRPr="003A17E2">
        <w:t xml:space="preserve">required </w:t>
      </w:r>
      <w:r>
        <w:t>in</w:t>
      </w:r>
      <w:r w:rsidRPr="003A17E2">
        <w:t xml:space="preserve"> subsequent years were also </w:t>
      </w:r>
      <w:r>
        <w:t>taken from</w:t>
      </w:r>
      <w:r w:rsidRPr="003A17E2">
        <w:t xml:space="preserve"> </w:t>
      </w:r>
      <w:r w:rsidR="00CD268B">
        <w:t>Carlos et al.</w:t>
      </w:r>
      <w:r w:rsidRPr="003A17E2">
        <w:t xml:space="preserve"> </w:t>
      </w:r>
      <w:r w:rsidRPr="007D3C6D">
        <w:fldChar w:fldCharType="begin"/>
      </w:r>
      <w:r w:rsidR="00C768D3">
        <w:instrText xml:space="preserve"> ADDIN ZOTERO_ITEM CSL_CITATION {"citationID":"VUD8NvML","properties":{"formattedCitation":"\\super 5\\nosupersub{}","plainCitation":"5","noteIndex":0},"citationItems":[{"id":6320,"uris":["http://zotero.org/users/3309187/items/89BS6WRQ"],"itemData":{"id":6320,"type":"report","language":"en","publisher":"Observatório de Conhecimento e Inovação em Bioeconomia, Fundação Getúlio Vargas","publisher-place":"FGV-EESP, São Paulo, SP, Brasil.","source":"Zotero","title":"Costs of recovering degraded pastures in the brazilian states and biomes","URL":"https://agro.fgv.br/sites/default/files/2023-02/costs_of_recovering_degraded_pastures_in_the_brazilian_states_and_biomes_0.pdf","author":[{"family":"Carlos","given":"Sabrina De Matos"},{"family":"Assad","given":"Eduardo Delgado"},{"family":"Estevam","given":"Camila Genaro"},{"family":"Lima","given":"Cicero Zanetti De"},{"family":"Pavão","given":"Eduardo De Moraes"},{"family":"Pinto","given":"Talita Priscila"}],"issued":{"date-parts":[["2022"]]}},"label":"page","suppress-author":true}],"schema":"https://github.com/citation-style-language/schema/raw/master/csl-citation.json"} </w:instrText>
      </w:r>
      <w:r w:rsidRPr="007D3C6D">
        <w:fldChar w:fldCharType="separate"/>
      </w:r>
      <w:r w:rsidR="00C768D3" w:rsidRPr="00C768D3">
        <w:rPr>
          <w:rFonts w:ascii="Aptos" w:hAnsi="Aptos" w:cs="Times New Roman"/>
          <w:vertAlign w:val="superscript"/>
        </w:rPr>
        <w:t>5</w:t>
      </w:r>
      <w:r w:rsidRPr="007D3C6D">
        <w:fldChar w:fldCharType="end"/>
      </w:r>
      <w:r w:rsidRPr="003A17E2">
        <w:t xml:space="preserve">, </w:t>
      </w:r>
      <w:r>
        <w:t>and comprise</w:t>
      </w:r>
      <w:r w:rsidRPr="003A17E2">
        <w:t xml:space="preserve"> per-activity costs and their frequency over a 5-year period. </w:t>
      </w:r>
      <w:r>
        <w:t>From this</w:t>
      </w:r>
      <w:r w:rsidRPr="003A17E2">
        <w:t xml:space="preserve">, we calculated average annual </w:t>
      </w:r>
      <w:r w:rsidR="00F9070C">
        <w:t>costs</w:t>
      </w:r>
      <w:r w:rsidRPr="003A17E2">
        <w:t>(</w:t>
      </w:r>
      <w:r>
        <w:t>USD ha</w:t>
      </w:r>
      <w:r w:rsidRPr="00324990">
        <w:rPr>
          <w:vertAlign w:val="superscript"/>
        </w:rPr>
        <w:t>-1</w:t>
      </w:r>
      <w:r>
        <w:t>;</w:t>
      </w:r>
      <w:r w:rsidR="00BF39F1">
        <w:t xml:space="preserve"> </w:t>
      </w:r>
      <w:r w:rsidR="00BF39F1">
        <w:rPr>
          <w:highlight w:val="yellow"/>
        </w:rPr>
        <w:fldChar w:fldCharType="begin"/>
      </w:r>
      <w:r w:rsidR="00BF39F1">
        <w:instrText xml:space="preserve"> REF _Ref221025830 \h </w:instrText>
      </w:r>
      <w:r w:rsidR="00BF39F1">
        <w:rPr>
          <w:highlight w:val="yellow"/>
        </w:rPr>
      </w:r>
      <w:r w:rsidR="00BF39F1">
        <w:rPr>
          <w:highlight w:val="yellow"/>
        </w:rPr>
        <w:fldChar w:fldCharType="separate"/>
      </w:r>
      <w:r w:rsidR="00BF39F1" w:rsidRPr="00BE085F">
        <w:t xml:space="preserve">Supplementary Table </w:t>
      </w:r>
      <w:r w:rsidR="00BF39F1">
        <w:rPr>
          <w:noProof/>
        </w:rPr>
        <w:t>3</w:t>
      </w:r>
      <w:r w:rsidR="00BF39F1">
        <w:rPr>
          <w:highlight w:val="yellow"/>
        </w:rPr>
        <w:fldChar w:fldCharType="end"/>
      </w:r>
      <w:r w:rsidRPr="003A17E2">
        <w:t>)</w:t>
      </w:r>
      <w:r w:rsidR="00F9070C">
        <w:t xml:space="preserve"> and applied Equation S11 from years </w:t>
      </w:r>
      <w:r w:rsidR="00E42B4F">
        <w:t xml:space="preserve">t=2 to t=50 </w:t>
      </w:r>
      <w:r w:rsidR="00897CC7">
        <w:t xml:space="preserve">only to maintenance costs – </w:t>
      </w:r>
      <w:r w:rsidR="00F71615" w:rsidRPr="00F71615">
        <w:t>as pasture recovery and reform costs are assumed to occur entirely in year 1</w:t>
      </w:r>
      <w:r w:rsidR="00897CC7">
        <w:t>.</w:t>
      </w:r>
    </w:p>
    <w:p w14:paraId="42697D50" w14:textId="77777777" w:rsidR="008D218A" w:rsidRDefault="008D218A" w:rsidP="00841EB8">
      <w:pPr>
        <w:pStyle w:val="BodyText"/>
        <w:spacing w:line="360" w:lineRule="auto"/>
      </w:pPr>
      <w:r w:rsidRPr="001D734B">
        <w:t>To estimate total mitigation costs, we assigned biome- and degradation-specific values to each pasture pixel: recovery to medium-vigor areas and reform to low-vigor ones.</w:t>
      </w:r>
      <w:r w:rsidRPr="00863932">
        <w:t xml:space="preserve"> </w:t>
      </w:r>
      <w:r w:rsidRPr="006A61F1">
        <w:t>When both occurred in a pixel, we converted each to cost per AU gained (dividing recovery by 1 and reform by 0.75) before summing them as capital investment per hectare.</w:t>
      </w:r>
      <w:r w:rsidRPr="00863932">
        <w:t xml:space="preserve"> </w:t>
      </w:r>
    </w:p>
    <w:p w14:paraId="63F95062" w14:textId="77777777" w:rsidR="008D218A" w:rsidRDefault="008D218A" w:rsidP="00841EB8">
      <w:pPr>
        <w:pStyle w:val="BodyText"/>
        <w:spacing w:line="360" w:lineRule="auto"/>
      </w:pPr>
      <w:r w:rsidRPr="00863932">
        <w:t xml:space="preserve">Finally, we added the </w:t>
      </w:r>
      <w:r>
        <w:t>NPV</w:t>
      </w:r>
      <w:r w:rsidRPr="00863932">
        <w:t xml:space="preserve"> of maintenance to this combined cost to obtain the total mitigation cost per hectare (USD ha</w:t>
      </w:r>
      <w:r w:rsidRPr="00863932">
        <w:rPr>
          <w:rFonts w:ascii="Cambria Math" w:hAnsi="Cambria Math" w:cs="Cambria Math"/>
        </w:rPr>
        <w:t>⁻</w:t>
      </w:r>
      <w:r w:rsidRPr="00863932">
        <w:rPr>
          <w:rFonts w:ascii="Aptos" w:hAnsi="Aptos" w:cs="Aptos"/>
        </w:rPr>
        <w:t>¹</w:t>
      </w:r>
      <w:r w:rsidRPr="00863932">
        <w:t>)</w:t>
      </w:r>
      <w:r>
        <w:t xml:space="preserve"> to add 1 AU per pixel</w:t>
      </w:r>
      <w:r w:rsidRPr="00863932">
        <w:t>.</w:t>
      </w:r>
    </w:p>
    <w:p w14:paraId="3AD7310A" w14:textId="522CA6AC" w:rsidR="001230F6" w:rsidRDefault="004F6195" w:rsidP="00841EB8">
      <w:pPr>
        <w:pStyle w:val="BodyText"/>
        <w:spacing w:line="360" w:lineRule="auto"/>
      </w:pPr>
      <w:r w:rsidRPr="004F6195">
        <w:lastRenderedPageBreak/>
        <w:t xml:space="preserve">These costs were used in a sensitivity analysis in which we estimated carbon costs under full leakage mitigation using an alternative set of beef intensification cost assumptions and compared the resulting distributions with those obtained using </w:t>
      </w:r>
      <w:proofErr w:type="spellStart"/>
      <w:r w:rsidRPr="004F6195">
        <w:t>Wirsenius</w:t>
      </w:r>
      <w:proofErr w:type="spellEnd"/>
      <w:r w:rsidRPr="004F6195">
        <w:t xml:space="preserve"> et al. While absolute carbon cost estimates differ between the two sources</w:t>
      </w:r>
      <w:r w:rsidR="00864105">
        <w:t xml:space="preserve"> – </w:t>
      </w:r>
      <w:r w:rsidRPr="004F6195">
        <w:t xml:space="preserve">being consistently higher when using </w:t>
      </w:r>
      <w:proofErr w:type="spellStart"/>
      <w:r w:rsidRPr="004F6195">
        <w:t>Wirsenius</w:t>
      </w:r>
      <w:proofErr w:type="spellEnd"/>
      <w:r w:rsidRPr="004F6195">
        <w:t>-based costs</w:t>
      </w:r>
      <w:r w:rsidR="00864105">
        <w:t xml:space="preserve"> – </w:t>
      </w:r>
      <w:r w:rsidRPr="004F6195">
        <w:t>the relative patterns across biomes and leakage classes are unaffected</w:t>
      </w:r>
      <w:r w:rsidR="00B356E5">
        <w:t xml:space="preserve"> </w:t>
      </w:r>
      <w:r w:rsidR="002326E3">
        <w:t>(</w:t>
      </w:r>
      <w:r w:rsidR="002326E3">
        <w:fldChar w:fldCharType="begin"/>
      </w:r>
      <w:r w:rsidR="002326E3">
        <w:instrText xml:space="preserve"> REF _Ref221109141 \h </w:instrText>
      </w:r>
      <w:r w:rsidR="002326E3">
        <w:fldChar w:fldCharType="separate"/>
      </w:r>
      <w:r w:rsidR="002326E3">
        <w:t xml:space="preserve">Supplementary Fig. </w:t>
      </w:r>
      <w:r w:rsidR="002326E3">
        <w:rPr>
          <w:noProof/>
        </w:rPr>
        <w:t>9</w:t>
      </w:r>
      <w:r w:rsidR="002326E3">
        <w:fldChar w:fldCharType="end"/>
      </w:r>
      <w:r w:rsidR="002326E3">
        <w:t>)</w:t>
      </w:r>
      <w:r w:rsidRPr="004F6195">
        <w:t xml:space="preserve">. We therefore use </w:t>
      </w:r>
      <w:proofErr w:type="spellStart"/>
      <w:r w:rsidRPr="004F6195">
        <w:t>Wirsenius</w:t>
      </w:r>
      <w:proofErr w:type="spellEnd"/>
      <w:r w:rsidRPr="004F6195">
        <w:t>-based costs in the main analysis as a conservative assumption.</w:t>
      </w:r>
    </w:p>
    <w:p w14:paraId="13DAA44C" w14:textId="7F59CD93" w:rsidR="006E6571" w:rsidRDefault="006E6571" w:rsidP="00841EB8">
      <w:pPr>
        <w:pStyle w:val="Heading2"/>
        <w:spacing w:line="360" w:lineRule="auto"/>
      </w:pPr>
      <w:bookmarkStart w:id="12" w:name="_Toc225254929"/>
      <w:r>
        <w:t>Restoration costs</w:t>
      </w:r>
      <w:bookmarkEnd w:id="12"/>
    </w:p>
    <w:p w14:paraId="0B47E79E" w14:textId="58831821" w:rsidR="007A5FA8" w:rsidRDefault="00810C8C" w:rsidP="00841EB8">
      <w:pPr>
        <w:pStyle w:val="FirstParagraph"/>
        <w:spacing w:line="360" w:lineRule="auto"/>
      </w:pPr>
      <w:r>
        <w:t xml:space="preserve">We obtained restoration costs from </w:t>
      </w:r>
      <w:proofErr w:type="gramStart"/>
      <w:r w:rsidR="008D716A">
        <w:t>re.green</w:t>
      </w:r>
      <w:proofErr w:type="gramEnd"/>
      <w:r w:rsidR="008D716A">
        <w:t xml:space="preserve">, </w:t>
      </w:r>
      <w:r w:rsidR="008D716A" w:rsidRPr="00B05FF0">
        <w:t>a project developer in Brazil</w:t>
      </w:r>
      <w:r w:rsidR="008D716A">
        <w:t xml:space="preserve"> working in the Atlantic Forest and in the Amazon. </w:t>
      </w:r>
      <w:r w:rsidR="008D716A" w:rsidRPr="00B05FF0">
        <w:t xml:space="preserve"> </w:t>
      </w:r>
      <w:r w:rsidR="008D716A">
        <w:t>They</w:t>
      </w:r>
      <w:r w:rsidR="008D716A" w:rsidRPr="00B05FF0">
        <w:t xml:space="preserve"> vary depending on biome, natural regeneration potential, and feasibility of mechanization (</w:t>
      </w:r>
      <w:r w:rsidR="001B730B">
        <w:fldChar w:fldCharType="begin"/>
      </w:r>
      <w:r w:rsidR="001B730B">
        <w:instrText xml:space="preserve"> REF _Ref219733200 \h </w:instrText>
      </w:r>
      <w:r w:rsidR="001B730B">
        <w:fldChar w:fldCharType="separate"/>
      </w:r>
      <w:r w:rsidR="00BF39F1" w:rsidRPr="008B3787">
        <w:t xml:space="preserve">Supplementary Table </w:t>
      </w:r>
      <w:r w:rsidR="00BF39F1">
        <w:rPr>
          <w:noProof/>
        </w:rPr>
        <w:t>6</w:t>
      </w:r>
      <w:r w:rsidR="001B730B">
        <w:fldChar w:fldCharType="end"/>
      </w:r>
      <w:r w:rsidR="008D716A" w:rsidRPr="00B05FF0">
        <w:t>).</w:t>
      </w:r>
      <w:r w:rsidR="00BF576C">
        <w:t xml:space="preserve"> </w:t>
      </w:r>
      <w:r w:rsidR="00BF576C" w:rsidRPr="00BF576C">
        <w:t>We considered three restoration types reflecting increasing intervention intensity</w:t>
      </w:r>
      <w:r w:rsidR="00BF576C">
        <w:t xml:space="preserve"> and costs</w:t>
      </w:r>
      <w:r w:rsidR="00BF576C" w:rsidRPr="00BF576C">
        <w:t>: assisted natural regeneration, intermediate restoration, and active restoration.</w:t>
      </w:r>
      <w:r w:rsidR="008D716A" w:rsidRPr="00B05FF0">
        <w:t xml:space="preserve"> </w:t>
      </w:r>
      <w:r w:rsidR="00BF576C" w:rsidRPr="00BF576C">
        <w:t>Assisted natural regeneration involves minimal intervention beyond site protection and management (e.g. fencing</w:t>
      </w:r>
      <w:r w:rsidR="00BF576C">
        <w:t xml:space="preserve"> </w:t>
      </w:r>
      <w:r w:rsidR="00BF576C" w:rsidRPr="00BF576C">
        <w:t>and invasive species management</w:t>
      </w:r>
      <w:proofErr w:type="gramStart"/>
      <w:r w:rsidR="00BF576C" w:rsidRPr="00BF576C">
        <w:t>), and</w:t>
      </w:r>
      <w:proofErr w:type="gramEnd"/>
      <w:r w:rsidR="00BF576C" w:rsidRPr="00BF576C">
        <w:t xml:space="preserve"> is suitable where natural regeneration </w:t>
      </w:r>
      <w:r w:rsidR="00FA3680">
        <w:t>probability</w:t>
      </w:r>
      <w:r w:rsidR="00BF576C" w:rsidRPr="00BF576C">
        <w:t xml:space="preserve"> is high.</w:t>
      </w:r>
      <w:r w:rsidR="00CD409F">
        <w:t xml:space="preserve"> </w:t>
      </w:r>
      <w:r w:rsidR="00CD409F" w:rsidRPr="00CD409F">
        <w:t xml:space="preserve">Intermediate restoration combines natural regeneration with targeted </w:t>
      </w:r>
      <w:r w:rsidR="00CD409F">
        <w:t xml:space="preserve">activities such as </w:t>
      </w:r>
      <w:r w:rsidR="00CD409F" w:rsidRPr="00CD409F">
        <w:t xml:space="preserve">enrichment planting or soil </w:t>
      </w:r>
      <w:proofErr w:type="gramStart"/>
      <w:r w:rsidR="00CD409F" w:rsidRPr="00CD409F">
        <w:t>preparation, and</w:t>
      </w:r>
      <w:proofErr w:type="gramEnd"/>
      <w:r w:rsidR="00CD409F" w:rsidRPr="00CD409F">
        <w:t xml:space="preserve"> is typically applied in moderately degraded areas.</w:t>
      </w:r>
      <w:r w:rsidR="007A5FA8">
        <w:t xml:space="preserve"> </w:t>
      </w:r>
      <w:r w:rsidR="007A5FA8" w:rsidRPr="007A5FA8">
        <w:t xml:space="preserve">Active restoration represents the most intervention-intensive approach, relying on full planting of </w:t>
      </w:r>
      <w:r w:rsidR="007A5FA8">
        <w:t xml:space="preserve">seeds or </w:t>
      </w:r>
      <w:r w:rsidR="007A5FA8" w:rsidRPr="007A5FA8">
        <w:t>seedlings and site preparation, and is required where natural regeneration p</w:t>
      </w:r>
      <w:r w:rsidR="007A5FA8">
        <w:t>robability</w:t>
      </w:r>
      <w:r w:rsidR="007A5FA8" w:rsidRPr="007A5FA8">
        <w:t xml:space="preserve"> is low.</w:t>
      </w:r>
    </w:p>
    <w:p w14:paraId="4CFA18B4" w14:textId="16CDEFF3" w:rsidR="008D716A" w:rsidRDefault="008D716A" w:rsidP="00841EB8">
      <w:pPr>
        <w:pStyle w:val="FirstParagraph"/>
        <w:spacing w:line="360" w:lineRule="auto"/>
      </w:pPr>
      <w:r w:rsidRPr="00B05FF0">
        <w:t xml:space="preserve">To adjust these costs based on the probability of natural regeneration and the potential for mechanization, we applied </w:t>
      </w:r>
      <w:r w:rsidR="00A809BE">
        <w:t xml:space="preserve">equation </w:t>
      </w:r>
      <w:r w:rsidR="001657D2">
        <w:t>S1</w:t>
      </w:r>
      <w:r w:rsidR="00A809BE">
        <w:t>2</w:t>
      </w:r>
      <w:r>
        <w:t xml:space="preserve">, with biome specific parameter values from Supplementary Table </w:t>
      </w:r>
      <w:r w:rsidR="00A94131">
        <w:t>6</w:t>
      </w:r>
      <w:r w:rsidRPr="00B05FF0">
        <w:t>:</w:t>
      </w:r>
    </w:p>
    <w:p w14:paraId="31928C21" w14:textId="25A84AE1" w:rsidR="008D716A" w:rsidRPr="00D36255" w:rsidRDefault="005766E0" w:rsidP="00841EB8">
      <w:pPr>
        <w:pStyle w:val="BodyText"/>
        <w:spacing w:line="360" w:lineRule="auto"/>
        <w:rPr>
          <w:rFonts w:eastAsiaTheme="minorEastAsia"/>
          <w:sz w:val="22"/>
          <w:szCs w:val="22"/>
        </w:rPr>
      </w:pPr>
      <m:oMathPara>
        <m:oMathParaPr>
          <m:jc m:val="center"/>
        </m:oMathParaPr>
        <m:oMath>
          <m:eqArr>
            <m:eqArrPr>
              <m:maxDist m:val="1"/>
              <m:ctrlPr>
                <w:rPr>
                  <w:rFonts w:ascii="Cambria Math" w:hAnsi="Cambria Math"/>
                  <w:i/>
                  <w:sz w:val="22"/>
                  <w:szCs w:val="22"/>
                </w:rPr>
              </m:ctrlPr>
            </m:eqArrPr>
            <m:e>
              <m:r>
                <w:rPr>
                  <w:rFonts w:ascii="Cambria Math" w:hAnsi="Cambria Math"/>
                  <w:sz w:val="22"/>
                  <w:szCs w:val="22"/>
                </w:rPr>
                <m:t>r</m:t>
              </m:r>
              <m:r>
                <m:rPr>
                  <m:sty m:val="p"/>
                </m:rPr>
                <w:rPr>
                  <w:rFonts w:ascii="Cambria Math" w:hAnsi="Cambria Math"/>
                  <w:sz w:val="22"/>
                  <w:szCs w:val="22"/>
                </w:rPr>
                <m:t>=</m:t>
              </m:r>
              <m:d>
                <m:dPr>
                  <m:begChr m:val="{"/>
                  <m:endChr m:val=""/>
                  <m:ctrlPr>
                    <w:rPr>
                      <w:rFonts w:ascii="Cambria Math" w:hAnsi="Cambria Math"/>
                      <w:sz w:val="22"/>
                      <w:szCs w:val="22"/>
                    </w:rPr>
                  </m:ctrlPr>
                </m:dPr>
                <m:e>
                  <m:m>
                    <m:mPr>
                      <m:plcHide m:val="1"/>
                      <m:mcs>
                        <m:mc>
                          <m:mcPr>
                            <m:count m:val="2"/>
                            <m:mcJc m:val="left"/>
                          </m:mcPr>
                        </m:mc>
                      </m:mcs>
                      <m:ctrlPr>
                        <w:rPr>
                          <w:rFonts w:ascii="Cambria Math" w:hAnsi="Cambria Math"/>
                          <w:sz w:val="22"/>
                          <w:szCs w:val="22"/>
                        </w:rPr>
                      </m:ctrlPr>
                    </m:mPr>
                    <m:mr>
                      <m:e>
                        <m:r>
                          <m:rPr>
                            <m:sty m:val="p"/>
                          </m:rPr>
                          <w:rPr>
                            <w:rFonts w:ascii="Cambria Math" w:hAnsi="Cambria Math"/>
                            <w:sz w:val="22"/>
                            <w:szCs w:val="22"/>
                          </w:rPr>
                          <m:t>[</m:t>
                        </m:r>
                        <m:r>
                          <w:rPr>
                            <w:rFonts w:ascii="Cambria Math" w:hAnsi="Cambria Math"/>
                            <w:sz w:val="22"/>
                            <w:szCs w:val="22"/>
                          </w:rPr>
                          <m:t>M</m:t>
                        </m:r>
                        <m:r>
                          <m:rPr>
                            <m:sty m:val="p"/>
                          </m:rPr>
                          <w:rPr>
                            <w:rFonts w:ascii="Cambria Math" w:hAnsi="Cambria Math"/>
                            <w:sz w:val="22"/>
                            <w:szCs w:val="22"/>
                          </w:rPr>
                          <m:t xml:space="preserve"> ∙</m:t>
                        </m:r>
                        <m:d>
                          <m:dPr>
                            <m:ctrlPr>
                              <w:rPr>
                                <w:rFonts w:ascii="Cambria Math" w:hAnsi="Cambria Math"/>
                                <w:sz w:val="22"/>
                                <w:szCs w:val="22"/>
                              </w:rPr>
                            </m:ctrlPr>
                          </m:dPr>
                          <m:e>
                            <m:r>
                              <m:rPr>
                                <m:sty m:val="p"/>
                              </m:rPr>
                              <w:rPr>
                                <w:rFonts w:ascii="Cambria Math" w:hAnsi="Cambria Math"/>
                                <w:sz w:val="22"/>
                                <w:szCs w:val="22"/>
                              </w:rPr>
                              <m:t>1-</m:t>
                            </m:r>
                            <m:r>
                              <w:rPr>
                                <w:rFonts w:ascii="Cambria Math" w:hAnsi="Cambria Math"/>
                                <w:sz w:val="22"/>
                                <w:szCs w:val="22"/>
                              </w:rPr>
                              <m:t>p</m:t>
                            </m:r>
                          </m:e>
                        </m:d>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C</m:t>
                            </m:r>
                          </m:e>
                          <m:sub>
                            <m:r>
                              <m:rPr>
                                <m:nor/>
                              </m:rPr>
                              <w:rPr>
                                <w:sz w:val="22"/>
                                <w:szCs w:val="22"/>
                              </w:rPr>
                              <m:t>int,</m:t>
                            </m:r>
                            <m:r>
                              <m:rPr>
                                <m:nor/>
                              </m:rPr>
                              <w:rPr>
                                <w:rFonts w:ascii="Cambria Math"/>
                                <w:sz w:val="22"/>
                                <w:szCs w:val="22"/>
                              </w:rPr>
                              <m:t>m</m:t>
                            </m:r>
                          </m:sub>
                        </m:sSub>
                        <m:r>
                          <m:rPr>
                            <m:sty m:val="p"/>
                          </m:rPr>
                          <w:rPr>
                            <w:rFonts w:ascii="Cambria Math" w:hAnsi="Cambria Math"/>
                            <w:sz w:val="22"/>
                            <w:szCs w:val="22"/>
                          </w:rPr>
                          <m:t>+</m:t>
                        </m:r>
                        <m:r>
                          <w:rPr>
                            <w:rFonts w:ascii="Cambria Math" w:hAnsi="Cambria Math"/>
                            <w:sz w:val="22"/>
                            <w:szCs w:val="22"/>
                          </w:rPr>
                          <m:t>p</m:t>
                        </m:r>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C</m:t>
                            </m:r>
                          </m:e>
                          <m:sub>
                            <m:r>
                              <m:rPr>
                                <m:nor/>
                              </m:rPr>
                              <w:rPr>
                                <w:sz w:val="22"/>
                                <w:szCs w:val="22"/>
                              </w:rPr>
                              <m:t xml:space="preserve">anr,nm  </m:t>
                            </m:r>
                          </m:sub>
                        </m:sSub>
                        <m:r>
                          <m:rPr>
                            <m:sty m:val="p"/>
                          </m:rPr>
                          <w:rPr>
                            <w:rFonts w:ascii="Cambria Math" w:hAnsi="Cambria Math"/>
                            <w:sz w:val="22"/>
                            <w:szCs w:val="22"/>
                          </w:rPr>
                          <m:t>] +</m:t>
                        </m:r>
                        <m:d>
                          <m:dPr>
                            <m:ctrlPr>
                              <w:rPr>
                                <w:rFonts w:ascii="Cambria Math" w:hAnsi="Cambria Math"/>
                                <w:sz w:val="22"/>
                                <w:szCs w:val="22"/>
                              </w:rPr>
                            </m:ctrlPr>
                          </m:dPr>
                          <m:e>
                            <m:r>
                              <m:rPr>
                                <m:sty m:val="p"/>
                              </m:rPr>
                              <w:rPr>
                                <w:rFonts w:ascii="Cambria Math" w:hAnsi="Cambria Math"/>
                                <w:sz w:val="22"/>
                                <w:szCs w:val="22"/>
                              </w:rPr>
                              <m:t>1-M</m:t>
                            </m:r>
                          </m:e>
                        </m:d>
                        <m:r>
                          <m:rPr>
                            <m:sty m:val="p"/>
                          </m:rPr>
                          <w:rPr>
                            <w:rFonts w:ascii="Cambria Math" w:hAnsi="Cambria Math"/>
                            <w:sz w:val="22"/>
                            <w:szCs w:val="22"/>
                          </w:rPr>
                          <m:t>∙[</m:t>
                        </m:r>
                        <m:d>
                          <m:dPr>
                            <m:endChr m:val="]"/>
                            <m:ctrlPr>
                              <w:rPr>
                                <w:rFonts w:ascii="Cambria Math" w:hAnsi="Cambria Math"/>
                                <w:sz w:val="22"/>
                                <w:szCs w:val="22"/>
                              </w:rPr>
                            </m:ctrlPr>
                          </m:dPr>
                          <m:e>
                            <m:r>
                              <m:rPr>
                                <m:sty m:val="p"/>
                              </m:rPr>
                              <w:rPr>
                                <w:rFonts w:ascii="Cambria Math" w:hAnsi="Cambria Math"/>
                                <w:sz w:val="22"/>
                                <w:szCs w:val="22"/>
                              </w:rPr>
                              <m:t>1-</m:t>
                            </m:r>
                            <m:r>
                              <w:rPr>
                                <w:rFonts w:ascii="Cambria Math" w:hAnsi="Cambria Math"/>
                                <w:sz w:val="22"/>
                                <w:szCs w:val="22"/>
                              </w:rPr>
                              <m:t>p</m:t>
                            </m:r>
                          </m:e>
                        </m:d>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C</m:t>
                            </m:r>
                          </m:e>
                          <m:sub>
                            <m:r>
                              <w:rPr>
                                <w:rFonts w:ascii="Cambria Math" w:hAnsi="Cambria Math"/>
                                <w:sz w:val="22"/>
                                <w:szCs w:val="22"/>
                              </w:rPr>
                              <m:t>int</m:t>
                            </m:r>
                            <m:r>
                              <m:rPr>
                                <m:sty m:val="p"/>
                              </m:rPr>
                              <w:rPr>
                                <w:rFonts w:ascii="Cambria Math" w:hAnsi="Cambria Math"/>
                                <w:sz w:val="22"/>
                                <w:szCs w:val="22"/>
                              </w:rPr>
                              <m:t>,</m:t>
                            </m:r>
                            <m:r>
                              <w:rPr>
                                <w:rFonts w:ascii="Cambria Math" w:hAnsi="Cambria Math"/>
                                <w:sz w:val="22"/>
                                <w:szCs w:val="22"/>
                              </w:rPr>
                              <m:t>nm</m:t>
                            </m:r>
                          </m:sub>
                        </m:sSub>
                        <m:r>
                          <m:rPr>
                            <m:sty m:val="p"/>
                          </m:rPr>
                          <w:rPr>
                            <w:rFonts w:ascii="Cambria Math" w:hAnsi="Cambria Math"/>
                            <w:sz w:val="22"/>
                            <w:szCs w:val="22"/>
                          </w:rPr>
                          <m:t>+</m:t>
                        </m:r>
                        <m:r>
                          <w:rPr>
                            <w:rFonts w:ascii="Cambria Math" w:hAnsi="Cambria Math"/>
                            <w:sz w:val="22"/>
                            <w:szCs w:val="22"/>
                          </w:rPr>
                          <m:t>p</m:t>
                        </m:r>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C</m:t>
                            </m:r>
                          </m:e>
                          <m:sub>
                            <m:r>
                              <w:rPr>
                                <w:rFonts w:ascii="Cambria Math" w:hAnsi="Cambria Math"/>
                                <w:sz w:val="22"/>
                                <w:szCs w:val="22"/>
                              </w:rPr>
                              <m:t>anr</m:t>
                            </m:r>
                          </m:sub>
                        </m:sSub>
                        <m:sSub>
                          <m:sSubPr>
                            <m:ctrlPr>
                              <w:rPr>
                                <w:rFonts w:ascii="Cambria Math" w:hAnsi="Cambria Math"/>
                                <w:sz w:val="22"/>
                                <w:szCs w:val="22"/>
                              </w:rPr>
                            </m:ctrlPr>
                          </m:sSubPr>
                          <m:e>
                            <m:r>
                              <m:rPr>
                                <m:sty m:val="p"/>
                              </m:rPr>
                              <w:rPr>
                                <w:rFonts w:ascii="Cambria Math" w:hAnsi="Cambria Math"/>
                                <w:sz w:val="22"/>
                                <w:szCs w:val="22"/>
                              </w:rPr>
                              <m:t>,</m:t>
                            </m:r>
                          </m:e>
                          <m:sub>
                            <m:r>
                              <w:rPr>
                                <w:rFonts w:ascii="Cambria Math" w:hAnsi="Cambria Math"/>
                                <w:sz w:val="22"/>
                                <w:szCs w:val="22"/>
                              </w:rPr>
                              <m:t>nm</m:t>
                            </m:r>
                          </m:sub>
                        </m:sSub>
                        <m:r>
                          <m:rPr>
                            <m:sty m:val="p"/>
                          </m:rPr>
                          <w:rPr>
                            <w:rFonts w:ascii="Cambria Math" w:hAnsi="Cambria Math"/>
                            <w:sz w:val="22"/>
                            <w:szCs w:val="22"/>
                          </w:rPr>
                          <m:t>,</m:t>
                        </m:r>
                      </m:e>
                      <m:e>
                        <m:r>
                          <m:rPr>
                            <m:nor/>
                          </m:rPr>
                          <w:rPr>
                            <w:sz w:val="22"/>
                            <w:szCs w:val="22"/>
                          </w:rPr>
                          <m:t xml:space="preserve">if </m:t>
                        </m:r>
                        <m:r>
                          <w:rPr>
                            <w:rFonts w:ascii="Cambria Math" w:hAnsi="Cambria Math"/>
                            <w:sz w:val="22"/>
                            <w:szCs w:val="22"/>
                          </w:rPr>
                          <m:t>p</m:t>
                        </m:r>
                        <m:r>
                          <m:rPr>
                            <m:sty m:val="p"/>
                          </m:rPr>
                          <w:rPr>
                            <w:rFonts w:ascii="Cambria Math" w:hAnsi="Cambria Math"/>
                            <w:sz w:val="22"/>
                            <w:szCs w:val="22"/>
                          </w:rPr>
                          <m:t>≥0.5</m:t>
                        </m:r>
                      </m:e>
                    </m:mr>
                    <m:mr>
                      <m:e>
                        <m:r>
                          <m:rPr>
                            <m:sty m:val="p"/>
                          </m:rPr>
                          <w:rPr>
                            <w:rFonts w:ascii="Cambria Math" w:hAnsi="Cambria Math"/>
                            <w:sz w:val="22"/>
                            <w:szCs w:val="22"/>
                          </w:rPr>
                          <m:t>[</m:t>
                        </m:r>
                        <m:r>
                          <w:rPr>
                            <w:rFonts w:ascii="Cambria Math" w:hAnsi="Cambria Math"/>
                            <w:sz w:val="22"/>
                            <w:szCs w:val="22"/>
                          </w:rPr>
                          <m:t>M</m:t>
                        </m:r>
                        <m:r>
                          <m:rPr>
                            <m:sty m:val="p"/>
                          </m:rPr>
                          <w:rPr>
                            <w:rFonts w:ascii="Cambria Math" w:hAnsi="Cambria Math"/>
                            <w:sz w:val="22"/>
                            <w:szCs w:val="22"/>
                          </w:rPr>
                          <m:t xml:space="preserve"> ∙</m:t>
                        </m:r>
                        <m:d>
                          <m:dPr>
                            <m:ctrlPr>
                              <w:rPr>
                                <w:rFonts w:ascii="Cambria Math" w:hAnsi="Cambria Math"/>
                                <w:sz w:val="22"/>
                                <w:szCs w:val="22"/>
                              </w:rPr>
                            </m:ctrlPr>
                          </m:dPr>
                          <m:e>
                            <m:r>
                              <m:rPr>
                                <m:sty m:val="p"/>
                              </m:rPr>
                              <w:rPr>
                                <w:rFonts w:ascii="Cambria Math" w:hAnsi="Cambria Math"/>
                                <w:sz w:val="22"/>
                                <w:szCs w:val="22"/>
                              </w:rPr>
                              <m:t>1-</m:t>
                            </m:r>
                            <m:r>
                              <w:rPr>
                                <w:rFonts w:ascii="Cambria Math" w:hAnsi="Cambria Math"/>
                                <w:sz w:val="22"/>
                                <w:szCs w:val="22"/>
                              </w:rPr>
                              <m:t>p</m:t>
                            </m:r>
                          </m:e>
                        </m:d>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C</m:t>
                            </m:r>
                          </m:e>
                          <m:sub>
                            <m:r>
                              <m:rPr>
                                <m:nor/>
                              </m:rPr>
                              <w:rPr>
                                <w:sz w:val="22"/>
                                <w:szCs w:val="22"/>
                              </w:rPr>
                              <m:t>act,m</m:t>
                            </m:r>
                          </m:sub>
                        </m:sSub>
                        <m:r>
                          <m:rPr>
                            <m:sty m:val="p"/>
                          </m:rPr>
                          <w:rPr>
                            <w:rFonts w:ascii="Cambria Math" w:hAnsi="Cambria Math"/>
                            <w:sz w:val="22"/>
                            <w:szCs w:val="22"/>
                          </w:rPr>
                          <m:t>+</m:t>
                        </m:r>
                        <m:r>
                          <w:rPr>
                            <w:rFonts w:ascii="Cambria Math" w:hAnsi="Cambria Math"/>
                            <w:sz w:val="22"/>
                            <w:szCs w:val="22"/>
                          </w:rPr>
                          <m:t>p</m:t>
                        </m:r>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C</m:t>
                            </m:r>
                          </m:e>
                          <m:sub>
                            <m:r>
                              <m:rPr>
                                <m:nor/>
                              </m:rPr>
                              <w:rPr>
                                <w:sz w:val="22"/>
                                <w:szCs w:val="22"/>
                              </w:rPr>
                              <m:t>int,m]</m:t>
                            </m:r>
                          </m:sub>
                        </m:sSub>
                        <m:r>
                          <m:rPr>
                            <m:sty m:val="p"/>
                          </m:rPr>
                          <w:rPr>
                            <w:rFonts w:ascii="Cambria Math" w:hAnsi="Cambria Math"/>
                            <w:sz w:val="22"/>
                            <w:szCs w:val="22"/>
                          </w:rPr>
                          <m:t>] +</m:t>
                        </m:r>
                        <m:d>
                          <m:dPr>
                            <m:ctrlPr>
                              <w:rPr>
                                <w:rFonts w:ascii="Cambria Math" w:hAnsi="Cambria Math"/>
                                <w:sz w:val="22"/>
                                <w:szCs w:val="22"/>
                              </w:rPr>
                            </m:ctrlPr>
                          </m:dPr>
                          <m:e>
                            <m:r>
                              <m:rPr>
                                <m:sty m:val="p"/>
                              </m:rPr>
                              <w:rPr>
                                <w:rFonts w:ascii="Cambria Math" w:hAnsi="Cambria Math"/>
                                <w:sz w:val="22"/>
                                <w:szCs w:val="22"/>
                              </w:rPr>
                              <m:t>1-M</m:t>
                            </m:r>
                          </m:e>
                        </m:d>
                        <m:r>
                          <m:rPr>
                            <m:sty m:val="p"/>
                          </m:rPr>
                          <w:rPr>
                            <w:rFonts w:ascii="Cambria Math" w:hAnsi="Cambria Math"/>
                            <w:sz w:val="22"/>
                            <w:szCs w:val="22"/>
                          </w:rPr>
                          <m:t>∙[</m:t>
                        </m:r>
                        <m:d>
                          <m:dPr>
                            <m:endChr m:val="]"/>
                            <m:ctrlPr>
                              <w:rPr>
                                <w:rFonts w:ascii="Cambria Math" w:hAnsi="Cambria Math"/>
                                <w:sz w:val="22"/>
                                <w:szCs w:val="22"/>
                              </w:rPr>
                            </m:ctrlPr>
                          </m:dPr>
                          <m:e>
                            <m:r>
                              <m:rPr>
                                <m:sty m:val="p"/>
                              </m:rPr>
                              <w:rPr>
                                <w:rFonts w:ascii="Cambria Math" w:hAnsi="Cambria Math"/>
                                <w:sz w:val="22"/>
                                <w:szCs w:val="22"/>
                              </w:rPr>
                              <m:t>1-</m:t>
                            </m:r>
                            <m:r>
                              <w:rPr>
                                <w:rFonts w:ascii="Cambria Math" w:hAnsi="Cambria Math"/>
                                <w:sz w:val="22"/>
                                <w:szCs w:val="22"/>
                              </w:rPr>
                              <m:t>p</m:t>
                            </m:r>
                          </m:e>
                        </m:d>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C</m:t>
                            </m:r>
                          </m:e>
                          <m:sub>
                            <m:r>
                              <w:rPr>
                                <w:rFonts w:ascii="Cambria Math" w:hAnsi="Cambria Math"/>
                                <w:sz w:val="22"/>
                                <w:szCs w:val="22"/>
                              </w:rPr>
                              <m:t>act</m:t>
                            </m:r>
                            <m:r>
                              <m:rPr>
                                <m:sty m:val="p"/>
                              </m:rPr>
                              <w:rPr>
                                <w:rFonts w:ascii="Cambria Math" w:hAnsi="Cambria Math"/>
                                <w:sz w:val="22"/>
                                <w:szCs w:val="22"/>
                              </w:rPr>
                              <m:t>,</m:t>
                            </m:r>
                            <m:r>
                              <w:rPr>
                                <w:rFonts w:ascii="Cambria Math" w:hAnsi="Cambria Math"/>
                                <w:sz w:val="22"/>
                                <w:szCs w:val="22"/>
                              </w:rPr>
                              <m:t>nm</m:t>
                            </m:r>
                          </m:sub>
                        </m:sSub>
                        <m:r>
                          <m:rPr>
                            <m:sty m:val="p"/>
                          </m:rPr>
                          <w:rPr>
                            <w:rFonts w:ascii="Cambria Math" w:hAnsi="Cambria Math"/>
                            <w:sz w:val="22"/>
                            <w:szCs w:val="22"/>
                          </w:rPr>
                          <m:t>+</m:t>
                        </m:r>
                        <m:r>
                          <w:rPr>
                            <w:rFonts w:ascii="Cambria Math" w:hAnsi="Cambria Math"/>
                            <w:sz w:val="22"/>
                            <w:szCs w:val="22"/>
                          </w:rPr>
                          <m:t>p</m:t>
                        </m:r>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C</m:t>
                            </m:r>
                          </m:e>
                          <m:sub>
                            <m:r>
                              <w:rPr>
                                <w:rFonts w:ascii="Cambria Math" w:hAnsi="Cambria Math"/>
                                <w:sz w:val="22"/>
                                <w:szCs w:val="22"/>
                              </w:rPr>
                              <m:t>int</m:t>
                            </m:r>
                          </m:sub>
                        </m:sSub>
                        <m:sSub>
                          <m:sSubPr>
                            <m:ctrlPr>
                              <w:rPr>
                                <w:rFonts w:ascii="Cambria Math" w:hAnsi="Cambria Math"/>
                                <w:sz w:val="22"/>
                                <w:szCs w:val="22"/>
                              </w:rPr>
                            </m:ctrlPr>
                          </m:sSubPr>
                          <m:e>
                            <m:r>
                              <m:rPr>
                                <m:sty m:val="p"/>
                              </m:rPr>
                              <w:rPr>
                                <w:rFonts w:ascii="Cambria Math" w:hAnsi="Cambria Math"/>
                                <w:sz w:val="22"/>
                                <w:szCs w:val="22"/>
                              </w:rPr>
                              <m:t>,</m:t>
                            </m:r>
                          </m:e>
                          <m:sub>
                            <m:r>
                              <w:rPr>
                                <w:rFonts w:ascii="Cambria Math" w:hAnsi="Cambria Math"/>
                                <w:sz w:val="22"/>
                                <w:szCs w:val="22"/>
                              </w:rPr>
                              <m:t>nm</m:t>
                            </m:r>
                          </m:sub>
                        </m:sSub>
                        <m:r>
                          <m:rPr>
                            <m:sty m:val="p"/>
                          </m:rPr>
                          <w:rPr>
                            <w:rFonts w:ascii="Cambria Math" w:hAnsi="Cambria Math"/>
                            <w:sz w:val="22"/>
                            <w:szCs w:val="22"/>
                          </w:rPr>
                          <m:t>,</m:t>
                        </m:r>
                      </m:e>
                      <m:e>
                        <m:r>
                          <m:rPr>
                            <m:nor/>
                          </m:rPr>
                          <w:rPr>
                            <w:sz w:val="22"/>
                            <w:szCs w:val="22"/>
                          </w:rPr>
                          <m:t xml:space="preserve">if </m:t>
                        </m:r>
                        <m:r>
                          <w:rPr>
                            <w:rFonts w:ascii="Cambria Math" w:hAnsi="Cambria Math"/>
                            <w:sz w:val="22"/>
                            <w:szCs w:val="22"/>
                          </w:rPr>
                          <m:t>p</m:t>
                        </m:r>
                        <m:r>
                          <m:rPr>
                            <m:sty m:val="p"/>
                          </m:rPr>
                          <w:rPr>
                            <w:rFonts w:ascii="Cambria Math" w:hAnsi="Cambria Math"/>
                            <w:sz w:val="22"/>
                            <w:szCs w:val="22"/>
                          </w:rPr>
                          <m:t>&lt;0.5</m:t>
                        </m:r>
                      </m:e>
                    </m:mr>
                  </m:m>
                </m:e>
              </m:d>
              <m:r>
                <w:rPr>
                  <w:rFonts w:ascii="Cambria Math" w:hAnsi="Cambria Math"/>
                  <w:sz w:val="22"/>
                  <w:szCs w:val="22"/>
                </w:rPr>
                <m:t xml:space="preserve"> (#S12)</m:t>
              </m:r>
            </m:e>
          </m:eqArr>
        </m:oMath>
      </m:oMathPara>
    </w:p>
    <w:p w14:paraId="3277CCCD" w14:textId="12554683" w:rsidR="00D023FF" w:rsidRDefault="008D716A" w:rsidP="00841EB8">
      <w:pPr>
        <w:pStyle w:val="BodyText"/>
        <w:spacing w:line="360" w:lineRule="auto"/>
      </w:pPr>
      <w:r>
        <w:rPr>
          <w:lang w:val="en-GB"/>
        </w:rPr>
        <w:t>w</w:t>
      </w:r>
      <w:r w:rsidRPr="002E3E15">
        <w:rPr>
          <w:lang w:val="en-GB"/>
        </w:rPr>
        <w:t>here</w:t>
      </w:r>
      <w:r>
        <w:rPr>
          <w:lang w:val="en-GB"/>
        </w:rPr>
        <w:t xml:space="preserve"> </w:t>
      </w:r>
      <w:r w:rsidRPr="002E3E15">
        <w:rPr>
          <w:i/>
          <w:iCs/>
          <w:lang w:val="en-GB"/>
        </w:rPr>
        <w:t>r</w:t>
      </w:r>
      <w:r w:rsidRPr="002E3E15">
        <w:rPr>
          <w:lang w:val="en-GB"/>
        </w:rPr>
        <w:t xml:space="preserve"> is the total restoration cost per unit area</w:t>
      </w:r>
      <w:r>
        <w:rPr>
          <w:lang w:val="en-GB"/>
        </w:rPr>
        <w:t xml:space="preserve"> (USD ha</w:t>
      </w:r>
      <w:r w:rsidRPr="006F5463">
        <w:rPr>
          <w:vertAlign w:val="superscript"/>
          <w:lang w:val="en-GB"/>
        </w:rPr>
        <w:t>-1</w:t>
      </w:r>
      <w:r>
        <w:rPr>
          <w:lang w:val="en-GB"/>
        </w:rPr>
        <w:t xml:space="preserve">); </w:t>
      </w:r>
      <w:r w:rsidRPr="002738DA">
        <w:rPr>
          <w:i/>
          <w:iCs/>
          <w:lang w:val="en-GB"/>
        </w:rPr>
        <w:t>p</w:t>
      </w:r>
      <w:r w:rsidRPr="002738DA">
        <w:rPr>
          <w:lang w:val="en-GB"/>
        </w:rPr>
        <w:t xml:space="preserve"> is the</w:t>
      </w:r>
      <w:r w:rsidRPr="002E3E15">
        <w:rPr>
          <w:lang w:val="en-GB"/>
        </w:rPr>
        <w:t xml:space="preserve"> probability of natural regeneration</w:t>
      </w:r>
      <w:r>
        <w:rPr>
          <w:lang w:val="en-GB"/>
        </w:rPr>
        <w:t xml:space="preserve">; </w:t>
      </w:r>
      <w:r w:rsidRPr="002E3E15">
        <w:rPr>
          <w:i/>
          <w:iCs/>
          <w:lang w:val="en-GB"/>
        </w:rPr>
        <w:t>M</w:t>
      </w:r>
      <w:r w:rsidRPr="002E3E15">
        <w:rPr>
          <w:lang w:val="en-GB"/>
        </w:rPr>
        <w:t xml:space="preserve"> is a binary mechanization factor (</w:t>
      </w:r>
      <w:r w:rsidRPr="00EF2820">
        <w:rPr>
          <w:i/>
          <w:iCs/>
          <w:lang w:val="en-GB"/>
        </w:rPr>
        <w:t>M=1</w:t>
      </w:r>
      <w:r w:rsidRPr="002E3E15">
        <w:rPr>
          <w:lang w:val="en-GB"/>
        </w:rPr>
        <w:t xml:space="preserve"> for mechanized,</w:t>
      </w:r>
      <w:r w:rsidRPr="00EF2820">
        <w:rPr>
          <w:i/>
          <w:iCs/>
          <w:lang w:val="en-GB"/>
        </w:rPr>
        <w:t xml:space="preserve"> M=0</w:t>
      </w:r>
      <w:r>
        <w:rPr>
          <w:i/>
          <w:iCs/>
          <w:lang w:val="en-GB"/>
        </w:rPr>
        <w:t xml:space="preserve"> </w:t>
      </w:r>
      <w:r w:rsidRPr="002E3E15">
        <w:rPr>
          <w:lang w:val="en-GB"/>
        </w:rPr>
        <w:t>for non-mechanized restoration)</w:t>
      </w:r>
      <w:bookmarkStart w:id="13" w:name="_Hlk191541987"/>
      <w:r>
        <w:rPr>
          <w:lang w:val="en-GB"/>
        </w:rPr>
        <w:t xml:space="preserve">; </w:t>
      </w:r>
      <m:oMath>
        <m:sSub>
          <m:sSubPr>
            <m:ctrlPr>
              <w:rPr>
                <w:rFonts w:ascii="Cambria Math" w:hAnsi="Cambria Math"/>
                <w:sz w:val="22"/>
                <w:szCs w:val="22"/>
              </w:rPr>
            </m:ctrlPr>
          </m:sSubPr>
          <m:e>
            <m:r>
              <w:rPr>
                <w:rFonts w:ascii="Cambria Math" w:hAnsi="Cambria Math"/>
                <w:sz w:val="22"/>
                <w:szCs w:val="22"/>
              </w:rPr>
              <m:t>C</m:t>
            </m:r>
          </m:e>
          <m:sub>
            <m:r>
              <m:rPr>
                <m:nor/>
              </m:rPr>
              <w:rPr>
                <w:sz w:val="22"/>
                <w:szCs w:val="22"/>
              </w:rPr>
              <m:t>int,</m:t>
            </m:r>
            <m:r>
              <m:rPr>
                <m:nor/>
              </m:rPr>
              <w:rPr>
                <w:rFonts w:ascii="Cambria Math"/>
                <w:sz w:val="22"/>
                <w:szCs w:val="22"/>
              </w:rPr>
              <m:t>m</m:t>
            </m:r>
          </m:sub>
        </m:sSub>
      </m:oMath>
      <w:r>
        <w:rPr>
          <w:rFonts w:ascii="Arial" w:hAnsi="Arial" w:cs="Arial"/>
          <w:i/>
          <w:iCs/>
          <w:lang w:val="en-GB"/>
        </w:rPr>
        <w:t xml:space="preserve"> </w:t>
      </w:r>
      <w:r w:rsidRPr="00F023DE">
        <w:rPr>
          <w:rFonts w:cs="Arial"/>
          <w:lang w:val="en-GB"/>
        </w:rPr>
        <w:t>and</w:t>
      </w:r>
      <w:r w:rsidRPr="002738DA">
        <w:rPr>
          <w:rFonts w:ascii="Arial" w:hAnsi="Arial" w:cs="Arial"/>
          <w:i/>
          <w:iCs/>
          <w:lang w:val="en-GB"/>
        </w:rPr>
        <w:t xml:space="preserve"> </w:t>
      </w:r>
      <m:oMath>
        <m:sSub>
          <m:sSubPr>
            <m:ctrlPr>
              <w:rPr>
                <w:rFonts w:ascii="Cambria Math" w:hAnsi="Cambria Math"/>
                <w:sz w:val="22"/>
                <w:szCs w:val="22"/>
              </w:rPr>
            </m:ctrlPr>
          </m:sSubPr>
          <m:e>
            <m:r>
              <w:rPr>
                <w:rFonts w:ascii="Cambria Math" w:hAnsi="Cambria Math"/>
                <w:sz w:val="22"/>
                <w:szCs w:val="22"/>
              </w:rPr>
              <m:t>C</m:t>
            </m:r>
          </m:e>
          <m:sub>
            <m:r>
              <w:rPr>
                <w:rFonts w:ascii="Cambria Math" w:hAnsi="Cambria Math"/>
                <w:sz w:val="22"/>
                <w:szCs w:val="22"/>
              </w:rPr>
              <m:t>int</m:t>
            </m:r>
            <m:r>
              <m:rPr>
                <m:sty m:val="p"/>
              </m:rPr>
              <w:rPr>
                <w:rFonts w:ascii="Cambria Math" w:hAnsi="Cambria Math"/>
                <w:sz w:val="22"/>
                <w:szCs w:val="22"/>
              </w:rPr>
              <m:t>,</m:t>
            </m:r>
            <m:r>
              <w:rPr>
                <w:rFonts w:ascii="Cambria Math" w:hAnsi="Cambria Math"/>
                <w:sz w:val="22"/>
                <w:szCs w:val="22"/>
              </w:rPr>
              <m:t>nm</m:t>
            </m:r>
          </m:sub>
        </m:sSub>
      </m:oMath>
      <w:r w:rsidRPr="002738DA">
        <w:rPr>
          <w:lang w:val="en-GB"/>
        </w:rPr>
        <w:t xml:space="preserve"> are the costs associated with intermediate restoration</w:t>
      </w:r>
      <w:r>
        <w:rPr>
          <w:lang w:val="en-GB"/>
        </w:rPr>
        <w:t xml:space="preserve"> (mechanized and non-mechanized, respectively</w:t>
      </w:r>
      <w:bookmarkEnd w:id="13"/>
      <w:r>
        <w:rPr>
          <w:lang w:val="en-GB"/>
        </w:rPr>
        <w:t xml:space="preserve">);  </w:t>
      </w:r>
      <m:oMath>
        <m:sSub>
          <m:sSubPr>
            <m:ctrlPr>
              <w:rPr>
                <w:rFonts w:ascii="Cambria Math" w:hAnsi="Cambria Math"/>
                <w:sz w:val="22"/>
                <w:szCs w:val="22"/>
              </w:rPr>
            </m:ctrlPr>
          </m:sSubPr>
          <m:e>
            <m:r>
              <w:rPr>
                <w:rFonts w:ascii="Cambria Math" w:hAnsi="Cambria Math"/>
                <w:sz w:val="22"/>
                <w:szCs w:val="22"/>
              </w:rPr>
              <m:t>C</m:t>
            </m:r>
          </m:e>
          <m:sub>
            <m:r>
              <m:rPr>
                <m:nor/>
              </m:rPr>
              <w:rPr>
                <w:sz w:val="22"/>
                <w:szCs w:val="22"/>
              </w:rPr>
              <m:t xml:space="preserve">anr,nm  </m:t>
            </m:r>
          </m:sub>
        </m:sSub>
      </m:oMath>
      <w:r w:rsidR="004B37F4">
        <w:rPr>
          <w:lang w:val="en-GB"/>
        </w:rPr>
        <w:t>is</w:t>
      </w:r>
      <w:r w:rsidRPr="00044ADD">
        <w:rPr>
          <w:lang w:val="en-GB"/>
        </w:rPr>
        <w:t xml:space="preserve"> the costs associated with assisted natural regeneration</w:t>
      </w:r>
      <w:r>
        <w:rPr>
          <w:lang w:val="en-GB"/>
        </w:rPr>
        <w:t xml:space="preserve">; and </w:t>
      </w:r>
      <m:oMath>
        <m:sSub>
          <m:sSubPr>
            <m:ctrlPr>
              <w:rPr>
                <w:rFonts w:ascii="Cambria Math" w:hAnsi="Cambria Math"/>
                <w:sz w:val="22"/>
                <w:szCs w:val="22"/>
              </w:rPr>
            </m:ctrlPr>
          </m:sSubPr>
          <m:e>
            <m:r>
              <w:rPr>
                <w:rFonts w:ascii="Cambria Math" w:hAnsi="Cambria Math"/>
                <w:sz w:val="22"/>
                <w:szCs w:val="22"/>
              </w:rPr>
              <m:t>C</m:t>
            </m:r>
          </m:e>
          <m:sub>
            <m:r>
              <m:rPr>
                <m:nor/>
              </m:rPr>
              <w:rPr>
                <w:sz w:val="22"/>
                <w:szCs w:val="22"/>
              </w:rPr>
              <m:t>act,m</m:t>
            </m:r>
          </m:sub>
        </m:sSub>
      </m:oMath>
      <w:r>
        <w:rPr>
          <w:i/>
          <w:iCs/>
          <w:lang w:val="en-GB"/>
        </w:rPr>
        <w:t xml:space="preserve"> </w:t>
      </w:r>
      <w:r w:rsidRPr="00B146D7">
        <w:rPr>
          <w:rFonts w:cs="Arial"/>
          <w:lang w:val="en-GB"/>
        </w:rPr>
        <w:t>and</w:t>
      </w:r>
      <w:r w:rsidRPr="00FB7075">
        <w:rPr>
          <w:i/>
          <w:iCs/>
          <w:lang w:val="en-GB"/>
        </w:rPr>
        <w:t xml:space="preserve"> </w:t>
      </w:r>
      <m:oMath>
        <m:sSub>
          <m:sSubPr>
            <m:ctrlPr>
              <w:rPr>
                <w:rFonts w:ascii="Cambria Math" w:hAnsi="Cambria Math"/>
                <w:sz w:val="22"/>
                <w:szCs w:val="22"/>
              </w:rPr>
            </m:ctrlPr>
          </m:sSubPr>
          <m:e>
            <m:r>
              <w:rPr>
                <w:rFonts w:ascii="Cambria Math" w:hAnsi="Cambria Math"/>
                <w:sz w:val="22"/>
                <w:szCs w:val="22"/>
              </w:rPr>
              <m:t>C</m:t>
            </m:r>
          </m:e>
          <m:sub>
            <m:r>
              <w:rPr>
                <w:rFonts w:ascii="Cambria Math" w:hAnsi="Cambria Math"/>
                <w:sz w:val="22"/>
                <w:szCs w:val="22"/>
              </w:rPr>
              <m:t>act</m:t>
            </m:r>
            <m:r>
              <m:rPr>
                <m:sty m:val="p"/>
              </m:rPr>
              <w:rPr>
                <w:rFonts w:ascii="Cambria Math" w:hAnsi="Cambria Math"/>
                <w:sz w:val="22"/>
                <w:szCs w:val="22"/>
              </w:rPr>
              <m:t>,</m:t>
            </m:r>
            <m:r>
              <w:rPr>
                <w:rFonts w:ascii="Cambria Math" w:hAnsi="Cambria Math"/>
                <w:sz w:val="22"/>
                <w:szCs w:val="22"/>
              </w:rPr>
              <m:t>nm</m:t>
            </m:r>
          </m:sub>
        </m:sSub>
      </m:oMath>
      <w:r w:rsidRPr="00F565EC">
        <w:rPr>
          <w:lang w:val="en-GB"/>
        </w:rPr>
        <w:t xml:space="preserve"> are the costs </w:t>
      </w:r>
      <w:r w:rsidRPr="00F565EC">
        <w:rPr>
          <w:lang w:val="en-GB"/>
        </w:rPr>
        <w:lastRenderedPageBreak/>
        <w:t xml:space="preserve">associated with </w:t>
      </w:r>
      <w:r>
        <w:rPr>
          <w:lang w:val="en-GB"/>
        </w:rPr>
        <w:t>active</w:t>
      </w:r>
      <w:r w:rsidRPr="00F565EC">
        <w:rPr>
          <w:lang w:val="en-GB"/>
        </w:rPr>
        <w:t xml:space="preserve"> restoration </w:t>
      </w:r>
      <w:r w:rsidRPr="00B05FF0">
        <w:t>(</w:t>
      </w:r>
      <w:r w:rsidR="002D5652">
        <w:rPr>
          <w:highlight w:val="yellow"/>
        </w:rPr>
        <w:fldChar w:fldCharType="begin"/>
      </w:r>
      <w:r w:rsidR="002D5652">
        <w:instrText xml:space="preserve"> REF _Ref213764109 \h </w:instrText>
      </w:r>
      <w:r w:rsidR="002D5652">
        <w:rPr>
          <w:highlight w:val="yellow"/>
        </w:rPr>
      </w:r>
      <w:r w:rsidR="002D5652">
        <w:rPr>
          <w:highlight w:val="yellow"/>
        </w:rPr>
        <w:fldChar w:fldCharType="separate"/>
      </w:r>
      <w:r w:rsidR="002D5652" w:rsidRPr="00A23202">
        <w:t>Supp</w:t>
      </w:r>
      <w:r w:rsidR="00D73754">
        <w:t>lementary</w:t>
      </w:r>
      <w:r w:rsidR="002D5652" w:rsidRPr="00A23202">
        <w:t xml:space="preserve"> Fig</w:t>
      </w:r>
      <w:r w:rsidR="002D5652">
        <w:t>.</w:t>
      </w:r>
      <w:r w:rsidR="002D5652" w:rsidRPr="00A23202">
        <w:t xml:space="preserve"> </w:t>
      </w:r>
      <w:r w:rsidR="002D5652">
        <w:rPr>
          <w:noProof/>
        </w:rPr>
        <w:t>2</w:t>
      </w:r>
      <w:r w:rsidR="002D5652">
        <w:rPr>
          <w:highlight w:val="yellow"/>
        </w:rPr>
        <w:fldChar w:fldCharType="end"/>
      </w:r>
      <w:r w:rsidR="00C028AE">
        <w:t>E</w:t>
      </w:r>
      <w:r w:rsidRPr="00B05FF0">
        <w:t>)</w:t>
      </w:r>
      <w:r>
        <w:rPr>
          <w:lang w:val="en-GB"/>
        </w:rPr>
        <w:t xml:space="preserve">. </w:t>
      </w:r>
      <w:r>
        <w:t>We assumed me</w:t>
      </w:r>
      <w:r w:rsidRPr="00087A49">
        <w:t xml:space="preserve">chanized restoration to be feasible in areas with </w:t>
      </w:r>
      <w:proofErr w:type="gramStart"/>
      <w:r w:rsidRPr="00087A49">
        <w:t>slopes ≤ 20</w:t>
      </w:r>
      <w:proofErr w:type="gramEnd"/>
      <w:r w:rsidRPr="00087A49">
        <w:t xml:space="preserve">%. </w:t>
      </w:r>
      <w:r w:rsidR="00047A6D" w:rsidRPr="000400D5">
        <w:t xml:space="preserve">We generated </w:t>
      </w:r>
      <w:r w:rsidR="00A611A2" w:rsidRPr="000400D5">
        <w:t>a</w:t>
      </w:r>
      <w:r w:rsidR="00047A6D" w:rsidRPr="000400D5">
        <w:t xml:space="preserve"> </w:t>
      </w:r>
      <w:r w:rsidR="00A611A2" w:rsidRPr="000400D5">
        <w:t>probability</w:t>
      </w:r>
      <w:r w:rsidR="001661C9" w:rsidRPr="000400D5">
        <w:t xml:space="preserve"> for natural regeneration</w:t>
      </w:r>
      <w:r w:rsidR="00D95573">
        <w:t xml:space="preserve"> (</w:t>
      </w:r>
      <w:r w:rsidR="00D95573" w:rsidRPr="00D95573">
        <w:rPr>
          <w:i/>
          <w:iCs/>
        </w:rPr>
        <w:t>p</w:t>
      </w:r>
      <w:r w:rsidR="00D95573">
        <w:t>)</w:t>
      </w:r>
      <w:r w:rsidR="00354184" w:rsidRPr="000400D5">
        <w:t xml:space="preserve"> </w:t>
      </w:r>
      <w:r w:rsidR="00A611A2" w:rsidRPr="000400D5">
        <w:t xml:space="preserve">layer </w:t>
      </w:r>
      <w:r w:rsidR="00354184" w:rsidRPr="000400D5">
        <w:t xml:space="preserve">following </w:t>
      </w:r>
      <w:r w:rsidR="0063319C">
        <w:t>Williams et al</w:t>
      </w:r>
      <w:r w:rsidR="00354184" w:rsidRPr="000400D5">
        <w:t xml:space="preserve">. </w:t>
      </w:r>
      <w:r w:rsidR="00354184" w:rsidRPr="000400D5">
        <w:fldChar w:fldCharType="begin"/>
      </w:r>
      <w:r w:rsidR="00666A67">
        <w:instrText xml:space="preserve"> ADDIN ZOTERO_ITEM CSL_CITATION {"citationID":"MKF7B3qh","properties":{"formattedCitation":"\\super 14\\nosupersub{}","plainCitation":"14","noteIndex":0},"citationItems":[{"id":6632,"uris":["http://zotero.org/users/3309187/items/CJ2J9I6H"],"itemData":{"id":6632,"type":"article-journal","abstract":"Extensive forest restoration is a key strategy to meet nature-based sustainable development goals and provide multiple social and environmental benefits1. Yet achieving forest restoration at scale requires cost-effective methods2. Tree planting in degraded landscapes is a popular but costly forest restoration method that often results in less biodiverse forests when compared to natural regeneration techniques under similar conditions3. Here we assess the current spatial distribution of pantropical natural forest (from 2000 to 2016) and use this to present a model of the potential for natural regeneration across tropical forested countries and biomes at a spatial resolution of 30 m. We estimate that an area of 215</w:instrText>
      </w:r>
      <w:r w:rsidR="00666A67">
        <w:rPr>
          <w:rFonts w:ascii="Arial" w:hAnsi="Arial" w:cs="Arial"/>
        </w:rPr>
        <w:instrText> </w:instrText>
      </w:r>
      <w:r w:rsidR="00666A67">
        <w:instrText>million hectares—an area greater than the entire country of Mexico—has potential for natural forest regeneration, representing an above-ground carbon sequestration potential of 23.4</w:instrText>
      </w:r>
      <w:r w:rsidR="00666A67">
        <w:rPr>
          <w:rFonts w:ascii="Arial" w:hAnsi="Arial" w:cs="Arial"/>
        </w:rPr>
        <w:instrText> </w:instrText>
      </w:r>
      <w:r w:rsidR="00666A67">
        <w:instrText>Gt C (range, 21.1</w:instrText>
      </w:r>
      <w:r w:rsidR="00666A67">
        <w:rPr>
          <w:rFonts w:ascii="Aptos" w:hAnsi="Aptos" w:cs="Aptos"/>
        </w:rPr>
        <w:instrText>–</w:instrText>
      </w:r>
      <w:r w:rsidR="00666A67">
        <w:instrText>25.7</w:instrText>
      </w:r>
      <w:r w:rsidR="00666A67">
        <w:rPr>
          <w:rFonts w:ascii="Arial" w:hAnsi="Arial" w:cs="Arial"/>
        </w:rPr>
        <w:instrText> </w:instrText>
      </w:r>
      <w:r w:rsidR="00666A67">
        <w:instrText>Gt) over 30</w:instrText>
      </w:r>
      <w:r w:rsidR="00666A67">
        <w:rPr>
          <w:rFonts w:ascii="Arial" w:hAnsi="Arial" w:cs="Arial"/>
        </w:rPr>
        <w:instrText> </w:instrText>
      </w:r>
      <w:r w:rsidR="00666A67">
        <w:instrText xml:space="preserve">years. Five countries (Brazil, Indonesia, China, Mexico and Colombia) account for 52% of this estimated potential, showcasing the need for targeting restoration initiatives that leverage natural regeneration potential. Our results facilitate broader equitable decision-making processes that capitalize on the widespread opportunity for natural regeneration to help achieve national and global environmental agendas.","container-title":"Nature","DOI":"10.1038/s41586-024-08106-4","ISSN":"1476-4687","language":"en","license":"2024 The Author(s)","page":"1-7","publisher":"Nature Publishing Group","source":"www.nature.com","title":"Global potential for natural regeneration in deforested tropical regions","author":[{"family":"Williams","given":"Brooke A."},{"family":"Beyer","given":"Hawthorne L."},{"family":"Fagan","given":"Matthew E."},{"family":"Chazdon","given":"Robin L."},{"family":"Schmoeller","given":"Marina"},{"family":"Sprenkle-Hyppolite","given":"Starry"},{"family":"Griscom","given":"Bronson W."},{"family":"Watson","given":"James E. M."},{"family":"Tedesco","given":"Anazélia M."},{"family":"Gonzalez-Roglich","given":"Mariano"},{"family":"Daldegan","given":"Gabriel A."},{"family":"Bodin","given":"Blaise"},{"family":"Celentano","given":"Danielle"},{"family":"Wilson","given":"Sarah Jane"},{"family":"Rhodes","given":"Jonathan R."},{"family":"Alexandre","given":"Nikola S."},{"family":"Kim","given":"Do-Hyung"},{"family":"Bastos","given":"Diego"},{"family":"Crouzeilles","given":"Renato"}],"issued":{"date-parts":[["2024",10,30]]}},"label":"page","suppress-author":true}],"schema":"https://github.com/citation-style-language/schema/raw/master/csl-citation.json"} </w:instrText>
      </w:r>
      <w:r w:rsidR="00354184" w:rsidRPr="000400D5">
        <w:fldChar w:fldCharType="separate"/>
      </w:r>
      <w:r w:rsidR="00666A67" w:rsidRPr="00666A67">
        <w:rPr>
          <w:rFonts w:ascii="Aptos" w:hAnsi="Aptos" w:cs="Times New Roman"/>
          <w:vertAlign w:val="superscript"/>
        </w:rPr>
        <w:t>14</w:t>
      </w:r>
      <w:r w:rsidR="00354184" w:rsidRPr="000400D5">
        <w:fldChar w:fldCharType="end"/>
      </w:r>
      <w:r w:rsidR="000400D5" w:rsidRPr="000400D5">
        <w:t xml:space="preserve"> according to the methodology described in the section</w:t>
      </w:r>
      <w:r w:rsidR="002E5328">
        <w:t xml:space="preserve"> “</w:t>
      </w:r>
      <w:r w:rsidR="002E5328" w:rsidRPr="002E5328">
        <w:rPr>
          <w:i/>
          <w:iCs/>
        </w:rPr>
        <w:t>Modelling the probability of natural regeneration</w:t>
      </w:r>
      <w:r w:rsidR="002E5328">
        <w:t>”</w:t>
      </w:r>
      <w:r w:rsidR="000400D5" w:rsidRPr="000400D5">
        <w:t>.</w:t>
      </w:r>
      <w:r w:rsidR="00F71D90">
        <w:t xml:space="preserve"> Although restoration cost parameters (</w:t>
      </w:r>
      <w:proofErr w:type="gramStart"/>
      <w:r w:rsidR="00F71D90">
        <w:rPr>
          <w:rFonts w:ascii="Cambria Math" w:hAnsi="Cambria Math" w:cs="Cambria Math"/>
        </w:rPr>
        <w:t>𝐶</w:t>
      </w:r>
      <w:r w:rsidR="00F71D90">
        <w:t>) are</w:t>
      </w:r>
      <w:proofErr w:type="gramEnd"/>
      <w:r w:rsidR="00F71D90">
        <w:t xml:space="preserve"> biome-specific, Eq. (S12) is evaluated at the cell level by assigning the corresponding biome-level costs to each cell, while </w:t>
      </w:r>
      <w:proofErr w:type="gramStart"/>
      <w:r w:rsidR="00F71D90">
        <w:t xml:space="preserve">allowing </w:t>
      </w:r>
      <w:r w:rsidR="00F71D90">
        <w:rPr>
          <w:rFonts w:ascii="Cambria Math" w:hAnsi="Cambria Math" w:cs="Cambria Math"/>
        </w:rPr>
        <w:t xml:space="preserve">𝑝 </w:t>
      </w:r>
      <w:r w:rsidR="00F71D90">
        <w:t xml:space="preserve">and </w:t>
      </w:r>
      <w:r w:rsidR="00F71D90">
        <w:rPr>
          <w:rFonts w:ascii="Cambria Math" w:hAnsi="Cambria Math" w:cs="Cambria Math"/>
        </w:rPr>
        <w:t>𝑀</w:t>
      </w:r>
      <w:proofErr w:type="gramEnd"/>
      <w:r w:rsidR="00F71D90">
        <w:t xml:space="preserve"> to vary spatially across cells.</w:t>
      </w:r>
    </w:p>
    <w:p w14:paraId="1570B53A" w14:textId="4B2DA34E" w:rsidR="000B2EC5" w:rsidRPr="00D004D5" w:rsidRDefault="001624EE" w:rsidP="00841EB8">
      <w:pPr>
        <w:pStyle w:val="Heading3"/>
        <w:spacing w:line="360" w:lineRule="auto"/>
      </w:pPr>
      <w:bookmarkStart w:id="14" w:name="_Toc225254930"/>
      <w:r>
        <w:t>M</w:t>
      </w:r>
      <w:r w:rsidR="00210346">
        <w:t>odelling the probability of n</w:t>
      </w:r>
      <w:r w:rsidR="00C96CE4" w:rsidRPr="00D004D5">
        <w:t>atural regeneration</w:t>
      </w:r>
      <w:bookmarkEnd w:id="14"/>
      <w:r w:rsidR="00F875B1" w:rsidRPr="00D004D5">
        <w:t xml:space="preserve"> </w:t>
      </w:r>
    </w:p>
    <w:p w14:paraId="799BAAAD" w14:textId="5E1FDE4F" w:rsidR="00CA7E02" w:rsidRDefault="00E661EE" w:rsidP="00841EB8">
      <w:pPr>
        <w:spacing w:before="120" w:after="120" w:line="360" w:lineRule="auto"/>
      </w:pPr>
      <w:r w:rsidRPr="00E661EE">
        <w:t>The probability that a human-degraded area recovers to its natural state is determined by key drivers of restoration success, most notably disturbance type (e.g. selective logging versus high-intensity agricultural activities) and landscape context (e.g. forest cover, fragmentation, and distance to existing forests)</w:t>
      </w:r>
      <w:r w:rsidR="003F48A2">
        <w:fldChar w:fldCharType="begin"/>
      </w:r>
      <w:r w:rsidR="00666A67">
        <w:instrText xml:space="preserve"> ADDIN ZOTERO_ITEM CSL_CITATION {"citationID":"G3QBr3Ng","properties":{"formattedCitation":"\\super 14\\uc0\\u8211{}16\\nosupersub{}","plainCitation":"14–16","noteIndex":0},"citationItems":[{"id":6632,"uris":["http://zotero.org/users/3309187/items/CJ2J9I6H"],"itemData":{"id":6632,"type":"article-journal","abstract":"Extensive forest restoration is a key strategy to meet nature-based sustainable development goals and provide multiple social and environmental benefits1. Yet achieving forest restoration at scale requires cost-effective methods2. Tree planting in degraded landscapes is a popular but costly forest restoration method that often results in less biodiverse forests when compared to natural regeneration techniques under similar conditions3. Here we assess the current spatial distribution of pantropical natural forest (from 2000 to 2016) and use this to present a model of the potential for natural regeneration across tropical forested countries and biomes at a spatial resolution of 30 m. We estimate that an area of 215</w:instrText>
      </w:r>
      <w:r w:rsidR="00666A67">
        <w:rPr>
          <w:rFonts w:ascii="Arial" w:hAnsi="Arial" w:cs="Arial"/>
        </w:rPr>
        <w:instrText> </w:instrText>
      </w:r>
      <w:r w:rsidR="00666A67">
        <w:instrText>million hectares</w:instrText>
      </w:r>
      <w:r w:rsidR="00666A67">
        <w:rPr>
          <w:rFonts w:ascii="Aptos" w:hAnsi="Aptos" w:cs="Aptos"/>
        </w:rPr>
        <w:instrText>—</w:instrText>
      </w:r>
      <w:r w:rsidR="00666A67">
        <w:instrText>an area greater than the entire country of Mexico</w:instrText>
      </w:r>
      <w:r w:rsidR="00666A67">
        <w:rPr>
          <w:rFonts w:ascii="Aptos" w:hAnsi="Aptos" w:cs="Aptos"/>
        </w:rPr>
        <w:instrText>—</w:instrText>
      </w:r>
      <w:r w:rsidR="00666A67">
        <w:instrText>has potential for natural forest regeneration, representing an above-ground carbon sequestration potential of 23.4</w:instrText>
      </w:r>
      <w:r w:rsidR="00666A67">
        <w:rPr>
          <w:rFonts w:ascii="Arial" w:hAnsi="Arial" w:cs="Arial"/>
        </w:rPr>
        <w:instrText> </w:instrText>
      </w:r>
      <w:r w:rsidR="00666A67">
        <w:instrText>Gt C (range, 21.1</w:instrText>
      </w:r>
      <w:r w:rsidR="00666A67">
        <w:rPr>
          <w:rFonts w:ascii="Aptos" w:hAnsi="Aptos" w:cs="Aptos"/>
        </w:rPr>
        <w:instrText>–</w:instrText>
      </w:r>
      <w:r w:rsidR="00666A67">
        <w:instrText>25.7</w:instrText>
      </w:r>
      <w:r w:rsidR="00666A67">
        <w:rPr>
          <w:rFonts w:ascii="Arial" w:hAnsi="Arial" w:cs="Arial"/>
        </w:rPr>
        <w:instrText> </w:instrText>
      </w:r>
      <w:r w:rsidR="00666A67">
        <w:instrText>Gt) over 30</w:instrText>
      </w:r>
      <w:r w:rsidR="00666A67">
        <w:rPr>
          <w:rFonts w:ascii="Arial" w:hAnsi="Arial" w:cs="Arial"/>
        </w:rPr>
        <w:instrText> </w:instrText>
      </w:r>
      <w:r w:rsidR="00666A67">
        <w:instrText xml:space="preserve">years. Five countries (Brazil, Indonesia, China, Mexico and Colombia) account for 52% of this estimated potential, showcasing the need for targeting restoration initiatives that leverage natural regeneration potential. Our results facilitate broader equitable decision-making processes that capitalize on the widespread opportunity for natural regeneration to help achieve national and global environmental agendas.","container-title":"Nature","DOI":"10.1038/s41586-024-08106-4","ISSN":"1476-4687","language":"en","license":"2024 The Author(s)","page":"1-7","publisher":"Nature Publishing Group","source":"www.nature.com","title":"Global potential for natural regeneration in deforested tropical regions","author":[{"family":"Williams","given":"Brooke A."},{"family":"Beyer","given":"Hawthorne L."},{"family":"Fagan","given":"Matthew E."},{"family":"Chazdon","given":"Robin L."},{"family":"Schmoeller","given":"Marina"},{"family":"Sprenkle-Hyppolite","given":"Starry"},{"family":"Griscom","given":"Bronson W."},{"family":"Watson","given":"James E. M."},{"family":"Tedesco","given":"Anazélia M."},{"family":"Gonzalez-Roglich","given":"Mariano"},{"family":"Daldegan","given":"Gabriel A."},{"family":"Bodin","given":"Blaise"},{"family":"Celentano","given":"Danielle"},{"family":"Wilson","given":"Sarah Jane"},{"family":"Rhodes","given":"Jonathan R."},{"family":"Alexandre","given":"Nikola S."},{"family":"Kim","given":"Do-Hyung"},{"family":"Bastos","given":"Diego"},{"family":"Crouzeilles","given":"Renato"}],"issued":{"date-parts":[["2024",10,30]]}}},{"id":7605,"uris":["http://zotero.org/users/3309187/items/JTSY9YW2"],"itemData":{"id":7605,"type":"article-journal","abstract":"Two billion ha have been identified globally for forest restoration. Our meta-analysis encompassing 221 study landscapes worldwide reveals forest restoration enhances biodiversity by 15–84% and vegetation structure by 36–77%, compared with degraded ecosystems. For the first time, we identify the main ecological drivers of forest restoration success (defined as a return to a reference condition, that is, old-growth forest) at both the local and landscape scale. These are as follows: the time elapsed since restoration began, disturbance type and landscape context. The time elapsed since restoration began strongly drives restoration success in secondary forests, but not in selectively logged forests (which are more ecologically similar to reference systems). Landscape restoration will be most successful when previous disturbance is less intensive and habitat is less fragmented in the landscape. Restoration does not result in full recovery of biodiversity and vegetation structure, but can complement old-growth forests if there is sufficient time for ecological succession.","container-title":"Nature Communications","DOI":"10.1038/ncomms11666","ISSN":"2041-1723","issue":"1","journalAbbreviation":"Nat Commun","language":"en","license":"2016 The Author(s)","page":"11666","publisher":"Nature Publishing Group","source":"www.nature.com","title":"A global meta-analysis on the ecological drivers of forest restoration success","volume":"7","author":[{"family":"Crouzeilles","given":"Renato"},{"family":"Curran","given":"Michael"},{"family":"Ferreira","given":"Mariana S."},{"family":"Lindenmayer","given":"David B."},{"family":"Grelle","given":"Carlos E. V."},{"family":"Rey Benayas","given":"José M."}],"issued":{"date-parts":[["2016",5,19]]}}},{"id":869,"uris":["http://zotero.org/users/3309187/items/MRZBRU43"],"itemData":{"id":869,"type":"article-journal","container-title":"Biotropica","DOI":"10.1111/btp.12381","ISSN":"00063606","issue":"6","language":"en","page":"716-730","source":"CrossRef","title":"Natural regeneration as a tool for large-scale forest restoration in the tropics: prospects and challenges","title-short":"Natural regeneration as a tool for large-scale forest restoration in the tropics","volume":"48","author":[{"family":"Chazdon","given":"Robin L."},{"family":"Guariguata","given":"Manuel R."}],"issued":{"date-parts":[["2016",11]]}}}],"schema":"https://github.com/citation-style-language/schema/raw/master/csl-citation.json"} </w:instrText>
      </w:r>
      <w:r w:rsidR="003F48A2">
        <w:fldChar w:fldCharType="separate"/>
      </w:r>
      <w:r w:rsidR="00666A67" w:rsidRPr="00666A67">
        <w:rPr>
          <w:rFonts w:ascii="Aptos" w:hAnsi="Aptos" w:cs="Times New Roman"/>
          <w:kern w:val="0"/>
          <w:vertAlign w:val="superscript"/>
        </w:rPr>
        <w:t>14–16</w:t>
      </w:r>
      <w:r w:rsidR="003F48A2">
        <w:fldChar w:fldCharType="end"/>
      </w:r>
      <w:r w:rsidR="003F48A2">
        <w:t xml:space="preserve">. </w:t>
      </w:r>
      <w:r w:rsidR="002F18C9" w:rsidRPr="002F18C9">
        <w:t xml:space="preserve">To map the probability of natural regeneration across Brazil, we adapted the modelling framework developed by </w:t>
      </w:r>
      <w:r w:rsidR="000E79F3">
        <w:t>Williams et al.</w:t>
      </w:r>
      <w:r w:rsidR="00110225">
        <w:t xml:space="preserve"> </w:t>
      </w:r>
      <w:r w:rsidR="000005E3">
        <w:fldChar w:fldCharType="begin"/>
      </w:r>
      <w:r w:rsidR="00666A67">
        <w:instrText xml:space="preserve"> ADDIN ZOTERO_ITEM CSL_CITATION {"citationID":"sgqTurIT","properties":{"formattedCitation":"\\super 14\\nosupersub{}","plainCitation":"14","noteIndex":0},"citationItems":[{"id":6632,"uris":["http://zotero.org/users/3309187/items/CJ2J9I6H"],"itemData":{"id":6632,"type":"article-journal","abstract":"Extensive forest restoration is a key strategy to meet nature-based sustainable development goals and provide multiple social and environmental benefits1. Yet achieving forest restoration at scale requires cost-effective methods2. Tree planting in degraded landscapes is a popular but costly forest restoration method that often results in less biodiverse forests when compared to natural regeneration techniques under similar conditions3. Here we assess the current spatial distribution of pantropical natural forest (from 2000 to 2016) and use this to present a model of the potential for natural regeneration across tropical forested countries and biomes at a spatial resolution of 30 m. We estimate that an area of 215</w:instrText>
      </w:r>
      <w:r w:rsidR="00666A67">
        <w:rPr>
          <w:rFonts w:ascii="Arial" w:hAnsi="Arial" w:cs="Arial"/>
        </w:rPr>
        <w:instrText> </w:instrText>
      </w:r>
      <w:r w:rsidR="00666A67">
        <w:instrText>million hectares—an area greater than the entire country of Mexico—has potential for natural forest regeneration, representing an above-ground carbon sequestration potential of 23.4</w:instrText>
      </w:r>
      <w:r w:rsidR="00666A67">
        <w:rPr>
          <w:rFonts w:ascii="Arial" w:hAnsi="Arial" w:cs="Arial"/>
        </w:rPr>
        <w:instrText> </w:instrText>
      </w:r>
      <w:r w:rsidR="00666A67">
        <w:instrText>Gt C (range, 21.1</w:instrText>
      </w:r>
      <w:r w:rsidR="00666A67">
        <w:rPr>
          <w:rFonts w:ascii="Aptos" w:hAnsi="Aptos" w:cs="Aptos"/>
        </w:rPr>
        <w:instrText>–</w:instrText>
      </w:r>
      <w:r w:rsidR="00666A67">
        <w:instrText>25.7</w:instrText>
      </w:r>
      <w:r w:rsidR="00666A67">
        <w:rPr>
          <w:rFonts w:ascii="Arial" w:hAnsi="Arial" w:cs="Arial"/>
        </w:rPr>
        <w:instrText> </w:instrText>
      </w:r>
      <w:r w:rsidR="00666A67">
        <w:instrText>Gt) over 30</w:instrText>
      </w:r>
      <w:r w:rsidR="00666A67">
        <w:rPr>
          <w:rFonts w:ascii="Arial" w:hAnsi="Arial" w:cs="Arial"/>
        </w:rPr>
        <w:instrText> </w:instrText>
      </w:r>
      <w:r w:rsidR="00666A67">
        <w:instrText xml:space="preserve">years. Five countries (Brazil, Indonesia, China, Mexico and Colombia) account for 52% of this estimated potential, showcasing the need for targeting restoration initiatives that leverage natural regeneration potential. Our results facilitate broader equitable decision-making processes that capitalize on the widespread opportunity for natural regeneration to help achieve national and global environmental agendas.","container-title":"Nature","DOI":"10.1038/s41586-024-08106-4","ISSN":"1476-4687","language":"en","license":"2024 The Author(s)","page":"1-7","publisher":"Nature Publishing Group","source":"www.nature.com","title":"Global potential for natural regeneration in deforested tropical regions","author":[{"family":"Williams","given":"Brooke A."},{"family":"Beyer","given":"Hawthorne L."},{"family":"Fagan","given":"Matthew E."},{"family":"Chazdon","given":"Robin L."},{"family":"Schmoeller","given":"Marina"},{"family":"Sprenkle-Hyppolite","given":"Starry"},{"family":"Griscom","given":"Bronson W."},{"family":"Watson","given":"James E. M."},{"family":"Tedesco","given":"Anazélia M."},{"family":"Gonzalez-Roglich","given":"Mariano"},{"family":"Daldegan","given":"Gabriel A."},{"family":"Bodin","given":"Blaise"},{"family":"Celentano","given":"Danielle"},{"family":"Wilson","given":"Sarah Jane"},{"family":"Rhodes","given":"Jonathan R."},{"family":"Alexandre","given":"Nikola S."},{"family":"Kim","given":"Do-Hyung"},{"family":"Bastos","given":"Diego"},{"family":"Crouzeilles","given":"Renato"}],"issued":{"date-parts":[["2024",10,30]]}},"label":"page","suppress-author":true}],"schema":"https://github.com/citation-style-language/schema/raw/master/csl-citation.json"} </w:instrText>
      </w:r>
      <w:r w:rsidR="000005E3">
        <w:fldChar w:fldCharType="separate"/>
      </w:r>
      <w:r w:rsidR="00666A67" w:rsidRPr="00666A67">
        <w:rPr>
          <w:rFonts w:ascii="Aptos" w:hAnsi="Aptos" w:cs="Times New Roman"/>
          <w:kern w:val="0"/>
          <w:vertAlign w:val="superscript"/>
        </w:rPr>
        <w:t>14</w:t>
      </w:r>
      <w:r w:rsidR="000005E3">
        <w:fldChar w:fldCharType="end"/>
      </w:r>
      <w:r w:rsidR="002F18C9" w:rsidRPr="002F18C9">
        <w:t xml:space="preserve">, retraining it using Brazil-specific data. </w:t>
      </w:r>
      <w:r w:rsidR="00A42A77" w:rsidRPr="00A42A77">
        <w:t xml:space="preserve">We employed a random forest classifier to predict the likelihood of natural vegetation regrowth at 1-km resolution, using observed secondary forest regrowth as a binary response variable and a suite of biophysical and socioeconomic predictors. Formally, let </w:t>
      </w:r>
      <m:oMath>
        <m:sSub>
          <m:sSubPr>
            <m:ctrlPr>
              <w:rPr>
                <w:rFonts w:ascii="Cambria Math" w:hAnsi="Cambria Math"/>
              </w:rPr>
            </m:ctrlPr>
          </m:sSubPr>
          <m:e>
            <m:r>
              <w:rPr>
                <w:rFonts w:ascii="Cambria Math" w:hAnsi="Cambria Math"/>
              </w:rPr>
              <m:t>y</m:t>
            </m:r>
          </m:e>
          <m:sub>
            <m:r>
              <w:rPr>
                <w:rFonts w:ascii="Cambria Math" w:hAnsi="Cambria Math"/>
              </w:rPr>
              <m:t>s</m:t>
            </m:r>
          </m:sub>
        </m:sSub>
        <m:r>
          <w:rPr>
            <w:rFonts w:ascii="Cambria Math" w:hAnsi="Cambria Math"/>
          </w:rPr>
          <m:t>∈{0,1}</m:t>
        </m:r>
      </m:oMath>
      <w:r w:rsidR="00A42A77" w:rsidRPr="00A42A77">
        <w:t>denote whether</w:t>
      </w:r>
      <w:r w:rsidR="00672220">
        <w:t xml:space="preserve"> site</w:t>
      </w:r>
      <w:r w:rsidR="00A42A77" w:rsidRPr="00A42A77">
        <w:t xml:space="preserve"> </w:t>
      </w:r>
      <m:oMath>
        <m:r>
          <w:rPr>
            <w:rFonts w:ascii="Cambria Math" w:hAnsi="Cambria Math"/>
          </w:rPr>
          <m:t>s</m:t>
        </m:r>
      </m:oMath>
      <w:r w:rsidR="00672220">
        <w:rPr>
          <w:rFonts w:eastAsiaTheme="minorEastAsia"/>
        </w:rPr>
        <w:t xml:space="preserve"> </w:t>
      </w:r>
      <w:r w:rsidR="00A42A77" w:rsidRPr="00A42A77">
        <w:t xml:space="preserve">undergoes natural regeneration. Regeneration was modelled as a Bernoulli (binomial) outcome, with the associated probability </w:t>
      </w:r>
      <m:oMath>
        <m:sSub>
          <m:sSubPr>
            <m:ctrlPr>
              <w:rPr>
                <w:rFonts w:ascii="Cambria Math" w:hAnsi="Cambria Math"/>
              </w:rPr>
            </m:ctrlPr>
          </m:sSubPr>
          <m:e>
            <m:r>
              <w:rPr>
                <w:rFonts w:ascii="Cambria Math" w:hAnsi="Cambria Math"/>
              </w:rPr>
              <m:t>p</m:t>
            </m:r>
          </m:e>
          <m:sub>
            <m:r>
              <w:rPr>
                <w:rFonts w:ascii="Cambria Math" w:hAnsi="Cambria Math"/>
              </w:rPr>
              <m:t>s</m:t>
            </m:r>
          </m:sub>
        </m:sSub>
      </m:oMath>
      <w:r w:rsidR="00A42A77" w:rsidRPr="00A42A77">
        <w:t xml:space="preserve">estimated as a function of the predictor variables using a random forest </w:t>
      </w:r>
      <w:r w:rsidR="00A172E2">
        <w:t>approach</w:t>
      </w:r>
      <w:r w:rsidR="00CA7E02" w:rsidRPr="00CA7E02">
        <w:t>:</w:t>
      </w:r>
    </w:p>
    <w:p w14:paraId="3710B3BC" w14:textId="5D4B230D" w:rsidR="001652A7" w:rsidRPr="00C729AE" w:rsidRDefault="005766E0" w:rsidP="00841EB8">
      <w:pPr>
        <w:spacing w:before="120" w:after="120" w:line="360" w:lineRule="auto"/>
        <w:rPr>
          <w:rFonts w:eastAsiaTheme="minorEastAsia"/>
        </w:rPr>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y</m:t>
                  </m:r>
                </m:e>
                <m:sub>
                  <m:r>
                    <w:rPr>
                      <w:rFonts w:ascii="Cambria Math" w:hAnsi="Cambria Math"/>
                    </w:rPr>
                    <m:t>s</m:t>
                  </m:r>
                </m:sub>
              </m:sSub>
              <m:r>
                <w:rPr>
                  <w:rFonts w:ascii="Cambria Math" w:hAnsi="Cambria Math"/>
                </w:rPr>
                <m:t xml:space="preserve">~Bernoulli </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s</m:t>
                      </m:r>
                    </m:sub>
                  </m:sSub>
                </m:e>
              </m:d>
              <m:r>
                <w:rPr>
                  <w:rFonts w:ascii="Cambria Math" w:hAnsi="Cambria Math"/>
                </w:rPr>
                <m:t xml:space="preserve"> #(S13)</m:t>
              </m:r>
            </m:e>
          </m:eqArr>
        </m:oMath>
      </m:oMathPara>
    </w:p>
    <w:p w14:paraId="1FADFEA5" w14:textId="03B435B4" w:rsidR="00AE0294" w:rsidRPr="00AE0294" w:rsidRDefault="005766E0" w:rsidP="00841EB8">
      <w:pPr>
        <w:spacing w:before="120" w:after="120" w:line="360" w:lineRule="auto"/>
        <w:rPr>
          <w:rFonts w:eastAsiaTheme="minorEastAsia"/>
          <w:highlight w:val="yellow"/>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s</m:t>
              </m:r>
            </m:sub>
          </m:sSub>
          <m:r>
            <w:rPr>
              <w:rFonts w:ascii="Cambria Math" w:eastAsiaTheme="minorEastAsia" w:hAnsi="Cambria Math"/>
            </w:rPr>
            <m:t>=f(</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s</m:t>
              </m:r>
            </m:sub>
          </m:sSub>
          <m:r>
            <w:rPr>
              <w:rFonts w:ascii="Cambria Math" w:eastAsiaTheme="minorEastAsia" w:hAnsi="Cambria Math"/>
            </w:rPr>
            <m:t>)</m:t>
          </m:r>
        </m:oMath>
      </m:oMathPara>
    </w:p>
    <w:p w14:paraId="2E320D88" w14:textId="623D0E2C" w:rsidR="00CA7E02" w:rsidRDefault="00CA7E02" w:rsidP="00841EB8">
      <w:pPr>
        <w:spacing w:before="120" w:after="120" w:line="360" w:lineRule="auto"/>
      </w:pPr>
      <w:r w:rsidRPr="00CA7E02">
        <w:t xml:space="preserve">where </w:t>
      </w:r>
      <m:oMath>
        <m:sSub>
          <m:sSubPr>
            <m:ctrlPr>
              <w:rPr>
                <w:rFonts w:ascii="Cambria Math" w:hAnsi="Cambria Math"/>
              </w:rPr>
            </m:ctrlPr>
          </m:sSubPr>
          <m:e>
            <m:r>
              <w:rPr>
                <w:rFonts w:ascii="Cambria Math" w:hAnsi="Cambria Math"/>
              </w:rPr>
              <m:t>p</m:t>
            </m:r>
          </m:e>
          <m:sub>
            <m:r>
              <w:rPr>
                <w:rFonts w:ascii="Cambria Math" w:hAnsi="Cambria Math"/>
              </w:rPr>
              <m:t>s</m:t>
            </m:r>
          </m:sub>
        </m:sSub>
      </m:oMath>
      <w:r w:rsidRPr="00CA7E02">
        <w:t xml:space="preserve">is the probability of natural regeneration; </w:t>
      </w:r>
      <m:oMath>
        <m:sSub>
          <m:sSubPr>
            <m:ctrlPr>
              <w:rPr>
                <w:rFonts w:ascii="Cambria Math" w:hAnsi="Cambria Math"/>
              </w:rPr>
            </m:ctrlPr>
          </m:sSubPr>
          <m:e>
            <m:r>
              <w:rPr>
                <w:rFonts w:ascii="Cambria Math" w:hAnsi="Cambria Math"/>
              </w:rPr>
              <m:t>X</m:t>
            </m:r>
          </m:e>
          <m:sub>
            <m:r>
              <w:rPr>
                <w:rFonts w:ascii="Cambria Math" w:hAnsi="Cambria Math"/>
              </w:rPr>
              <m:t>s</m:t>
            </m:r>
          </m:sub>
        </m:sSub>
      </m:oMath>
      <w:r w:rsidRPr="00CA7E02">
        <w:t xml:space="preserve">is a vector of explanatory variables representing drivers of regeneration; and </w:t>
      </w:r>
      <m:oMath>
        <m:r>
          <w:rPr>
            <w:rFonts w:ascii="Cambria Math" w:hAnsi="Cambria Math"/>
          </w:rPr>
          <m:t>f(⋅)</m:t>
        </m:r>
      </m:oMath>
      <w:r w:rsidRPr="00CA7E02">
        <w:t>is an unknown, non-parametric function estimated using a random forest classifier.</w:t>
      </w:r>
    </w:p>
    <w:p w14:paraId="3D703ED4" w14:textId="4E729645" w:rsidR="00496540" w:rsidRDefault="00565652" w:rsidP="00841EB8">
      <w:pPr>
        <w:spacing w:before="120" w:after="120" w:line="360" w:lineRule="auto"/>
      </w:pPr>
      <w:r>
        <w:t xml:space="preserve">We derived the binary response variable from </w:t>
      </w:r>
      <w:proofErr w:type="spellStart"/>
      <w:r>
        <w:t>MapBiomas</w:t>
      </w:r>
      <w:proofErr w:type="spellEnd"/>
      <w:r>
        <w:t xml:space="preserve"> </w:t>
      </w:r>
      <w:r w:rsidR="002751F7">
        <w:t xml:space="preserve">( </w:t>
      </w:r>
      <w:proofErr w:type="spellStart"/>
      <w:r w:rsidR="002751F7">
        <w:t>MapBiomas</w:t>
      </w:r>
      <w:proofErr w:type="spellEnd"/>
      <w:r w:rsidR="002751F7">
        <w:t xml:space="preserve"> </w:t>
      </w:r>
      <w:r>
        <w:t>Project Collection 8 – Deforestation and Secondary Vegetation v1</w:t>
      </w:r>
      <w:r w:rsidR="002751F7">
        <w:t>)</w:t>
      </w:r>
      <w:r>
        <w:t xml:space="preserve">. </w:t>
      </w:r>
      <w:r w:rsidR="00496540">
        <w:t>Although the platform does not differentiate between natural regeneration vs</w:t>
      </w:r>
      <w:r w:rsidR="00060308">
        <w:t>.</w:t>
      </w:r>
      <w:r w:rsidR="00496540">
        <w:t xml:space="preserve"> active restoration, </w:t>
      </w:r>
      <w:r w:rsidR="0045494C" w:rsidRPr="0045494C">
        <w:t>national statistics indicate that active restoration represents only a very small fraction of secondary vegetation in Brazil.</w:t>
      </w:r>
      <w:r w:rsidR="0045494C">
        <w:t xml:space="preserve"> A</w:t>
      </w:r>
      <w:r w:rsidR="00496540">
        <w:t xml:space="preserve">ccording to the </w:t>
      </w:r>
      <w:r w:rsidR="00E66CA6">
        <w:t xml:space="preserve">Brazilian Restoration and Reforestation </w:t>
      </w:r>
      <w:r w:rsidR="00E66CA6">
        <w:lastRenderedPageBreak/>
        <w:t>Observatory (</w:t>
      </w:r>
      <w:hyperlink r:id="rId8" w:history="1">
        <w:r w:rsidR="00E66CA6" w:rsidRPr="008360A7">
          <w:rPr>
            <w:rStyle w:val="Hyperlink"/>
          </w:rPr>
          <w:t>https://observatoriodarestauracao.org.br/dashboard</w:t>
        </w:r>
      </w:hyperlink>
      <w:r w:rsidR="00E66CA6">
        <w:t xml:space="preserve">), </w:t>
      </w:r>
      <w:r w:rsidR="00A74EF9" w:rsidRPr="00A74EF9">
        <w:t>of the approximately 18.6 million ha of secondary vegetation currently present in the country, only ~153 thousand ha correspond to restoration projects (0.82% of the total), making secondary forest regrowth a reasonable proxy for natural regeneration at the national scale.</w:t>
      </w:r>
      <w:r w:rsidR="009468FB">
        <w:t xml:space="preserve"> </w:t>
      </w:r>
      <w:r w:rsidR="008F0744">
        <w:t xml:space="preserve"> </w:t>
      </w:r>
      <w:r w:rsidR="009B405E" w:rsidRPr="009B405E">
        <w:t>Secondary vegetation was identified when pixels transitioned from anthropic land uses to forest cover and remained classified as vegetation for at least three consecutive years; transitions smaller than 1 ha were excluded to reduce classification noise</w:t>
      </w:r>
      <w:r w:rsidR="00443607">
        <w:t>.</w:t>
      </w:r>
    </w:p>
    <w:p w14:paraId="2A81FD7B" w14:textId="062E689F" w:rsidR="00565652" w:rsidRDefault="00565652" w:rsidP="00841EB8">
      <w:pPr>
        <w:spacing w:before="120" w:after="120" w:line="360" w:lineRule="auto"/>
      </w:pPr>
      <w:r>
        <w:t>Pixels were labelled as:</w:t>
      </w:r>
    </w:p>
    <w:p w14:paraId="34A4F7C0" w14:textId="26387E58" w:rsidR="00565652" w:rsidRDefault="00565652" w:rsidP="00841EB8">
      <w:pPr>
        <w:pStyle w:val="ListParagraph"/>
        <w:numPr>
          <w:ilvl w:val="0"/>
          <w:numId w:val="1"/>
        </w:numPr>
        <w:spacing w:before="120" w:after="120" w:line="360" w:lineRule="auto"/>
      </w:pPr>
      <w:r>
        <w:t xml:space="preserve">Regenerated (1): </w:t>
      </w:r>
      <w:r w:rsidR="00F41123">
        <w:t xml:space="preserve">All </w:t>
      </w:r>
      <w:r w:rsidR="001354BB">
        <w:t xml:space="preserve">areas </w:t>
      </w:r>
      <w:r w:rsidR="00880974">
        <w:t>previously</w:t>
      </w:r>
      <w:r w:rsidR="001354BB">
        <w:t xml:space="preserve"> classified as anthropogenic </w:t>
      </w:r>
      <w:r>
        <w:t xml:space="preserve">if classified as secondary vegetation by </w:t>
      </w:r>
      <w:proofErr w:type="spellStart"/>
      <w:r>
        <w:t>MapBiomas</w:t>
      </w:r>
      <w:proofErr w:type="spellEnd"/>
      <w:r>
        <w:t xml:space="preserve"> in any year between 2000 and </w:t>
      </w:r>
      <w:proofErr w:type="gramStart"/>
      <w:r>
        <w:t>2022;</w:t>
      </w:r>
      <w:proofErr w:type="gramEnd"/>
    </w:p>
    <w:p w14:paraId="0DAC3C54" w14:textId="5C843555" w:rsidR="00565652" w:rsidRDefault="00565652" w:rsidP="00841EB8">
      <w:pPr>
        <w:pStyle w:val="ListParagraph"/>
        <w:numPr>
          <w:ilvl w:val="0"/>
          <w:numId w:val="1"/>
        </w:numPr>
        <w:spacing w:before="120" w:after="120" w:line="360" w:lineRule="auto"/>
      </w:pPr>
      <w:r>
        <w:t xml:space="preserve">Non-regenerated (0): </w:t>
      </w:r>
      <w:r w:rsidR="00880974">
        <w:t>c</w:t>
      </w:r>
      <w:r>
        <w:t>onsistently classified as anthropogenic land cover (</w:t>
      </w:r>
      <w:r w:rsidR="00880974">
        <w:t>excluding urban areas</w:t>
      </w:r>
      <w:r w:rsidR="00660110">
        <w:t xml:space="preserve"> and water bodies</w:t>
      </w:r>
      <w:r>
        <w:t>) throughout the same period.</w:t>
      </w:r>
    </w:p>
    <w:p w14:paraId="7387E57A" w14:textId="15E92CA0" w:rsidR="006D6A19" w:rsidRPr="006D6A19" w:rsidRDefault="006D6A19" w:rsidP="00841EB8">
      <w:pPr>
        <w:spacing w:before="120" w:after="120" w:line="360" w:lineRule="auto"/>
      </w:pPr>
      <w:r w:rsidRPr="006D6A19">
        <w:t xml:space="preserve">To prevent spatial autocorrelation and ensure broad geographic representation, we generated background (non-regeneration) points using random sampling proportional to biome area. Specifically, we calculated the number of background points per biome proportional to its total </w:t>
      </w:r>
      <w:proofErr w:type="gramStart"/>
      <w:r w:rsidRPr="006D6A19">
        <w:t>area,</w:t>
      </w:r>
      <w:r w:rsidR="00820F84">
        <w:t xml:space="preserve"> </w:t>
      </w:r>
      <w:r w:rsidRPr="006D6A19">
        <w:t>and</w:t>
      </w:r>
      <w:proofErr w:type="gramEnd"/>
      <w:r w:rsidRPr="006D6A19">
        <w:t xml:space="preserve"> drew random samples from each biome polygon accordingly. The total number of background points was set to four times the number of natural regeneration points.</w:t>
      </w:r>
    </w:p>
    <w:p w14:paraId="24D874B9" w14:textId="3DCCDA4F" w:rsidR="00565652" w:rsidRDefault="008A5376" w:rsidP="00841EB8">
      <w:pPr>
        <w:spacing w:before="120" w:after="120" w:line="360" w:lineRule="auto"/>
      </w:pPr>
      <w:r w:rsidRPr="008A5376">
        <w:t>As drivers of natural regeneration,</w:t>
      </w:r>
      <w:r w:rsidR="00704458">
        <w:t xml:space="preserve"> w</w:t>
      </w:r>
      <w:r w:rsidR="00CA6ADA" w:rsidRPr="00CA6ADA">
        <w:t xml:space="preserve">e used the same set of predictor variables evaluated by </w:t>
      </w:r>
      <w:r>
        <w:t>Williams et al.</w:t>
      </w:r>
      <w:r w:rsidR="00C50CD7">
        <w:t xml:space="preserve"> </w:t>
      </w:r>
      <w:r w:rsidR="00C50CD7">
        <w:fldChar w:fldCharType="begin"/>
      </w:r>
      <w:r w:rsidR="00666A67">
        <w:instrText xml:space="preserve"> ADDIN ZOTERO_ITEM CSL_CITATION {"citationID":"TeuappdH","properties":{"formattedCitation":"\\super 14\\nosupersub{}","plainCitation":"14","noteIndex":0},"citationItems":[{"id":6632,"uris":["http://zotero.org/users/3309187/items/CJ2J9I6H"],"itemData":{"id":6632,"type":"article-journal","abstract":"Extensive forest restoration is a key strategy to meet nature-based sustainable development goals and provide multiple social and environmental benefits1. Yet achieving forest restoration at scale requires cost-effective methods2. Tree planting in degraded landscapes is a popular but costly forest restoration method that often results in less biodiverse forests when compared to natural regeneration techniques under similar conditions3. Here we assess the current spatial distribution of pantropical natural forest (from 2000 to 2016) and use this to present a model of the potential for natural regeneration across tropical forested countries and biomes at a spatial resolution of 30 m. We estimate that an area of 215</w:instrText>
      </w:r>
      <w:r w:rsidR="00666A67">
        <w:rPr>
          <w:rFonts w:ascii="Arial" w:hAnsi="Arial" w:cs="Arial"/>
        </w:rPr>
        <w:instrText> </w:instrText>
      </w:r>
      <w:r w:rsidR="00666A67">
        <w:instrText>million hectares—an area greater than the entire country of Mexico—has potential for natural forest regeneration, representing an above-ground carbon sequestration potential of 23.4</w:instrText>
      </w:r>
      <w:r w:rsidR="00666A67">
        <w:rPr>
          <w:rFonts w:ascii="Arial" w:hAnsi="Arial" w:cs="Arial"/>
        </w:rPr>
        <w:instrText> </w:instrText>
      </w:r>
      <w:r w:rsidR="00666A67">
        <w:instrText>Gt C (range, 21.1</w:instrText>
      </w:r>
      <w:r w:rsidR="00666A67">
        <w:rPr>
          <w:rFonts w:ascii="Aptos" w:hAnsi="Aptos" w:cs="Aptos"/>
        </w:rPr>
        <w:instrText>–</w:instrText>
      </w:r>
      <w:r w:rsidR="00666A67">
        <w:instrText>25.7</w:instrText>
      </w:r>
      <w:r w:rsidR="00666A67">
        <w:rPr>
          <w:rFonts w:ascii="Arial" w:hAnsi="Arial" w:cs="Arial"/>
        </w:rPr>
        <w:instrText> </w:instrText>
      </w:r>
      <w:r w:rsidR="00666A67">
        <w:instrText>Gt) over 30</w:instrText>
      </w:r>
      <w:r w:rsidR="00666A67">
        <w:rPr>
          <w:rFonts w:ascii="Arial" w:hAnsi="Arial" w:cs="Arial"/>
        </w:rPr>
        <w:instrText> </w:instrText>
      </w:r>
      <w:r w:rsidR="00666A67">
        <w:instrText xml:space="preserve">years. Five countries (Brazil, Indonesia, China, Mexico and Colombia) account for 52% of this estimated potential, showcasing the need for targeting restoration initiatives that leverage natural regeneration potential. Our results facilitate broader equitable decision-making processes that capitalize on the widespread opportunity for natural regeneration to help achieve national and global environmental agendas.","container-title":"Nature","DOI":"10.1038/s41586-024-08106-4","ISSN":"1476-4687","language":"en","license":"2024 The Author(s)","page":"1-7","publisher":"Nature Publishing Group","source":"www.nature.com","title":"Global potential for natural regeneration in deforested tropical regions","author":[{"family":"Williams","given":"Brooke A."},{"family":"Beyer","given":"Hawthorne L."},{"family":"Fagan","given":"Matthew E."},{"family":"Chazdon","given":"Robin L."},{"family":"Schmoeller","given":"Marina"},{"family":"Sprenkle-Hyppolite","given":"Starry"},{"family":"Griscom","given":"Bronson W."},{"family":"Watson","given":"James E. M."},{"family":"Tedesco","given":"Anazélia M."},{"family":"Gonzalez-Roglich","given":"Mariano"},{"family":"Daldegan","given":"Gabriel A."},{"family":"Bodin","given":"Blaise"},{"family":"Celentano","given":"Danielle"},{"family":"Wilson","given":"Sarah Jane"},{"family":"Rhodes","given":"Jonathan R."},{"family":"Alexandre","given":"Nikola S."},{"family":"Kim","given":"Do-Hyung"},{"family":"Bastos","given":"Diego"},{"family":"Crouzeilles","given":"Renato"}],"issued":{"date-parts":[["2024",10,30]]}},"label":"page","suppress-author":true}],"schema":"https://github.com/citation-style-language/schema/raw/master/csl-citation.json"} </w:instrText>
      </w:r>
      <w:r w:rsidR="00C50CD7">
        <w:fldChar w:fldCharType="separate"/>
      </w:r>
      <w:r w:rsidR="00666A67" w:rsidRPr="00666A67">
        <w:rPr>
          <w:rFonts w:ascii="Aptos" w:hAnsi="Aptos" w:cs="Times New Roman"/>
          <w:kern w:val="0"/>
          <w:vertAlign w:val="superscript"/>
        </w:rPr>
        <w:t>14</w:t>
      </w:r>
      <w:r w:rsidR="00C50CD7">
        <w:fldChar w:fldCharType="end"/>
      </w:r>
      <w:r w:rsidR="003B4542" w:rsidRPr="003B4542">
        <w:t xml:space="preserve">, </w:t>
      </w:r>
      <w:r w:rsidR="00370307" w:rsidRPr="00370307">
        <w:t>who tested a wide range of biophysical and socioeconomic covariates. Their results indicated that model performance plateaued after including the top ten biophysical predictors, which formed the basis of their best-performing model. Following this evidence, we adopted the same top ten biophysical variables and additionally included one climatic variable and distance to urban areas—both part of the full model tested by the authors—to better reflect our study’s specific context. These predictors were grouped into the following categories:</w:t>
      </w:r>
    </w:p>
    <w:p w14:paraId="445ACE5F" w14:textId="1EAD7F4C" w:rsidR="00565652" w:rsidRDefault="00565652" w:rsidP="00841EB8">
      <w:pPr>
        <w:pStyle w:val="ListParagraph"/>
        <w:numPr>
          <w:ilvl w:val="0"/>
          <w:numId w:val="2"/>
        </w:numPr>
        <w:spacing w:before="120" w:after="120" w:line="360" w:lineRule="auto"/>
      </w:pPr>
      <w:r>
        <w:t xml:space="preserve">Climate: </w:t>
      </w:r>
      <w:r w:rsidR="00E65D70">
        <w:t xml:space="preserve">We used </w:t>
      </w:r>
      <w:r w:rsidR="003400D6" w:rsidRPr="003400D6">
        <w:t xml:space="preserve">the first five principal component (PC) axes derived from the 19 bioclimatic variables from </w:t>
      </w:r>
      <w:proofErr w:type="spellStart"/>
      <w:r w:rsidR="003400D6" w:rsidRPr="003400D6">
        <w:t>WorldClim</w:t>
      </w:r>
      <w:proofErr w:type="spellEnd"/>
      <w:r w:rsidR="00362FD4">
        <w:t xml:space="preserve"> </w:t>
      </w:r>
      <w:r w:rsidR="00362FD4">
        <w:fldChar w:fldCharType="begin"/>
      </w:r>
      <w:r w:rsidR="00666A67">
        <w:instrText xml:space="preserve"> ADDIN ZOTERO_ITEM CSL_CITATION {"citationID":"8BLLHrzm","properties":{"formattedCitation":"\\super 17\\nosupersub{}","plainCitation":"17","noteIndex":0},"citationItems":[{"id":7113,"uris":["http://zotero.org/users/3309187/items/7YDW27JS"],"itemData":{"id":7113,"type":"article-journal","abstract":"We created a new dataset of spatially interpolated monthly climate data for global land areas at a very high spatial resolution (approximately 1 km2). We included monthly temperature (minimum, maximum and average), precipitation, solar radiation, vapour pressure and wind speed, aggregated across a target temporal range of 1970–2000, using data from between 9000 and 60 000 weather stations. Weather station data were interpolated using thin-plate splines with covariates including elevation, distance to the coast and three satellite-derived covariates: maximum and minimum land surface temperature as well as cloud cover, obtained with the MODIS satellite platform. Interpolation was done for 23 regions of varying size depending on station density. Satellite data improved prediction accuracy for temperature variables 5–15% (0.07–0.17 °C), particularly for areas with a low station density, although prediction error remained high in such regions for all climate variables. Contributions of satellite covariates were mostly negligible for the other variables, although their importance varied by region. In contrast to the common approach to use a single model formulation for the entire world, we constructed the final product by selecting the best performing model for each region and variable. Global cross-validation correlations were ≥ 0.99 for temperature and humidity, 0.86 for precipitation and 0.76 for wind speed. The fact that most of our climate surface estimates were only marginally improved by use of satellite covariates highlights the importance having a dense, high-quality network of climate station data.","container-title":"International Journal of Climatology","DOI":"10.1002/joc.5086","ISSN":"1097-0088","issue":"12","language":"en","license":"© 2017 Royal Meteorological Society","note":"_eprint: https://rmets.onlinelibrary.wiley.com/doi/pdf/10.1002/joc.5086","page":"4302-4315","source":"Wiley Online Library","title":"WorldClim 2: new 1-km spatial resolution climate surfaces for global land areas","title-short":"WorldClim 2","volume":"37","author":[{"family":"Fick","given":"Stephen E."},{"family":"Hijmans","given":"Robert J."}],"issued":{"date-parts":[["2017"]]}}}],"schema":"https://github.com/citation-style-language/schema/raw/master/csl-citation.json"} </w:instrText>
      </w:r>
      <w:r w:rsidR="00362FD4">
        <w:fldChar w:fldCharType="separate"/>
      </w:r>
      <w:r w:rsidR="00666A67" w:rsidRPr="00666A67">
        <w:rPr>
          <w:rFonts w:ascii="Aptos" w:hAnsi="Aptos" w:cs="Times New Roman"/>
          <w:kern w:val="0"/>
          <w:vertAlign w:val="superscript"/>
        </w:rPr>
        <w:t>17</w:t>
      </w:r>
      <w:r w:rsidR="00362FD4">
        <w:fldChar w:fldCharType="end"/>
      </w:r>
      <w:r w:rsidR="00E65D70">
        <w:t xml:space="preserve">, and not the first four as </w:t>
      </w:r>
      <w:r w:rsidR="001121AE">
        <w:t>ref</w:t>
      </w:r>
      <w:r w:rsidR="001121AE" w:rsidRPr="002F18C9">
        <w:t>.</w:t>
      </w:r>
      <w:r w:rsidR="001121AE">
        <w:t xml:space="preserve"> </w:t>
      </w:r>
      <w:r w:rsidR="001121AE">
        <w:fldChar w:fldCharType="begin"/>
      </w:r>
      <w:r w:rsidR="00666A67">
        <w:instrText xml:space="preserve"> ADDIN ZOTERO_ITEM CSL_CITATION {"citationID":"6cVIdOmo","properties":{"formattedCitation":"\\super 14\\nosupersub{}","plainCitation":"14","noteIndex":0},"citationItems":[{"id":6632,"uris":["http://zotero.org/users/3309187/items/CJ2J9I6H"],"itemData":{"id":6632,"type":"article-journal","abstract":"Extensive forest restoration is a key strategy to meet nature-based sustainable development goals and provide multiple social and environmental benefits1. Yet achieving forest restoration at scale requires cost-effective methods2. Tree planting in degraded landscapes is a popular but costly forest restoration method that often results in less biodiverse forests when compared to natural regeneration techniques under similar conditions3. Here we assess the current spatial distribution of pantropical natural forest (from 2000 to 2016) and use this to present a model of the potential for natural regeneration across tropical forested countries and biomes at a spatial resolution of 30 m. We estimate that an area of 215</w:instrText>
      </w:r>
      <w:r w:rsidR="00666A67">
        <w:rPr>
          <w:rFonts w:ascii="Arial" w:hAnsi="Arial" w:cs="Arial"/>
        </w:rPr>
        <w:instrText> </w:instrText>
      </w:r>
      <w:r w:rsidR="00666A67">
        <w:instrText>million hectares—an area greater than the entire country of Mexico—has potential for natural forest regeneration, representing an above-ground carbon sequestration potential of 23.4</w:instrText>
      </w:r>
      <w:r w:rsidR="00666A67">
        <w:rPr>
          <w:rFonts w:ascii="Arial" w:hAnsi="Arial" w:cs="Arial"/>
        </w:rPr>
        <w:instrText> </w:instrText>
      </w:r>
      <w:r w:rsidR="00666A67">
        <w:instrText>Gt C (range, 21.1</w:instrText>
      </w:r>
      <w:r w:rsidR="00666A67">
        <w:rPr>
          <w:rFonts w:ascii="Aptos" w:hAnsi="Aptos" w:cs="Aptos"/>
        </w:rPr>
        <w:instrText>–</w:instrText>
      </w:r>
      <w:r w:rsidR="00666A67">
        <w:instrText>25.7</w:instrText>
      </w:r>
      <w:r w:rsidR="00666A67">
        <w:rPr>
          <w:rFonts w:ascii="Arial" w:hAnsi="Arial" w:cs="Arial"/>
        </w:rPr>
        <w:instrText> </w:instrText>
      </w:r>
      <w:r w:rsidR="00666A67">
        <w:instrText>Gt) over 30</w:instrText>
      </w:r>
      <w:r w:rsidR="00666A67">
        <w:rPr>
          <w:rFonts w:ascii="Arial" w:hAnsi="Arial" w:cs="Arial"/>
        </w:rPr>
        <w:instrText> </w:instrText>
      </w:r>
      <w:r w:rsidR="00666A67">
        <w:instrText xml:space="preserve">years. Five countries (Brazil, Indonesia, China, Mexico and Colombia) account for 52% of this estimated potential, showcasing the need for targeting restoration initiatives that leverage natural regeneration potential. Our results facilitate broader equitable decision-making processes that capitalize on the widespread opportunity for natural regeneration to help achieve national and global environmental agendas.","container-title":"Nature","DOI":"10.1038/s41586-024-08106-4","ISSN":"1476-4687","language":"en","license":"2024 The Author(s)","page":"1-7","publisher":"Nature Publishing Group","source":"www.nature.com","title":"Global potential for natural regeneration in deforested tropical regions","author":[{"family":"Williams","given":"Brooke A."},{"family":"Beyer","given":"Hawthorne L."},{"family":"Fagan","given":"Matthew E."},{"family":"Chazdon","given":"Robin L."},{"family":"Schmoeller","given":"Marina"},{"family":"Sprenkle-Hyppolite","given":"Starry"},{"family":"Griscom","given":"Bronson W."},{"family":"Watson","given":"James E. M."},{"family":"Tedesco","given":"Anazélia M."},{"family":"Gonzalez-Roglich","given":"Mariano"},{"family":"Daldegan","given":"Gabriel A."},{"family":"Bodin","given":"Blaise"},{"family":"Celentano","given":"Danielle"},{"family":"Wilson","given":"Sarah Jane"},{"family":"Rhodes","given":"Jonathan R."},{"family":"Alexandre","given":"Nikola S."},{"family":"Kim","given":"Do-Hyung"},{"family":"Bastos","given":"Diego"},{"family":"Crouzeilles","given":"Renato"}],"issued":{"date-parts":[["2024",10,30]]}},"label":"page","suppress-author":true}],"schema":"https://github.com/citation-style-language/schema/raw/master/csl-citation.json"} </w:instrText>
      </w:r>
      <w:r w:rsidR="001121AE">
        <w:fldChar w:fldCharType="separate"/>
      </w:r>
      <w:r w:rsidR="00666A67" w:rsidRPr="00666A67">
        <w:rPr>
          <w:rFonts w:ascii="Aptos" w:hAnsi="Aptos" w:cs="Times New Roman"/>
          <w:kern w:val="0"/>
          <w:vertAlign w:val="superscript"/>
        </w:rPr>
        <w:t>14</w:t>
      </w:r>
      <w:r w:rsidR="001121AE">
        <w:fldChar w:fldCharType="end"/>
      </w:r>
      <w:r w:rsidR="00A71FCC">
        <w:t xml:space="preserve"> mainly due to </w:t>
      </w:r>
      <w:r w:rsidR="00A57449">
        <w:t>its importance in exploratory analysis (</w:t>
      </w:r>
      <w:r w:rsidR="00BB7B2C">
        <w:fldChar w:fldCharType="begin"/>
      </w:r>
      <w:r w:rsidR="00BB7B2C">
        <w:instrText xml:space="preserve"> REF _Ref203555344 \h </w:instrText>
      </w:r>
      <w:r w:rsidR="00BB7B2C">
        <w:fldChar w:fldCharType="separate"/>
      </w:r>
      <w:r w:rsidR="00BB7B2C" w:rsidRPr="000333BE">
        <w:t>Supplementary Fig</w:t>
      </w:r>
      <w:r w:rsidR="00CE2357">
        <w:t>.</w:t>
      </w:r>
      <w:r w:rsidR="00BB7B2C" w:rsidRPr="000333BE">
        <w:t xml:space="preserve"> </w:t>
      </w:r>
      <w:r w:rsidR="00BB7B2C">
        <w:rPr>
          <w:noProof/>
        </w:rPr>
        <w:t>6</w:t>
      </w:r>
      <w:r w:rsidR="00BB7B2C">
        <w:fldChar w:fldCharType="end"/>
      </w:r>
      <w:r w:rsidR="00A31B66">
        <w:t>A</w:t>
      </w:r>
      <w:r w:rsidR="00A57449">
        <w:t xml:space="preserve">) </w:t>
      </w:r>
      <w:r>
        <w:t>;</w:t>
      </w:r>
    </w:p>
    <w:p w14:paraId="5D8B1B8D" w14:textId="43A96C85" w:rsidR="00565652" w:rsidRDefault="00565652" w:rsidP="00841EB8">
      <w:pPr>
        <w:pStyle w:val="ListParagraph"/>
        <w:numPr>
          <w:ilvl w:val="0"/>
          <w:numId w:val="2"/>
        </w:numPr>
        <w:spacing w:before="120" w:after="120" w:line="360" w:lineRule="auto"/>
      </w:pPr>
      <w:r>
        <w:lastRenderedPageBreak/>
        <w:t>Soil:</w:t>
      </w:r>
      <w:r w:rsidR="008735DC">
        <w:t xml:space="preserve"> </w:t>
      </w:r>
      <w:r w:rsidR="00DD62D0">
        <w:t xml:space="preserve">mean soil organic carbon </w:t>
      </w:r>
      <w:r w:rsidR="00244540">
        <w:t xml:space="preserve">and pH </w:t>
      </w:r>
      <w:r w:rsidR="00D14985">
        <w:t>within the top</w:t>
      </w:r>
      <w:r w:rsidR="005A350D">
        <w:t xml:space="preserve"> 30cm, weighted by </w:t>
      </w:r>
      <w:r w:rsidR="00244540">
        <w:t>depth</w:t>
      </w:r>
      <w:r w:rsidR="005A350D">
        <w:t xml:space="preserve"> interval</w:t>
      </w:r>
      <w:r w:rsidR="00885C33">
        <w:t xml:space="preserve"> </w:t>
      </w:r>
      <w:r w:rsidR="005A350D">
        <w:t>(0-5cm;</w:t>
      </w:r>
      <w:r w:rsidR="009B400E">
        <w:t xml:space="preserve">5-15cm; 15-30cm) from </w:t>
      </w:r>
      <w:r w:rsidR="00D7333A">
        <w:t>ref</w:t>
      </w:r>
      <w:r w:rsidR="00AC7FAD">
        <w:t xml:space="preserve">. </w:t>
      </w:r>
      <w:r w:rsidR="00C71523">
        <w:fldChar w:fldCharType="begin"/>
      </w:r>
      <w:r w:rsidR="00666A67">
        <w:instrText xml:space="preserve"> ADDIN ZOTERO_ITEM CSL_CITATION {"citationID":"yywlnE71","properties":{"formattedCitation":"\\super 18\\nosupersub{}","plainCitation":"18","noteIndex":0},"citationItems":[{"id":7115,"uris":["http://zotero.org/users/3309187/items/ZJ6EZXAE"],"itemData":{"id":7115,"type":"article-journal","abstract":"This paper describes the technical development and accuracy assessment of the most recent and improved version of the SoilGrids system at 250m resolution (June 2016 update). SoilGrids provides global predictions for standard numeric soil properties (organic carbon, bulk density, Cation Exchange Capacity (CEC), pH, soil texture fractions and coarse fragments) at seven standard depths (0, 5, 15, 30, 60, 100 and 200 cm), in addition to predictions of depth to bedrock and distribution of soil classes based on the World Reference Base (WRB) and USDA classification systems (ca. 280 raster layers in total). Predictions were based on ca. 150,000 soil profiles used for training and a stack of 158 remote sensing-based soil covariates (primarily derived from MODIS land products, SRTM DEM derivatives, climatic images and global landform and lithology maps), which were used to fit an ensemble of machine learning methods—random forest and gradient boosting and/or multinomial logistic regression—as implemented in the R packages ranger, xgboost, nnet and caret. The results of 10–fold cross-validation show that the ensemble models explain between 56% (coarse fragments) and 83% (pH) of variation with an overall average of 61%. Improvements in the relative accuracy considering the amount of variation explained, in comparison to the previous version of SoilGrids at 1 km spatial resolution, range from 60 to 230%. Improvements can be attributed to: (1) the use of machine learning instead of linear regression, (2) to considerable investments in preparing finer resolution covariate layers and (3) to insertion of additional soil profiles. Further development of SoilGrids could include refinement of methods to incorporate input uncertainties and derivation of posterior probability distributions (per pixel), and further automation of spatial modeling so that soil maps can be generated for potentially hundreds of soil variables. Another area of future research is the development of methods for multiscale merging of SoilGrids predictions with local and/or national gridded soil products (e.g. up to 50 m spatial resolution) so that increasingly more accurate, complete and consistent global soil information can be produced. SoilGrids are available under the Open Data Base License.","container-title":"PLOS ONE","DOI":"10.1371/journal.pone.0169748","ISSN":"1932-6203","issue":"2","journalAbbreviation":"PLOS ONE","language":"en","page":"e0169748","publisher":"Public Library of Science","source":"PLoS Journals","title":"SoilGrids250m: Global gridded soil information based on machine learning","title-short":"SoilGrids250m","volume":"12","author":[{"family":"Hengl","given":"Tomislav"},{"family":"Jesus","given":"Jorge Mendes","dropping-particle":"de"},{"family":"Heuvelink","given":"Gerard B. M."},{"family":"Gonzalez","given":"Maria Ruiperez"},{"family":"Kilibarda","given":"Milan"},{"family":"Blagotić","given":"Aleksandar"},{"family":"Shangguan","given":"Wei"},{"family":"Wright","given":"Marvin N."},{"family":"Geng","given":"Xiaoyuan"},{"family":"Bauer-Marschallinger","given":"Bernhard"},{"family":"Guevara","given":"Mario Antonio"},{"family":"Vargas","given":"Rodrigo"},{"family":"MacMillan","given":"Robert A."},{"family":"Batjes","given":"Niels H."},{"family":"Leenaars","given":"Johan G. B."},{"family":"Ribeiro","given":"Eloi"},{"family":"Wheeler","given":"Ichsani"},{"family":"Mantel","given":"Stephan"},{"family":"Kempen","given":"Bas"}],"issued":{"date-parts":[["2017"]],"season":"de fev. de"}},"label":"page","suppress-author":true}],"schema":"https://github.com/citation-style-language/schema/raw/master/csl-citation.json"} </w:instrText>
      </w:r>
      <w:r w:rsidR="00C71523">
        <w:fldChar w:fldCharType="separate"/>
      </w:r>
      <w:r w:rsidR="00666A67" w:rsidRPr="00666A67">
        <w:rPr>
          <w:rFonts w:ascii="Aptos" w:hAnsi="Aptos" w:cs="Times New Roman"/>
          <w:kern w:val="0"/>
          <w:vertAlign w:val="superscript"/>
        </w:rPr>
        <w:t>18</w:t>
      </w:r>
      <w:r w:rsidR="00C71523">
        <w:fldChar w:fldCharType="end"/>
      </w:r>
      <w:r w:rsidR="00741E1B">
        <w:t>;</w:t>
      </w:r>
      <w:r w:rsidR="00142E93">
        <w:t xml:space="preserve"> </w:t>
      </w:r>
    </w:p>
    <w:p w14:paraId="4C8B7114" w14:textId="31AE4E31" w:rsidR="00565652" w:rsidRDefault="00565652" w:rsidP="00841EB8">
      <w:pPr>
        <w:pStyle w:val="ListParagraph"/>
        <w:numPr>
          <w:ilvl w:val="0"/>
          <w:numId w:val="2"/>
        </w:numPr>
        <w:spacing w:before="120" w:after="120" w:line="360" w:lineRule="auto"/>
      </w:pPr>
      <w:r>
        <w:t xml:space="preserve">Landscape: distance to forest, </w:t>
      </w:r>
      <w:r w:rsidR="00EF215E">
        <w:t>forest density</w:t>
      </w:r>
      <w:r w:rsidR="00D9201D">
        <w:t>, density of agricultural land</w:t>
      </w:r>
      <w:r w:rsidR="00F10441">
        <w:t xml:space="preserve">, </w:t>
      </w:r>
      <w:r w:rsidR="00CF7366" w:rsidRPr="00CF7366">
        <w:t>distance to urban areas</w:t>
      </w:r>
      <w:r w:rsidR="00CF7366">
        <w:t>,</w:t>
      </w:r>
      <w:r w:rsidR="00CF7366" w:rsidRPr="00CF7366">
        <w:t xml:space="preserve"> </w:t>
      </w:r>
      <w:r w:rsidR="00F10441">
        <w:t xml:space="preserve">calculated from </w:t>
      </w:r>
      <w:proofErr w:type="spellStart"/>
      <w:r w:rsidR="00F10441">
        <w:t>Mapbiomas</w:t>
      </w:r>
      <w:proofErr w:type="spellEnd"/>
      <w:r w:rsidR="00F10441">
        <w:t xml:space="preserve"> ( </w:t>
      </w:r>
      <w:proofErr w:type="spellStart"/>
      <w:r w:rsidR="00F10441">
        <w:t>MapBiomas</w:t>
      </w:r>
      <w:proofErr w:type="spellEnd"/>
      <w:r w:rsidR="00F10441">
        <w:t xml:space="preserve"> Project Collection 8 –</w:t>
      </w:r>
      <w:r w:rsidR="009C3200">
        <w:t xml:space="preserve"> Land use and land cover</w:t>
      </w:r>
      <w:r w:rsidR="00741E1B">
        <w:t>)</w:t>
      </w:r>
      <w:r w:rsidR="00CF7366">
        <w:t>. Particularly for the Atlantic Forest,</w:t>
      </w:r>
      <w:r w:rsidR="007B0A71">
        <w:t xml:space="preserve"> with a long history of disturbance and </w:t>
      </w:r>
      <w:r w:rsidR="00CF7366">
        <w:t xml:space="preserve"> where </w:t>
      </w:r>
      <w:r w:rsidR="00834E03">
        <w:t>~</w:t>
      </w:r>
      <w:r w:rsidR="00CF7366">
        <w:t xml:space="preserve"> 70% of the Brazilian</w:t>
      </w:r>
      <w:r w:rsidR="00986FD1">
        <w:t xml:space="preserve"> population is</w:t>
      </w:r>
      <w:r w:rsidR="003A224C">
        <w:fldChar w:fldCharType="begin"/>
      </w:r>
      <w:r w:rsidR="00666A67">
        <w:instrText xml:space="preserve"> ADDIN ZOTERO_ITEM CSL_CITATION {"citationID":"8YLSvfrT","properties":{"formattedCitation":"\\super 19\\nosupersub{}","plainCitation":"19","noteIndex":0},"citationItems":[{"id":133,"uris":["http://zotero.org/users/3309187/items/MXHPIEXZ"],"itemData":{"id":133,"type":"article-journal","container-title":"New Phytologist","DOI":"10.1111/nph.12989","page":"459-473","title":"Experiences from the Brazilian Atlantic Forest: ecological findings and conservation initiatives","title-short":"Experiences from the Brazilian Atlantic Forest: ecological findings and conservation initiatives","volume":"204","author":[{"family":"Joly","given":"Carlos A."},{"family":"Metzger","given":"J. P."},{"family":"Tabarelli","given":"Marcelo"}],"issued":{"date-parts":[["2014"]]}}}],"schema":"https://github.com/citation-style-language/schema/raw/master/csl-citation.json"} </w:instrText>
      </w:r>
      <w:r w:rsidR="003A224C">
        <w:fldChar w:fldCharType="separate"/>
      </w:r>
      <w:r w:rsidR="00666A67" w:rsidRPr="00666A67">
        <w:rPr>
          <w:rFonts w:ascii="Aptos" w:hAnsi="Aptos" w:cs="Times New Roman"/>
          <w:kern w:val="0"/>
          <w:vertAlign w:val="superscript"/>
        </w:rPr>
        <w:t>19</w:t>
      </w:r>
      <w:r w:rsidR="003A224C">
        <w:fldChar w:fldCharType="end"/>
      </w:r>
      <w:r w:rsidR="00986FD1">
        <w:t xml:space="preserve">, we considered that proximity to urban areas would be an important </w:t>
      </w:r>
      <w:r w:rsidR="00222DC3">
        <w:t>predictor;</w:t>
      </w:r>
    </w:p>
    <w:p w14:paraId="24FA0B18" w14:textId="003E4CFD" w:rsidR="00565652" w:rsidRDefault="00C811D4" w:rsidP="00841EB8">
      <w:pPr>
        <w:pStyle w:val="ListParagraph"/>
        <w:numPr>
          <w:ilvl w:val="0"/>
          <w:numId w:val="2"/>
        </w:numPr>
        <w:spacing w:before="120" w:after="120" w:line="360" w:lineRule="auto"/>
      </w:pPr>
      <w:r>
        <w:t xml:space="preserve">Vegetation type: </w:t>
      </w:r>
      <w:r w:rsidR="00942D1C" w:rsidRPr="00942D1C">
        <w:t xml:space="preserve">Unlike </w:t>
      </w:r>
      <w:r w:rsidR="000430F8">
        <w:t>ref</w:t>
      </w:r>
      <w:r w:rsidR="000430F8" w:rsidRPr="002F18C9">
        <w:t>.</w:t>
      </w:r>
      <w:r w:rsidR="000430F8">
        <w:t xml:space="preserve"> </w:t>
      </w:r>
      <w:r w:rsidR="000430F8">
        <w:fldChar w:fldCharType="begin"/>
      </w:r>
      <w:r w:rsidR="00666A67">
        <w:instrText xml:space="preserve"> ADDIN ZOTERO_ITEM CSL_CITATION {"citationID":"HJmixBh4","properties":{"formattedCitation":"\\super 14\\nosupersub{}","plainCitation":"14","noteIndex":0},"citationItems":[{"id":6632,"uris":["http://zotero.org/users/3309187/items/CJ2J9I6H"],"itemData":{"id":6632,"type":"article-journal","abstract":"Extensive forest restoration is a key strategy to meet nature-based sustainable development goals and provide multiple social and environmental benefits1. Yet achieving forest restoration at scale requires cost-effective methods2. Tree planting in degraded landscapes is a popular but costly forest restoration method that often results in less biodiverse forests when compared to natural regeneration techniques under similar conditions3. Here we assess the current spatial distribution of pantropical natural forest (from 2000 to 2016) and use this to present a model of the potential for natural regeneration across tropical forested countries and biomes at a spatial resolution of 30 m. We estimate that an area of 215</w:instrText>
      </w:r>
      <w:r w:rsidR="00666A67">
        <w:rPr>
          <w:rFonts w:ascii="Arial" w:hAnsi="Arial" w:cs="Arial"/>
        </w:rPr>
        <w:instrText> </w:instrText>
      </w:r>
      <w:r w:rsidR="00666A67">
        <w:instrText>million hectares—an area greater than the entire country of Mexico—has potential for natural forest regeneration, representing an above-ground carbon sequestration potential of 23.4</w:instrText>
      </w:r>
      <w:r w:rsidR="00666A67">
        <w:rPr>
          <w:rFonts w:ascii="Arial" w:hAnsi="Arial" w:cs="Arial"/>
        </w:rPr>
        <w:instrText> </w:instrText>
      </w:r>
      <w:r w:rsidR="00666A67">
        <w:instrText>Gt C (range, 21.1</w:instrText>
      </w:r>
      <w:r w:rsidR="00666A67">
        <w:rPr>
          <w:rFonts w:ascii="Aptos" w:hAnsi="Aptos" w:cs="Aptos"/>
        </w:rPr>
        <w:instrText>–</w:instrText>
      </w:r>
      <w:r w:rsidR="00666A67">
        <w:instrText>25.7</w:instrText>
      </w:r>
      <w:r w:rsidR="00666A67">
        <w:rPr>
          <w:rFonts w:ascii="Arial" w:hAnsi="Arial" w:cs="Arial"/>
        </w:rPr>
        <w:instrText> </w:instrText>
      </w:r>
      <w:r w:rsidR="00666A67">
        <w:instrText>Gt) over 30</w:instrText>
      </w:r>
      <w:r w:rsidR="00666A67">
        <w:rPr>
          <w:rFonts w:ascii="Arial" w:hAnsi="Arial" w:cs="Arial"/>
        </w:rPr>
        <w:instrText> </w:instrText>
      </w:r>
      <w:r w:rsidR="00666A67">
        <w:instrText xml:space="preserve">years. Five countries (Brazil, Indonesia, China, Mexico and Colombia) account for 52% of this estimated potential, showcasing the need for targeting restoration initiatives that leverage natural regeneration potential. Our results facilitate broader equitable decision-making processes that capitalize on the widespread opportunity for natural regeneration to help achieve national and global environmental agendas.","container-title":"Nature","DOI":"10.1038/s41586-024-08106-4","ISSN":"1476-4687","language":"en","license":"2024 The Author(s)","page":"1-7","publisher":"Nature Publishing Group","source":"www.nature.com","title":"Global potential for natural regeneration in deforested tropical regions","author":[{"family":"Williams","given":"Brooke A."},{"family":"Beyer","given":"Hawthorne L."},{"family":"Fagan","given":"Matthew E."},{"family":"Chazdon","given":"Robin L."},{"family":"Schmoeller","given":"Marina"},{"family":"Sprenkle-Hyppolite","given":"Starry"},{"family":"Griscom","given":"Bronson W."},{"family":"Watson","given":"James E. M."},{"family":"Tedesco","given":"Anazélia M."},{"family":"Gonzalez-Roglich","given":"Mariano"},{"family":"Daldegan","given":"Gabriel A."},{"family":"Bodin","given":"Blaise"},{"family":"Celentano","given":"Danielle"},{"family":"Wilson","given":"Sarah Jane"},{"family":"Rhodes","given":"Jonathan R."},{"family":"Alexandre","given":"Nikola S."},{"family":"Kim","given":"Do-Hyung"},{"family":"Bastos","given":"Diego"},{"family":"Crouzeilles","given":"Renato"}],"issued":{"date-parts":[["2024",10,30]]}},"label":"page","suppress-author":true}],"schema":"https://github.com/citation-style-language/schema/raw/master/csl-citation.json"} </w:instrText>
      </w:r>
      <w:r w:rsidR="000430F8">
        <w:fldChar w:fldCharType="separate"/>
      </w:r>
      <w:r w:rsidR="00666A67" w:rsidRPr="00666A67">
        <w:rPr>
          <w:rFonts w:ascii="Aptos" w:hAnsi="Aptos" w:cs="Times New Roman"/>
          <w:kern w:val="0"/>
          <w:vertAlign w:val="superscript"/>
        </w:rPr>
        <w:t>14</w:t>
      </w:r>
      <w:r w:rsidR="000430F8">
        <w:fldChar w:fldCharType="end"/>
      </w:r>
      <w:r w:rsidR="00942D1C" w:rsidRPr="00942D1C">
        <w:t>, who used biome as a categorical variable, we adopted the official vegetation types defined by the Brazilian government</w:t>
      </w:r>
      <w:r w:rsidR="00FB0ECA">
        <w:t xml:space="preserve"> </w:t>
      </w:r>
      <w:r w:rsidR="007D59CF">
        <w:t>(</w:t>
      </w:r>
      <w:r w:rsidR="007D59CF" w:rsidRPr="007D59CF">
        <w:t>https://www.ibge.gov.br/geociencias/informacoes-ambientais/vegetacao/15842-mapa-de-vegetacao.html</w:t>
      </w:r>
      <w:r w:rsidR="007D59CF">
        <w:t>)</w:t>
      </w:r>
      <w:r w:rsidR="00942D1C" w:rsidRPr="00942D1C">
        <w:t xml:space="preserve">. This approach accounts for the fact that many Brazilian biomes encompass multiple vegetation </w:t>
      </w:r>
      <w:r w:rsidR="00C043ED">
        <w:t>types</w:t>
      </w:r>
      <w:r w:rsidR="00942D1C" w:rsidRPr="00942D1C">
        <w:t xml:space="preserve"> with distinct successional </w:t>
      </w:r>
      <w:proofErr w:type="gramStart"/>
      <w:r w:rsidR="00942D1C" w:rsidRPr="00942D1C">
        <w:t>dynamics</w:t>
      </w:r>
      <w:r w:rsidR="00741E1B">
        <w:t>;</w:t>
      </w:r>
      <w:proofErr w:type="gramEnd"/>
    </w:p>
    <w:p w14:paraId="368DC2BD" w14:textId="7FA87515" w:rsidR="00565652" w:rsidRDefault="00565652" w:rsidP="00841EB8">
      <w:pPr>
        <w:spacing w:before="120" w:after="120" w:line="360" w:lineRule="auto"/>
      </w:pPr>
      <w:r>
        <w:t>All predictor layers were resampled or aggregated to 1-km spatial resolution and projected to</w:t>
      </w:r>
      <w:r w:rsidR="004D41CC">
        <w:t xml:space="preserve"> </w:t>
      </w:r>
      <w:r w:rsidR="00C4386C" w:rsidRPr="00C4386C">
        <w:t>Albers Equal Area Conic projection</w:t>
      </w:r>
      <w:r>
        <w:t>.</w:t>
      </w:r>
    </w:p>
    <w:p w14:paraId="73B74C72" w14:textId="2434BE73" w:rsidR="00D1313F" w:rsidRDefault="00D1313F" w:rsidP="00841EB8">
      <w:pPr>
        <w:spacing w:before="120" w:after="120" w:line="360" w:lineRule="auto"/>
      </w:pPr>
      <w:r w:rsidRPr="00D1313F">
        <w:t xml:space="preserve">We fitted the natural regeneration model using a random forest classifier implemented in the R package </w:t>
      </w:r>
      <w:r w:rsidR="00FA5599" w:rsidRPr="00B0086C">
        <w:rPr>
          <w:i/>
          <w:iCs/>
        </w:rPr>
        <w:t>‘</w:t>
      </w:r>
      <w:proofErr w:type="spellStart"/>
      <w:r w:rsidR="00FA5599" w:rsidRPr="00B0086C">
        <w:rPr>
          <w:i/>
          <w:iCs/>
        </w:rPr>
        <w:t>randomForestSRC</w:t>
      </w:r>
      <w:proofErr w:type="spellEnd"/>
      <w:r w:rsidR="00FA5599" w:rsidRPr="00B0086C">
        <w:rPr>
          <w:i/>
          <w:iCs/>
        </w:rPr>
        <w:t>’</w:t>
      </w:r>
      <w:r w:rsidR="00FA5599">
        <w:t xml:space="preserve"> </w:t>
      </w:r>
      <w:r w:rsidR="00FA5599">
        <w:fldChar w:fldCharType="begin"/>
      </w:r>
      <w:r w:rsidR="00666A67">
        <w:instrText xml:space="preserve"> ADDIN ZOTERO_ITEM CSL_CITATION {"citationID":"pD8sPG7O","properties":{"formattedCitation":"\\super 20\\nosupersub{}","plainCitation":"20","noteIndex":0},"citationItems":[{"id":7117,"uris":["http://zotero.org/users/3309187/items/HS4YHYY4"],"itemData":{"id":7117,"type":"software","abstract":"Fast OpenMP parallel computing of Breiman's random forests for univariate, multivariate, unsupervised, survival, competing risks, class imbalanced classification and quantile regression. New Mahalanobis splitting for correlated outcomes. Extreme random forests and randomized splitting. Suite of imputation methods for missing data. Fast random forests using subsampling. Confidence regions and standard errors for variable importance. New improved holdout importance. Case-specific importance. Minimal depth variable importance. Visualize trees on your Safari or Google Chrome browser. Anonymous random forests for data privacy.","license":"GPL (≥ 3)","source":"R-Packages","title":"randomForestSRC: Fast Unified Random Forests for Survival, Regression, and Classification (RF-SRC)","title-short":"randomForestSRC","URL":"https://cran.r-project.org/web/packages/randomForestSRC/index.html","version":"3.4.1","author":[{"family":"Ishwaran","given":"Hemant"},{"family":"Kogalur","given":"Udaya B."}],"accessed":{"date-parts":[["2025",7,15]]},"issued":{"date-parts":[["2025",6,8]]}}}],"schema":"https://github.com/citation-style-language/schema/raw/master/csl-citation.json"} </w:instrText>
      </w:r>
      <w:r w:rsidR="00FA5599">
        <w:fldChar w:fldCharType="separate"/>
      </w:r>
      <w:r w:rsidR="00666A67" w:rsidRPr="00666A67">
        <w:rPr>
          <w:rFonts w:ascii="Aptos" w:hAnsi="Aptos" w:cs="Times New Roman"/>
          <w:kern w:val="0"/>
          <w:vertAlign w:val="superscript"/>
        </w:rPr>
        <w:t>20</w:t>
      </w:r>
      <w:r w:rsidR="00FA5599">
        <w:fldChar w:fldCharType="end"/>
      </w:r>
      <w:r w:rsidRPr="00D1313F">
        <w:t>, using 400 trees and default parameter settings except for a minimum node size of 20. The model was trained on 80% of the dataset, with the remaining 20% withheld for independent validation. Model performance was assessed using the area under the receiver operating characteristic curve (AUC), which quantifies the model’s ability to discriminate between sites that do and do not undergo natural regeneration across all possible probability thresholds. An AUC value of 0.5 indicates no discriminative ability (equivalent to random classification), whereas a value of 1 indicates perfect discrimination</w:t>
      </w:r>
      <w:r w:rsidR="005D42E9">
        <w:fldChar w:fldCharType="begin"/>
      </w:r>
      <w:r w:rsidR="00666A67">
        <w:instrText xml:space="preserve"> ADDIN ZOTERO_ITEM CSL_CITATION {"citationID":"qSBrFmWj","properties":{"formattedCitation":"\\super 21\\nosupersub{}","plainCitation":"21","noteIndex":0},"citationItems":[{"id":7609,"uris":["http://zotero.org/users/3309187/items/AFI3MVYZ"],"itemData":{"id":7609,"type":"article-journal","abstract":"Receiver operating characteristics (ROC) graphs are useful for organizing classifiers and visualizing their performance. ROC graphs are commonly used in medical decision making, and in recent years have been used increasingly in machine learning and data mining research. Although ROC graphs are apparently simple, there are some common misconceptions and pitfalls when using them in practice. The purpose of this article is to serve as an introduction to ROC graphs and as a guide for using them in research.","collection-title":"ROC Analysis in Pattern Recognition","container-title":"Pattern Recognition Letters","DOI":"10.1016/j.patrec.2005.10.010","ISSN":"0167-8655","issue":"8","journalAbbreviation":"Pattern Recognition Letters","page":"861-874","source":"ScienceDirect","title":"An introduction to ROC analysis","volume":"27","author":[{"family":"Fawcett","given":"Tom"}],"issued":{"date-parts":[["2006",6,1]]}}}],"schema":"https://github.com/citation-style-language/schema/raw/master/csl-citation.json"} </w:instrText>
      </w:r>
      <w:r w:rsidR="005D42E9">
        <w:fldChar w:fldCharType="separate"/>
      </w:r>
      <w:r w:rsidR="00666A67" w:rsidRPr="00666A67">
        <w:rPr>
          <w:rFonts w:ascii="Aptos" w:hAnsi="Aptos" w:cs="Times New Roman"/>
          <w:kern w:val="0"/>
          <w:vertAlign w:val="superscript"/>
        </w:rPr>
        <w:t>21</w:t>
      </w:r>
      <w:r w:rsidR="005D42E9">
        <w:fldChar w:fldCharType="end"/>
      </w:r>
      <w:r w:rsidRPr="00D1313F">
        <w:t xml:space="preserve">. The model achieved an AUC of 0.896 on the validation set, indicating high predictive accuracy and strong discrimination between regenerating and non-regenerating sites. Variable importance rankings are shown in </w:t>
      </w:r>
      <w:r w:rsidR="00A456CD" w:rsidRPr="003411F9">
        <w:fldChar w:fldCharType="begin"/>
      </w:r>
      <w:r w:rsidR="00A456CD" w:rsidRPr="003411F9">
        <w:instrText xml:space="preserve"> REF _Ref203555344 \h </w:instrText>
      </w:r>
      <w:r w:rsidR="00A456CD">
        <w:instrText xml:space="preserve"> \* MERGEFORMAT </w:instrText>
      </w:r>
      <w:r w:rsidR="00A456CD" w:rsidRPr="003411F9">
        <w:fldChar w:fldCharType="separate"/>
      </w:r>
      <w:r w:rsidR="008F041A" w:rsidRPr="000333BE">
        <w:t>Supp</w:t>
      </w:r>
      <w:r w:rsidR="007A3FA5">
        <w:t>lementary</w:t>
      </w:r>
      <w:r w:rsidR="008F041A" w:rsidRPr="000333BE">
        <w:t xml:space="preserve"> Fig</w:t>
      </w:r>
      <w:r w:rsidR="008F041A">
        <w:t>.</w:t>
      </w:r>
      <w:r w:rsidR="008F041A" w:rsidRPr="000333BE">
        <w:t xml:space="preserve"> </w:t>
      </w:r>
      <w:r w:rsidR="008F041A">
        <w:t>6</w:t>
      </w:r>
      <w:r w:rsidR="00A456CD" w:rsidRPr="003411F9">
        <w:fldChar w:fldCharType="end"/>
      </w:r>
      <w:r w:rsidR="00A31B66">
        <w:t>A</w:t>
      </w:r>
      <w:r w:rsidRPr="00D1313F">
        <w:t xml:space="preserve">, and the receiver operating characteristic curve and the distribution of predicted regeneration probabilities are shown in </w:t>
      </w:r>
      <w:r w:rsidR="00A31B66" w:rsidRPr="003411F9">
        <w:fldChar w:fldCharType="begin"/>
      </w:r>
      <w:r w:rsidR="00A31B66" w:rsidRPr="003411F9">
        <w:instrText xml:space="preserve"> REF _Ref203555344 \h </w:instrText>
      </w:r>
      <w:r w:rsidR="00A31B66">
        <w:instrText xml:space="preserve"> \* MERGEFORMAT </w:instrText>
      </w:r>
      <w:r w:rsidR="00A31B66" w:rsidRPr="003411F9">
        <w:fldChar w:fldCharType="separate"/>
      </w:r>
      <w:r w:rsidR="00A31B66" w:rsidRPr="000333BE">
        <w:t>Supp</w:t>
      </w:r>
      <w:r w:rsidR="00A31B66">
        <w:t>lementary</w:t>
      </w:r>
      <w:r w:rsidR="00A31B66" w:rsidRPr="000333BE">
        <w:t xml:space="preserve"> Fig</w:t>
      </w:r>
      <w:r w:rsidR="00A31B66">
        <w:t>.</w:t>
      </w:r>
      <w:r w:rsidR="00A31B66" w:rsidRPr="000333BE">
        <w:t xml:space="preserve"> </w:t>
      </w:r>
      <w:r w:rsidR="00A31B66">
        <w:t>6</w:t>
      </w:r>
      <w:r w:rsidR="00A31B66" w:rsidRPr="003411F9">
        <w:fldChar w:fldCharType="end"/>
      </w:r>
      <w:r w:rsidR="00A31B66">
        <w:t>B</w:t>
      </w:r>
      <w:r w:rsidRPr="00D1313F">
        <w:t>.</w:t>
      </w:r>
    </w:p>
    <w:p w14:paraId="1FB57152" w14:textId="60175AD0" w:rsidR="00565652" w:rsidRPr="008508B7" w:rsidRDefault="008241C8" w:rsidP="00841EB8">
      <w:pPr>
        <w:pStyle w:val="Heading4"/>
        <w:spacing w:line="360" w:lineRule="auto"/>
      </w:pPr>
      <w:r w:rsidRPr="008508B7">
        <w:lastRenderedPageBreak/>
        <w:t>Generation of the regeneration probability surface</w:t>
      </w:r>
    </w:p>
    <w:p w14:paraId="455D84BE" w14:textId="47492665" w:rsidR="00201D85" w:rsidRDefault="00565652" w:rsidP="00221984">
      <w:pPr>
        <w:spacing w:before="120" w:after="120" w:line="360" w:lineRule="auto"/>
      </w:pPr>
      <w:r>
        <w:t>We applied the trained model to all 1-km pixels across Brazil to generate a continuous surface of natural regeneration probability</w:t>
      </w:r>
      <w:r w:rsidR="00BE7B52">
        <w:t xml:space="preserve"> </w:t>
      </w:r>
      <w:r w:rsidR="00BE7B52" w:rsidRPr="00BE7B52">
        <w:rPr>
          <w:i/>
          <w:iCs/>
        </w:rPr>
        <w:t>p</w:t>
      </w:r>
      <w:r>
        <w:t xml:space="preserve"> (values between 0 and 1). This included areas both within and outside the tropical latitudes (i.e., beyond the Tropics of Cancer and Capricorn). The resulting map is shown in</w:t>
      </w:r>
      <w:r w:rsidR="00E261F5">
        <w:t xml:space="preserve"> </w:t>
      </w:r>
      <w:r w:rsidR="008B634A">
        <w:fldChar w:fldCharType="begin"/>
      </w:r>
      <w:r w:rsidR="008B634A">
        <w:instrText xml:space="preserve"> REF _Ref213764109 \h </w:instrText>
      </w:r>
      <w:r w:rsidR="008B634A">
        <w:fldChar w:fldCharType="separate"/>
      </w:r>
      <w:r w:rsidR="008B634A" w:rsidRPr="00A23202">
        <w:t>Supp</w:t>
      </w:r>
      <w:r w:rsidR="00990A95">
        <w:t>lementary</w:t>
      </w:r>
      <w:r w:rsidR="008B634A" w:rsidRPr="00A23202">
        <w:t xml:space="preserve"> Fig</w:t>
      </w:r>
      <w:r w:rsidR="008B634A">
        <w:t>.</w:t>
      </w:r>
      <w:r w:rsidR="008B634A" w:rsidRPr="00A23202">
        <w:t xml:space="preserve"> </w:t>
      </w:r>
      <w:r w:rsidR="008B634A">
        <w:rPr>
          <w:noProof/>
        </w:rPr>
        <w:t>2</w:t>
      </w:r>
      <w:r w:rsidR="008B634A">
        <w:fldChar w:fldCharType="end"/>
      </w:r>
      <w:r w:rsidR="008B634A">
        <w:t>D</w:t>
      </w:r>
      <w:r w:rsidR="00F966D6" w:rsidRPr="002D1C5E">
        <w:t>.</w:t>
      </w:r>
      <w:r w:rsidR="00BE7B52">
        <w:t xml:space="preserve"> </w:t>
      </w:r>
      <w:r w:rsidR="004222F2" w:rsidRPr="004222F2">
        <w:t>We then used modelled estimates of p as a proxy for counterfactual land-use dynamics in the absence of interventions. While quasi-experimental estimators of counterfactual outcomes would be preferable</w:t>
      </w:r>
      <w:r w:rsidR="00201D85" w:rsidRPr="00B460FB">
        <w:fldChar w:fldCharType="begin"/>
      </w:r>
      <w:r w:rsidR="000A35A1">
        <w:instrText xml:space="preserve"> ADDIN ZOTERO_ITEM CSL_CITATION {"citationID":"pLiDTC71","properties":{"formattedCitation":"\\super 22\\nosupersub{}","plainCitation":"22","noteIndex":0},"citationItems":[{"id":6168,"uris":["http://zotero.org/users/3309187/items/3UMXGUSC"],"itemData":{"id":6168,"type":"article-journal","abstract":"Continuing to produce nature-based credits using dubious accounting methodologies will yield limited carbon and biodiversity gains. Establishing scientific credibility unlocks the potential of credits to meaningfully contribute to targets of the Paris and Kunming-Montreal agreements.","container-title":"Nature Sustainability","DOI":"10.1038/s41893-024-01403-w","ISSN":"2398-9629","journalAbbreviation":"Nat Sustain","language":"en","license":"2024 Springer Nature Limited","page":"1-4","publisher":"Nature Publishing Group","source":"www.nature.com","title":"Nature-based credit markets at a crossroads","author":[{"family":"Swinfield","given":"Tom"},{"family":"Shrikanth","given":"Siddarth"},{"family":"Bull","given":"Joseph W."},{"family":"Madhavapeddy","given":"Anil"},{"family":"Ermgassen","given":"Sophus O. S. E.","non-dropping-particle":"zu"}],"issued":{"date-parts":[["2024",8,6]]}}}],"schema":"https://github.com/citation-style-language/schema/raw/master/csl-citation.json"} </w:instrText>
      </w:r>
      <w:r w:rsidR="00201D85" w:rsidRPr="00B460FB">
        <w:fldChar w:fldCharType="separate"/>
      </w:r>
      <w:r w:rsidR="000A35A1" w:rsidRPr="000A35A1">
        <w:rPr>
          <w:rFonts w:ascii="Aptos" w:hAnsi="Aptos" w:cs="Times New Roman"/>
          <w:kern w:val="0"/>
          <w:vertAlign w:val="superscript"/>
        </w:rPr>
        <w:t>22</w:t>
      </w:r>
      <w:r w:rsidR="00201D85" w:rsidRPr="00B460FB">
        <w:fldChar w:fldCharType="end"/>
      </w:r>
      <w:r w:rsidR="00201D85" w:rsidRPr="00B460FB">
        <w:t xml:space="preserve">, </w:t>
      </w:r>
      <w:r w:rsidR="00201D85">
        <w:t xml:space="preserve">these </w:t>
      </w:r>
      <w:r w:rsidR="000A35A1">
        <w:t>can</w:t>
      </w:r>
      <w:r w:rsidR="00201D85">
        <w:t xml:space="preserve"> only be implemented to assess the effectiveness of projects ex post</w:t>
      </w:r>
      <w:r w:rsidR="00201D85" w:rsidRPr="00B460FB">
        <w:t>.</w:t>
      </w:r>
    </w:p>
    <w:p w14:paraId="28E3059E" w14:textId="733067C5" w:rsidR="00497356" w:rsidRPr="008A6B9F" w:rsidRDefault="001F39C1" w:rsidP="00841EB8">
      <w:pPr>
        <w:spacing w:before="120" w:after="120" w:line="360" w:lineRule="auto"/>
        <w:rPr>
          <w:color w:val="EE0000"/>
        </w:rPr>
      </w:pPr>
      <w:r w:rsidRPr="00837EB5">
        <w:t>T</w:t>
      </w:r>
      <w:r w:rsidR="00540A4A" w:rsidRPr="00837EB5">
        <w:t>he outcome of this model is</w:t>
      </w:r>
      <w:r w:rsidR="00416EC0" w:rsidRPr="00837EB5">
        <w:t xml:space="preserve"> not only dependent on ecological capacity for growth</w:t>
      </w:r>
      <w:r w:rsidR="002A1044" w:rsidRPr="00837EB5">
        <w:t xml:space="preserve"> </w:t>
      </w:r>
      <w:r w:rsidR="004D6B5E" w:rsidRPr="00837EB5">
        <w:t>but also on socioeconomic conditions</w:t>
      </w:r>
      <w:r w:rsidRPr="00837EB5">
        <w:t>.</w:t>
      </w:r>
      <w:r w:rsidR="000A6D9B" w:rsidRPr="00837EB5">
        <w:t xml:space="preserve"> Even if all ecological requirements are present for native vegetation to re-establish, regeneration will only occur if human disturbances are reduced </w:t>
      </w:r>
      <w:r w:rsidR="0013614B" w:rsidRPr="00837EB5">
        <w:t>(</w:t>
      </w:r>
      <w:r w:rsidR="0013614B" w:rsidRPr="00837EB5">
        <w:rPr>
          <w:i/>
          <w:iCs/>
        </w:rPr>
        <w:t>i.e.</w:t>
      </w:r>
      <w:r w:rsidR="0013614B" w:rsidRPr="00837EB5">
        <w:t xml:space="preserve"> land abandonment</w:t>
      </w:r>
      <w:r w:rsidR="000A6D9B" w:rsidRPr="00837EB5">
        <w:t xml:space="preserve"> </w:t>
      </w:r>
      <w:r w:rsidR="00B32DDF" w:rsidRPr="00837EB5">
        <w:t>and/or</w:t>
      </w:r>
      <w:r w:rsidR="000A6D9B" w:rsidRPr="00837EB5">
        <w:t xml:space="preserve"> assisted natural regeneration</w:t>
      </w:r>
      <w:r w:rsidR="0013614B" w:rsidRPr="00837EB5">
        <w:t xml:space="preserve">). </w:t>
      </w:r>
      <w:r w:rsidR="00752D90" w:rsidRPr="00837EB5">
        <w:t>This might help explain why</w:t>
      </w:r>
      <w:r w:rsidR="002910B6" w:rsidRPr="00837EB5">
        <w:t xml:space="preserve"> we detected a predominance of low probability</w:t>
      </w:r>
      <w:r w:rsidR="00C630B7" w:rsidRPr="00837EB5">
        <w:t xml:space="preserve"> values, including in the amazon, where there is </w:t>
      </w:r>
      <w:r w:rsidR="007C4909" w:rsidRPr="00837EB5">
        <w:t xml:space="preserve">an </w:t>
      </w:r>
      <w:r w:rsidR="00C630B7" w:rsidRPr="00837EB5">
        <w:t xml:space="preserve">abundance of seed sources for recolonization from the surrounding forests </w:t>
      </w:r>
      <w:r w:rsidR="008426CB" w:rsidRPr="00837EB5">
        <w:t xml:space="preserve">– at least </w:t>
      </w:r>
      <w:r w:rsidR="007C4909" w:rsidRPr="00837EB5">
        <w:t>at broader</w:t>
      </w:r>
      <w:r w:rsidR="008426CB" w:rsidRPr="00837EB5">
        <w:t xml:space="preserve"> landscape scale. </w:t>
      </w:r>
      <w:r w:rsidR="00773325" w:rsidRPr="00837EB5">
        <w:t xml:space="preserve">Here, the limiting factor is not ecological capacity but the likelihood of </w:t>
      </w:r>
      <w:r w:rsidR="00751C16" w:rsidRPr="00837EB5">
        <w:t>limiting</w:t>
      </w:r>
      <w:r w:rsidR="00773325" w:rsidRPr="00837EB5">
        <w:t xml:space="preserve"> ongoing pressures</w:t>
      </w:r>
      <w:r w:rsidR="00220258" w:rsidRPr="00837EB5">
        <w:t xml:space="preserve"> such as</w:t>
      </w:r>
      <w:r w:rsidR="00773325" w:rsidRPr="00837EB5">
        <w:t xml:space="preserve"> grazing, fires, or invasive species</w:t>
      </w:r>
      <w:r w:rsidR="00F82203" w:rsidRPr="00837EB5">
        <w:t xml:space="preserve"> (among other factors)</w:t>
      </w:r>
      <w:r w:rsidR="00751C16" w:rsidRPr="00837EB5">
        <w:t>, which can</w:t>
      </w:r>
      <w:r w:rsidR="00773325" w:rsidRPr="00837EB5">
        <w:t xml:space="preserve"> undermine forest</w:t>
      </w:r>
      <w:r w:rsidR="007B77A8" w:rsidRPr="00837EB5">
        <w:t xml:space="preserve"> recovery</w:t>
      </w:r>
      <w:r w:rsidR="00773325" w:rsidRPr="00837EB5">
        <w:t xml:space="preserve"> </w:t>
      </w:r>
      <w:r w:rsidR="007C1114" w:rsidRPr="008A6B9F">
        <w:rPr>
          <w:color w:val="EE0000"/>
        </w:rPr>
        <w:fldChar w:fldCharType="begin"/>
      </w:r>
      <w:r w:rsidR="00666A67">
        <w:rPr>
          <w:color w:val="EE0000"/>
        </w:rPr>
        <w:instrText xml:space="preserve"> ADDIN ZOTERO_ITEM CSL_CITATION {"citationID":"9cwfnLJa","properties":{"formattedCitation":"\\super 16\\nosupersub{}","plainCitation":"16","noteIndex":0},"citationItems":[{"id":869,"uris":["http://zotero.org/users/3309187/items/MRZBRU43"],"itemData":{"id":869,"type":"article-journal","container-title":"Biotropica","DOI":"10.1111/btp.12381","ISSN":"00063606","issue":"6","language":"en","page":"716-730","source":"CrossRef","title":"Natural regeneration as a tool for large-scale forest restoration in the tropics: prospects and challenges","title-short":"Natural regeneration as a tool for large-scale forest restoration in the tropics","volume":"48","author":[{"family":"Chazdon","given":"Robin L."},{"family":"Guariguata","given":"Manuel R."}],"issued":{"date-parts":[["2016",11]]}}}],"schema":"https://github.com/citation-style-language/schema/raw/master/csl-citation.json"} </w:instrText>
      </w:r>
      <w:r w:rsidR="007C1114" w:rsidRPr="008A6B9F">
        <w:rPr>
          <w:color w:val="EE0000"/>
        </w:rPr>
        <w:fldChar w:fldCharType="separate"/>
      </w:r>
      <w:r w:rsidR="00666A67" w:rsidRPr="00666A67">
        <w:rPr>
          <w:rFonts w:ascii="Aptos" w:hAnsi="Aptos" w:cs="Times New Roman"/>
          <w:kern w:val="0"/>
          <w:vertAlign w:val="superscript"/>
        </w:rPr>
        <w:t>16</w:t>
      </w:r>
      <w:r w:rsidR="007C1114" w:rsidRPr="008A6B9F">
        <w:rPr>
          <w:color w:val="EE0000"/>
        </w:rPr>
        <w:fldChar w:fldCharType="end"/>
      </w:r>
      <w:r w:rsidR="00BB7BA1" w:rsidRPr="008A6B9F">
        <w:rPr>
          <w:color w:val="EE0000"/>
        </w:rPr>
        <w:t>.</w:t>
      </w:r>
    </w:p>
    <w:p w14:paraId="71614CDC" w14:textId="039B4753" w:rsidR="00A2005A" w:rsidRDefault="00597C59" w:rsidP="00841EB8">
      <w:pPr>
        <w:pStyle w:val="Heading2"/>
        <w:spacing w:line="360" w:lineRule="auto"/>
      </w:pPr>
      <w:bookmarkStart w:id="15" w:name="_Toc225254931"/>
      <w:r>
        <w:t>Discounting the carbon additionality</w:t>
      </w:r>
      <w:r w:rsidR="004E78D3">
        <w:t xml:space="preserve"> and carbon opportunity cost of restoration</w:t>
      </w:r>
      <w:bookmarkEnd w:id="15"/>
    </w:p>
    <w:p w14:paraId="01CF5B6B" w14:textId="7C44BAEC" w:rsidR="008E6790" w:rsidRPr="008E6790" w:rsidRDefault="008E6790" w:rsidP="00841EB8">
      <w:pPr>
        <w:spacing w:before="120" w:after="120" w:line="360" w:lineRule="auto"/>
      </w:pPr>
      <w:r w:rsidRPr="00DE2AE0">
        <w:t>To calculate the discounted Social Cost of Carbon</w:t>
      </w:r>
      <w:r w:rsidR="002371FA">
        <w:t xml:space="preserve"> (</w:t>
      </w:r>
      <w:proofErr w:type="spellStart"/>
      <w:r w:rsidR="002371FA" w:rsidRPr="009A5C08">
        <w:rPr>
          <w:i/>
          <w:iCs/>
        </w:rPr>
        <w:t>SCC</w:t>
      </w:r>
      <w:r w:rsidR="002371FA" w:rsidRPr="009A5C08">
        <w:rPr>
          <w:i/>
          <w:iCs/>
          <w:vertAlign w:val="subscript"/>
        </w:rPr>
        <w:t>t</w:t>
      </w:r>
      <w:r w:rsidR="002371FA" w:rsidRPr="009A5C08">
        <w:rPr>
          <w:i/>
          <w:iCs/>
          <w:vertAlign w:val="superscript"/>
        </w:rPr>
        <w:t>disc</w:t>
      </w:r>
      <w:proofErr w:type="spellEnd"/>
      <w:r w:rsidR="002371FA" w:rsidRPr="009A5C08">
        <w:rPr>
          <w:rFonts w:ascii="Arial" w:hAnsi="Arial" w:cs="Arial"/>
          <w:i/>
          <w:iCs/>
        </w:rPr>
        <w:t>​</w:t>
      </w:r>
      <w:r w:rsidR="002371FA" w:rsidRPr="00E20579">
        <w:t xml:space="preserve"> </w:t>
      </w:r>
      <w:r w:rsidR="002371FA">
        <w:t>)</w:t>
      </w:r>
      <w:r w:rsidR="00DB6AA5" w:rsidRPr="00DE2AE0">
        <w:t xml:space="preserve"> we used equation </w:t>
      </w:r>
      <w:r w:rsidR="001F47B4">
        <w:t>S</w:t>
      </w:r>
      <w:r w:rsidR="009F5F3D">
        <w:t>14</w:t>
      </w:r>
      <w:r w:rsidR="00DB6AA5" w:rsidRPr="00DE2AE0">
        <w:t>:</w:t>
      </w:r>
    </w:p>
    <w:p w14:paraId="2673FB32" w14:textId="66046B01" w:rsidR="008E6790" w:rsidRPr="00C77F7D" w:rsidRDefault="005766E0" w:rsidP="00841EB8">
      <w:pPr>
        <w:pStyle w:val="BodyText"/>
        <w:spacing w:line="360" w:lineRule="auto"/>
        <w:rPr>
          <w:rFonts w:eastAsiaTheme="minorEastAsia"/>
          <w:sz w:val="22"/>
          <w:szCs w:val="22"/>
        </w:rPr>
      </w:pPr>
      <m:oMathPara>
        <m:oMath>
          <m:eqArr>
            <m:eqArrPr>
              <m:maxDist m:val="1"/>
              <m:ctrlPr>
                <w:rPr>
                  <w:rFonts w:ascii="Cambria Math" w:eastAsiaTheme="minorEastAsia" w:hAnsi="Cambria Math"/>
                  <w:i/>
                </w:rPr>
              </m:ctrlPr>
            </m:eqArrPr>
            <m:e>
              <m:r>
                <w:rPr>
                  <w:rFonts w:ascii="Cambria Math" w:hAnsi="Cambria Math"/>
                </w:rPr>
                <m:t>SC</m:t>
              </m:r>
              <m:sSubSup>
                <m:sSubSupPr>
                  <m:ctrlPr>
                    <w:rPr>
                      <w:rFonts w:ascii="Cambria Math" w:hAnsi="Cambria Math"/>
                    </w:rPr>
                  </m:ctrlPr>
                </m:sSubSupPr>
                <m:e>
                  <m:r>
                    <w:rPr>
                      <w:rFonts w:ascii="Cambria Math" w:hAnsi="Cambria Math"/>
                    </w:rPr>
                    <m:t>C</m:t>
                  </m:r>
                </m:e>
                <m:sub>
                  <m:r>
                    <w:rPr>
                      <w:rFonts w:ascii="Cambria Math" w:hAnsi="Cambria Math"/>
                    </w:rPr>
                    <m:t>[t]</m:t>
                  </m:r>
                </m:sub>
                <m:sup>
                  <m:r>
                    <w:rPr>
                      <w:rFonts w:ascii="Cambria Math" w:hAnsi="Cambria Math"/>
                    </w:rPr>
                    <m:t>disc</m:t>
                  </m:r>
                </m:sup>
              </m:sSubSup>
              <m:r>
                <m:rPr>
                  <m:sty m:val="p"/>
                </m:rPr>
                <w:rPr>
                  <w:rFonts w:ascii="Cambria Math" w:hAnsi="Cambria Math"/>
                </w:rPr>
                <m:t xml:space="preserve">= </m:t>
              </m:r>
              <m:f>
                <m:fPr>
                  <m:ctrlPr>
                    <w:rPr>
                      <w:rFonts w:ascii="Cambria Math" w:hAnsi="Cambria Math"/>
                    </w:rPr>
                  </m:ctrlPr>
                </m:fPr>
                <m:num>
                  <m:r>
                    <w:rPr>
                      <w:rFonts w:ascii="Cambria Math" w:hAnsi="Cambria Math"/>
                    </w:rPr>
                    <m:t>SC</m:t>
                  </m:r>
                  <m:sSub>
                    <m:sSubPr>
                      <m:ctrlPr>
                        <w:rPr>
                          <w:rFonts w:ascii="Cambria Math" w:hAnsi="Cambria Math"/>
                        </w:rPr>
                      </m:ctrlPr>
                    </m:sSubPr>
                    <m:e>
                      <m:r>
                        <w:rPr>
                          <w:rFonts w:ascii="Cambria Math" w:hAnsi="Cambria Math"/>
                        </w:rPr>
                        <m:t>C</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 xml:space="preserve">1+ </m:t>
                          </m:r>
                          <m:r>
                            <w:rPr>
                              <w:rFonts w:ascii="Cambria Math" w:hAnsi="Cambria Math"/>
                            </w:rPr>
                            <m:t>δ</m:t>
                          </m:r>
                        </m:e>
                      </m:d>
                    </m:e>
                    <m:sup>
                      <m:r>
                        <w:rPr>
                          <w:rFonts w:ascii="Cambria Math" w:hAnsi="Cambria Math"/>
                        </w:rPr>
                        <m:t>t</m:t>
                      </m:r>
                    </m:sup>
                  </m:sSup>
                </m:den>
              </m:f>
              <m:r>
                <w:rPr>
                  <w:rFonts w:ascii="Cambria Math" w:eastAsiaTheme="minorEastAsia" w:hAnsi="Cambria Math"/>
                </w:rPr>
                <m:t xml:space="preserve"> </m:t>
              </m:r>
              <m:r>
                <w:rPr>
                  <w:rFonts w:ascii="Cambria Math" w:hAnsi="Cambria Math"/>
                </w:rPr>
                <m:t>#</m:t>
              </m:r>
              <m:d>
                <m:dPr>
                  <m:ctrlPr>
                    <w:rPr>
                      <w:rFonts w:ascii="Cambria Math" w:eastAsiaTheme="minorEastAsia" w:hAnsi="Cambria Math"/>
                      <w:i/>
                    </w:rPr>
                  </m:ctrlPr>
                </m:dPr>
                <m:e>
                  <m:r>
                    <w:rPr>
                      <w:rFonts w:ascii="Cambria Math" w:eastAsiaTheme="minorEastAsia" w:hAnsi="Cambria Math"/>
                    </w:rPr>
                    <m:t>S14</m:t>
                  </m:r>
                </m:e>
              </m:d>
              <m:ctrlPr>
                <w:rPr>
                  <w:rFonts w:ascii="Cambria Math" w:hAnsi="Cambria Math"/>
                  <w:i/>
                </w:rPr>
              </m:ctrlPr>
            </m:e>
          </m:eqArr>
        </m:oMath>
      </m:oMathPara>
    </w:p>
    <w:p w14:paraId="4A787AB7" w14:textId="4EB6096D" w:rsidR="008E6790" w:rsidRDefault="008E6790" w:rsidP="00841EB8">
      <w:pPr>
        <w:pStyle w:val="BodyText"/>
        <w:spacing w:line="360" w:lineRule="auto"/>
      </w:pPr>
      <w:r>
        <w:rPr>
          <w:rFonts w:eastAsiaTheme="minorEastAsia"/>
        </w:rPr>
        <w:t xml:space="preserve">where </w:t>
      </w:r>
      <m:oMath>
        <m:r>
          <w:rPr>
            <w:rFonts w:ascii="Cambria Math" w:eastAsiaTheme="minorEastAsia" w:hAnsi="Cambria Math"/>
          </w:rPr>
          <m:t>SC</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t</m:t>
            </m:r>
          </m:sub>
        </m:sSub>
      </m:oMath>
      <w:r w:rsidRPr="008B61D4">
        <w:rPr>
          <w:rFonts w:ascii="Arial" w:hAnsi="Arial" w:cs="Arial"/>
        </w:rPr>
        <w:t>​</w:t>
      </w:r>
      <w:r w:rsidRPr="008B61D4">
        <w:t xml:space="preserve"> </w:t>
      </w:r>
      <w:r w:rsidRPr="00464DA6">
        <w:t xml:space="preserve">is the </w:t>
      </w:r>
      <w:r>
        <w:t>undiscounted SCC</w:t>
      </w:r>
      <w:r w:rsidRPr="00464DA6">
        <w:t xml:space="preserve"> in year </w:t>
      </w:r>
      <w:r w:rsidRPr="009A5C08">
        <w:rPr>
          <w:i/>
          <w:iCs/>
        </w:rPr>
        <w:t>t</w:t>
      </w:r>
      <w:r w:rsidRPr="00464DA6">
        <w:t xml:space="preserve"> (</w:t>
      </w:r>
      <w:r>
        <w:t>USD tons CO</w:t>
      </w:r>
      <w:r w:rsidRPr="00A051ED">
        <w:rPr>
          <w:vertAlign w:val="subscript"/>
        </w:rPr>
        <w:t>2</w:t>
      </w:r>
      <w:r w:rsidRPr="00131442">
        <w:rPr>
          <w:vertAlign w:val="superscript"/>
        </w:rPr>
        <w:t>-1</w:t>
      </w:r>
      <w:r w:rsidRPr="00464DA6">
        <w:t>)</w:t>
      </w:r>
      <w:r w:rsidR="009D66BE" w:rsidRPr="009D66BE">
        <w:rPr>
          <w:i/>
          <w:iCs/>
        </w:rPr>
        <w:t xml:space="preserve"> </w:t>
      </w:r>
      <w:r w:rsidR="009D66BE">
        <w:rPr>
          <w:i/>
          <w:iCs/>
        </w:rPr>
        <w:t xml:space="preserve">, </w:t>
      </w:r>
      <w:r w:rsidR="009D66BE" w:rsidRPr="002C7FF8">
        <w:t xml:space="preserve">available </w:t>
      </w:r>
      <w:r w:rsidR="009D66BE">
        <w:t>from Groom</w:t>
      </w:r>
      <w:r w:rsidR="009D66BE">
        <w:fldChar w:fldCharType="begin"/>
      </w:r>
      <w:r w:rsidR="000A35A1">
        <w:instrText xml:space="preserve"> ADDIN ZOTERO_ITEM CSL_CITATION {"citationID":"80qhKYGi","properties":{"formattedCitation":"\\super 23\\nosupersub{}","plainCitation":"23","noteIndex":0},"citationItems":[{"id":7612,"uris":["http://zotero.org/users/3309187/items/ZBI488LI"],"itemData":{"id":7612,"type":"article-journal","abstract":"Codes and Data for the Tables and models in the paper \"the Social Value of Offsets\" by Ben Groom and Frank Venmans [replication files](https://github.com/BenGroom/socialvalueofoffsets/releases/tag/SVO1)","DOI":"10.5281/zenodo.7848893","source":"Zenodo","title":"BenGroom/socialvalueofoffsets: The Social Value of Offsets","title-short":"BenGroom/socialvalueofoffsets","URL":"https://zenodo.org/records/7848893","author":[{"family":"Groom","given":"Professor Ben"}],"accessed":{"date-parts":[["2026",1,20]]},"issued":{"date-parts":[["2023",4,20]]}}}],"schema":"https://github.com/citation-style-language/schema/raw/master/csl-citation.json"} </w:instrText>
      </w:r>
      <w:r w:rsidR="009D66BE">
        <w:fldChar w:fldCharType="separate"/>
      </w:r>
      <w:r w:rsidR="000A35A1" w:rsidRPr="000A35A1">
        <w:rPr>
          <w:rFonts w:ascii="Aptos" w:hAnsi="Aptos" w:cs="Times New Roman"/>
          <w:vertAlign w:val="superscript"/>
        </w:rPr>
        <w:t>23</w:t>
      </w:r>
      <w:r w:rsidR="009D66BE">
        <w:fldChar w:fldCharType="end"/>
      </w:r>
      <w:r w:rsidR="009D66BE">
        <w:t>,</w:t>
      </w:r>
      <w:r w:rsidR="002371FA">
        <w:t xml:space="preserve"> and</w:t>
      </w:r>
      <w:r w:rsidRPr="000628C3">
        <w:t xml:space="preserve"> </w:t>
      </w:r>
      <w:r w:rsidR="000E07C4">
        <w:t xml:space="preserve">the discount rate </w:t>
      </w:r>
      <w:r w:rsidRPr="009A5C08">
        <w:rPr>
          <w:i/>
          <w:iCs/>
        </w:rPr>
        <w:t>δ</w:t>
      </w:r>
      <w:r>
        <w:rPr>
          <w:i/>
          <w:iCs/>
        </w:rPr>
        <w:t>=0.03</w:t>
      </w:r>
      <w:r w:rsidR="002C7FF8" w:rsidRPr="001C6639">
        <w:rPr>
          <w:i/>
          <w:iCs/>
          <w:lang w:val="en-GB"/>
        </w:rPr>
        <w:t xml:space="preserve"> </w:t>
      </w:r>
      <w:r>
        <w:rPr>
          <w:i/>
          <w:iCs/>
          <w:lang w:val="en-GB"/>
        </w:rPr>
        <w:t xml:space="preserve">. </w:t>
      </w:r>
      <w:r w:rsidRPr="00010817">
        <w:t xml:space="preserve">We then normalized </w:t>
      </w:r>
      <w:r w:rsidRPr="00275721">
        <w:t>the discounted SCC by the present-day value</w:t>
      </w:r>
      <w:r w:rsidR="00A412F5">
        <w:t xml:space="preserve"> according to equation </w:t>
      </w:r>
      <w:r w:rsidR="00662BA1">
        <w:t>6</w:t>
      </w:r>
      <w:r w:rsidRPr="00010817">
        <w:t>:</w:t>
      </w:r>
    </w:p>
    <w:p w14:paraId="0B089840" w14:textId="6DB0482D" w:rsidR="008E6790" w:rsidRPr="00552CD5" w:rsidRDefault="005766E0" w:rsidP="00841EB8">
      <w:pPr>
        <w:pStyle w:val="BodyText"/>
        <w:spacing w:line="360" w:lineRule="auto"/>
        <w:rPr>
          <w:rFonts w:eastAsiaTheme="minorEastAsia"/>
          <w:sz w:val="22"/>
          <w:szCs w:val="22"/>
        </w:rPr>
      </w:pPr>
      <m:oMathPara>
        <m:oMath>
          <m:eqArr>
            <m:eqArrPr>
              <m:maxDist m:val="1"/>
              <m:ctrlPr>
                <w:rPr>
                  <w:rFonts w:ascii="Cambria Math" w:hAnsi="Cambria Math"/>
                  <w:i/>
                </w:rPr>
              </m:ctrlPr>
            </m:eqArrPr>
            <m:e>
              <m:sSub>
                <m:sSubPr>
                  <m:ctrlPr>
                    <w:rPr>
                      <w:rFonts w:ascii="Cambria Math" w:hAnsi="Cambria Math"/>
                    </w:rPr>
                  </m:ctrlPr>
                </m:sSubPr>
                <m:e>
                  <m:r>
                    <w:rPr>
                      <w:rFonts w:ascii="Cambria Math" w:hAnsi="Cambria Math"/>
                    </w:rPr>
                    <m:t>R</m:t>
                  </m:r>
                </m:e>
                <m:sub>
                  <m:r>
                    <w:rPr>
                      <w:rFonts w:ascii="Cambria Math" w:hAnsi="Cambria Math"/>
                    </w:rPr>
                    <m:t>[t]</m:t>
                  </m:r>
                </m:sub>
              </m:sSub>
              <m:r>
                <m:rPr>
                  <m:sty m:val="p"/>
                </m:rPr>
                <w:rPr>
                  <w:rFonts w:ascii="Cambria Math" w:hAnsi="Cambria Math"/>
                </w:rPr>
                <m:t xml:space="preserve">= </m:t>
              </m:r>
              <m:f>
                <m:fPr>
                  <m:ctrlPr>
                    <w:rPr>
                      <w:rFonts w:ascii="Cambria Math" w:hAnsi="Cambria Math"/>
                    </w:rPr>
                  </m:ctrlPr>
                </m:fPr>
                <m:num>
                  <m:r>
                    <w:rPr>
                      <w:rFonts w:ascii="Cambria Math" w:hAnsi="Cambria Math"/>
                    </w:rPr>
                    <m:t>SC</m:t>
                  </m:r>
                  <m:sSubSup>
                    <m:sSubSupPr>
                      <m:ctrlPr>
                        <w:rPr>
                          <w:rFonts w:ascii="Cambria Math" w:hAnsi="Cambria Math"/>
                        </w:rPr>
                      </m:ctrlPr>
                    </m:sSubSupPr>
                    <m:e>
                      <m:r>
                        <w:rPr>
                          <w:rFonts w:ascii="Cambria Math" w:hAnsi="Cambria Math"/>
                        </w:rPr>
                        <m:t>C</m:t>
                      </m:r>
                    </m:e>
                    <m:sub>
                      <m:r>
                        <w:rPr>
                          <w:rFonts w:ascii="Cambria Math" w:hAnsi="Cambria Math"/>
                        </w:rPr>
                        <m:t>[t]</m:t>
                      </m:r>
                    </m:sub>
                    <m:sup>
                      <m:r>
                        <w:rPr>
                          <w:rFonts w:ascii="Cambria Math" w:hAnsi="Cambria Math"/>
                        </w:rPr>
                        <m:t>disc</m:t>
                      </m:r>
                    </m:sup>
                  </m:sSubSup>
                </m:num>
                <m:den>
                  <m:r>
                    <w:rPr>
                      <w:rFonts w:ascii="Cambria Math" w:hAnsi="Cambria Math"/>
                    </w:rPr>
                    <m:t>SC</m:t>
                  </m:r>
                  <m:sSub>
                    <m:sSubPr>
                      <m:ctrlPr>
                        <w:rPr>
                          <w:rFonts w:ascii="Cambria Math" w:hAnsi="Cambria Math"/>
                        </w:rPr>
                      </m:ctrlPr>
                    </m:sSubPr>
                    <m:e>
                      <m:r>
                        <w:rPr>
                          <w:rFonts w:ascii="Cambria Math" w:hAnsi="Cambria Math"/>
                        </w:rPr>
                        <m:t>C</m:t>
                      </m:r>
                    </m:e>
                    <m:sub>
                      <m:r>
                        <m:rPr>
                          <m:sty m:val="p"/>
                        </m:rPr>
                        <w:rPr>
                          <w:rFonts w:ascii="Cambria Math" w:hAnsi="Cambria Math"/>
                        </w:rPr>
                        <m:t>0</m:t>
                      </m:r>
                    </m:sub>
                  </m:sSub>
                </m:den>
              </m:f>
              <m:r>
                <w:rPr>
                  <w:rFonts w:ascii="Cambria Math" w:hAnsi="Cambria Math"/>
                </w:rPr>
                <m:t xml:space="preserve">  #(S15)</m:t>
              </m:r>
            </m:e>
          </m:eqArr>
        </m:oMath>
      </m:oMathPara>
    </w:p>
    <w:p w14:paraId="7F92A032" w14:textId="3747AFAC" w:rsidR="008716E9" w:rsidRDefault="008E6790" w:rsidP="00841EB8">
      <w:pPr>
        <w:pStyle w:val="BodyText"/>
        <w:spacing w:line="360" w:lineRule="auto"/>
        <w:rPr>
          <w:rFonts w:ascii="Cambria Math" w:eastAsiaTheme="minorEastAsia" w:hAnsi="Cambria Math"/>
          <w:lang w:val="en-GB"/>
        </w:rPr>
      </w:pPr>
      <w:r w:rsidRPr="00635A33">
        <w:rPr>
          <w:lang w:val="en-GB"/>
        </w:rPr>
        <w:t>For each year in each scenario, we calculated the net undiscounted carbon balance (after leakage) (</w:t>
      </w:r>
      <m:oMath>
        <m:sSubSup>
          <m:sSubSupPr>
            <m:ctrlPr>
              <w:rPr>
                <w:rFonts w:ascii="Cambria Math" w:hAnsi="Cambria Math"/>
                <w:i/>
                <w:lang w:val="en-GB"/>
              </w:rPr>
            </m:ctrlPr>
          </m:sSubSupPr>
          <m:e>
            <m:r>
              <w:rPr>
                <w:rFonts w:ascii="Cambria Math" w:hAnsi="Cambria Math"/>
                <w:lang w:val="en-GB"/>
              </w:rPr>
              <m:t>C</m:t>
            </m:r>
          </m:e>
          <m:sub>
            <m:r>
              <w:rPr>
                <w:rFonts w:ascii="Cambria Math" w:hAnsi="Cambria Math"/>
                <w:lang w:val="en-GB"/>
              </w:rPr>
              <m:t>[t]</m:t>
            </m:r>
          </m:sub>
          <m:sup>
            <m:r>
              <w:rPr>
                <w:rFonts w:ascii="Cambria Math" w:hAnsi="Cambria Math"/>
                <w:lang w:val="en-GB"/>
              </w:rPr>
              <m:t>und</m:t>
            </m:r>
          </m:sup>
        </m:sSubSup>
      </m:oMath>
      <w:r w:rsidRPr="00635A33">
        <w:rPr>
          <w:rFonts w:eastAsiaTheme="minorEastAsia"/>
          <w:lang w:val="en-GB"/>
        </w:rPr>
        <w:t>;ton</w:t>
      </w:r>
      <w:r w:rsidR="0085149F">
        <w:rPr>
          <w:rFonts w:eastAsiaTheme="minorEastAsia"/>
          <w:lang w:val="en-GB"/>
        </w:rPr>
        <w:t>ne</w:t>
      </w:r>
      <w:r w:rsidRPr="00635A33">
        <w:rPr>
          <w:rFonts w:eastAsiaTheme="minorEastAsia"/>
          <w:lang w:val="en-GB"/>
        </w:rPr>
        <w:t>s CO</w:t>
      </w:r>
      <w:r w:rsidRPr="00635A33">
        <w:rPr>
          <w:rFonts w:eastAsiaTheme="minorEastAsia"/>
          <w:vertAlign w:val="subscript"/>
          <w:lang w:val="en-GB"/>
        </w:rPr>
        <w:t>2</w:t>
      </w:r>
      <w:r w:rsidRPr="00635A33">
        <w:rPr>
          <w:lang w:val="en-GB"/>
        </w:rPr>
        <w:t xml:space="preserve"> e) </w:t>
      </w:r>
      <w:r w:rsidR="00DF59E5">
        <w:rPr>
          <w:lang w:val="en-GB"/>
        </w:rPr>
        <w:t>as the difference b</w:t>
      </w:r>
      <w:r w:rsidR="00DD14F1">
        <w:rPr>
          <w:lang w:val="en-GB"/>
        </w:rPr>
        <w:t xml:space="preserve">etween the carbon additionality </w:t>
      </w:r>
      <w:r w:rsidR="0076180E">
        <w:rPr>
          <w:lang w:val="en-GB"/>
        </w:rPr>
        <w:t>from restoration (</w:t>
      </w:r>
      <m:oMath>
        <m:sSub>
          <m:sSubPr>
            <m:ctrlPr>
              <w:rPr>
                <w:rFonts w:ascii="Cambria Math" w:hAnsi="Cambria Math"/>
                <w:i/>
                <w:lang w:val="en-GB"/>
              </w:rPr>
            </m:ctrlPr>
          </m:sSubPr>
          <m:e>
            <m:r>
              <w:rPr>
                <w:rFonts w:ascii="Cambria Math" w:hAnsi="Cambria Math"/>
                <w:lang w:val="en-GB"/>
              </w:rPr>
              <m:t>C</m:t>
            </m:r>
          </m:e>
          <m:sub>
            <m:r>
              <m:rPr>
                <m:sty m:val="p"/>
              </m:rPr>
              <w:rPr>
                <w:rFonts w:ascii="Cambria Math" w:hAnsi="Cambria Math"/>
                <w:lang w:val="en-GB"/>
              </w:rPr>
              <m:t>a</m:t>
            </m:r>
            <m:r>
              <w:rPr>
                <w:rFonts w:ascii="Cambria Math" w:hAnsi="Cambria Math"/>
                <w:lang w:val="en-GB"/>
              </w:rPr>
              <m:t xml:space="preserve"> </m:t>
            </m:r>
          </m:sub>
        </m:sSub>
        <m:r>
          <w:rPr>
            <w:rFonts w:ascii="Cambria Math" w:hAnsi="Cambria Math"/>
            <w:lang w:val="en-GB"/>
          </w:rPr>
          <m:t>)</m:t>
        </m:r>
      </m:oMath>
      <w:r w:rsidR="00090E93">
        <w:rPr>
          <w:rFonts w:eastAsiaTheme="minorEastAsia"/>
          <w:lang w:val="en-GB"/>
        </w:rPr>
        <w:t xml:space="preserve"> and the carbon leaked</w:t>
      </w:r>
      <w:r w:rsidR="000978E5">
        <w:rPr>
          <w:rFonts w:eastAsiaTheme="minorEastAsia"/>
          <w:lang w:val="en-GB"/>
        </w:rPr>
        <w:t xml:space="preserve"> (</w:t>
      </w: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leak</m:t>
            </m:r>
          </m:sub>
        </m:sSub>
        <m:r>
          <w:rPr>
            <w:rFonts w:ascii="Cambria Math" w:hAnsi="Cambria Math"/>
            <w:lang w:val="en-GB"/>
          </w:rPr>
          <m:t>)</m:t>
        </m:r>
      </m:oMath>
      <w:r w:rsidR="00090E93">
        <w:rPr>
          <w:rFonts w:eastAsiaTheme="minorEastAsia"/>
          <w:lang w:val="en-GB"/>
        </w:rPr>
        <w:t xml:space="preserve"> </w:t>
      </w:r>
      <w:r w:rsidR="009D0B27">
        <w:rPr>
          <w:rFonts w:eastAsiaTheme="minorEastAsia"/>
          <w:lang w:val="en-GB"/>
        </w:rPr>
        <w:t xml:space="preserve">or the foregone carbon opportunity </w:t>
      </w:r>
      <w:r w:rsidR="009D0B27">
        <w:rPr>
          <w:rFonts w:eastAsiaTheme="minorEastAsia"/>
          <w:lang w:val="en-GB"/>
        </w:rPr>
        <w:lastRenderedPageBreak/>
        <w:t xml:space="preserve">cost of </w:t>
      </w:r>
      <w:r w:rsidR="00B1615A">
        <w:rPr>
          <w:rFonts w:eastAsiaTheme="minorEastAsia"/>
          <w:lang w:val="en-GB"/>
        </w:rPr>
        <w:t>natural regeneration</w:t>
      </w:r>
      <w:r w:rsidR="00412283">
        <w:rPr>
          <w:rFonts w:eastAsiaTheme="minorEastAsia"/>
          <w:lang w:val="en-GB"/>
        </w:rPr>
        <w:t xml:space="preserve"> (</w:t>
      </w: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fg</m:t>
            </m:r>
          </m:sub>
        </m:sSub>
      </m:oMath>
      <w:r w:rsidR="00412283">
        <w:rPr>
          <w:rFonts w:eastAsiaTheme="minorEastAsia"/>
          <w:lang w:val="en-GB"/>
        </w:rPr>
        <w:t>)</w:t>
      </w:r>
      <w:r w:rsidR="009D0B27">
        <w:rPr>
          <w:rFonts w:eastAsiaTheme="minorEastAsia"/>
          <w:lang w:val="en-GB"/>
        </w:rPr>
        <w:t xml:space="preserve"> (Equation </w:t>
      </w:r>
      <w:r w:rsidR="00B1615A">
        <w:rPr>
          <w:rFonts w:eastAsiaTheme="minorEastAsia"/>
          <w:lang w:val="en-GB"/>
        </w:rPr>
        <w:t>8</w:t>
      </w:r>
      <w:r w:rsidR="009D0B27">
        <w:rPr>
          <w:rFonts w:eastAsiaTheme="minorEastAsia"/>
          <w:lang w:val="en-GB"/>
        </w:rPr>
        <w:t xml:space="preserve"> from the main text</w:t>
      </w:r>
      <w:r w:rsidR="00FA276A">
        <w:rPr>
          <w:rFonts w:eastAsiaTheme="minorEastAsia"/>
          <w:lang w:val="en-GB"/>
        </w:rPr>
        <w:t>; all in tCO</w:t>
      </w:r>
      <w:r w:rsidR="00FA276A" w:rsidRPr="00E449D7">
        <w:rPr>
          <w:rFonts w:eastAsiaTheme="minorEastAsia"/>
          <w:vertAlign w:val="subscript"/>
          <w:lang w:val="en-GB"/>
        </w:rPr>
        <w:t>2</w:t>
      </w:r>
      <w:r w:rsidR="00FA276A">
        <w:rPr>
          <w:rFonts w:eastAsiaTheme="minorEastAsia"/>
          <w:lang w:val="en-GB"/>
        </w:rPr>
        <w:t>e</w:t>
      </w:r>
      <w:r w:rsidR="009D0B27">
        <w:rPr>
          <w:rFonts w:eastAsiaTheme="minorEastAsia"/>
          <w:lang w:val="en-GB"/>
        </w:rPr>
        <w:t>).</w:t>
      </w:r>
      <w:r w:rsidR="00412283">
        <w:rPr>
          <w:rFonts w:eastAsiaTheme="minorEastAsia"/>
          <w:lang w:val="en-GB"/>
        </w:rPr>
        <w:t xml:space="preserve"> Without mitigation, </w:t>
      </w:r>
      <w:r w:rsidR="00412283" w:rsidRPr="00635A33">
        <w:rPr>
          <w:rFonts w:ascii="Cambria Math" w:hAnsi="Cambria Math"/>
          <w:i/>
          <w:lang w:val="en-GB"/>
        </w:rPr>
        <w:t xml:space="preserve"> </w:t>
      </w:r>
      <m:oMath>
        <m:sSub>
          <m:sSubPr>
            <m:ctrlPr>
              <w:rPr>
                <w:rFonts w:ascii="Cambria Math" w:hAnsi="Cambria Math"/>
                <w:i/>
                <w:lang w:val="en-GB"/>
              </w:rPr>
            </m:ctrlPr>
          </m:sSubPr>
          <m:e>
            <m:r>
              <w:rPr>
                <w:rFonts w:ascii="Cambria Math" w:hAnsi="Cambria Math"/>
                <w:lang w:val="en-GB"/>
              </w:rPr>
              <m:t>C</m:t>
            </m:r>
          </m:e>
          <m:sub>
            <m:r>
              <m:rPr>
                <m:sty m:val="p"/>
              </m:rPr>
              <w:rPr>
                <w:rFonts w:ascii="Cambria Math" w:hAnsi="Cambria Math"/>
                <w:lang w:val="en-GB"/>
              </w:rPr>
              <m:t>l</m:t>
            </m:r>
            <m:r>
              <w:rPr>
                <w:rFonts w:ascii="Cambria Math" w:hAnsi="Cambria Math"/>
                <w:lang w:val="en-GB"/>
              </w:rPr>
              <m:t>eak</m:t>
            </m:r>
          </m:sub>
        </m:sSub>
        <m:r>
          <w:rPr>
            <w:rFonts w:ascii="Cambria Math" w:hAnsi="Cambria Math"/>
            <w:lang w:val="en-GB"/>
          </w:rPr>
          <m:t>&gt;0</m:t>
        </m:r>
      </m:oMath>
      <w:r w:rsidR="00412283" w:rsidRPr="00635A33">
        <w:rPr>
          <w:lang w:val="en-GB"/>
        </w:rPr>
        <w:t xml:space="preserve"> and </w:t>
      </w:r>
      <m:oMath>
        <m:sSub>
          <m:sSubPr>
            <m:ctrlPr>
              <w:rPr>
                <w:rFonts w:ascii="Cambria Math" w:hAnsi="Cambria Math"/>
                <w:i/>
                <w:lang w:val="en-GB"/>
              </w:rPr>
            </m:ctrlPr>
          </m:sSubPr>
          <m:e>
            <m:r>
              <w:rPr>
                <w:rFonts w:ascii="Cambria Math" w:hAnsi="Cambria Math"/>
                <w:lang w:val="en-GB"/>
              </w:rPr>
              <m:t>C</m:t>
            </m:r>
          </m:e>
          <m:sub>
            <m:r>
              <m:rPr>
                <m:sty m:val="p"/>
              </m:rPr>
              <w:rPr>
                <w:rFonts w:ascii="Cambria Math" w:hAnsi="Cambria Math"/>
                <w:lang w:val="en-GB"/>
              </w:rPr>
              <m:t>fg</m:t>
            </m:r>
          </m:sub>
        </m:sSub>
        <m:r>
          <w:rPr>
            <w:rFonts w:ascii="Cambria Math" w:hAnsi="Cambria Math"/>
            <w:lang w:val="en-GB"/>
          </w:rPr>
          <m:t>=0</m:t>
        </m:r>
      </m:oMath>
      <w:r w:rsidR="00412283" w:rsidRPr="00635A33">
        <w:rPr>
          <w:rFonts w:eastAsiaTheme="minorEastAsia"/>
          <w:lang w:val="en-GB"/>
        </w:rPr>
        <w:t xml:space="preserve">; conversely, under full mitigation, </w:t>
      </w:r>
      <w:r w:rsidR="00412283" w:rsidRPr="00635A33">
        <w:rPr>
          <w:rFonts w:ascii="Cambria Math" w:hAnsi="Cambria Math"/>
          <w:i/>
          <w:lang w:val="en-GB"/>
        </w:rPr>
        <w:t xml:space="preserve"> </w:t>
      </w:r>
      <m:oMath>
        <m:sSub>
          <m:sSubPr>
            <m:ctrlPr>
              <w:rPr>
                <w:rFonts w:ascii="Cambria Math" w:hAnsi="Cambria Math"/>
                <w:i/>
                <w:lang w:val="en-GB"/>
              </w:rPr>
            </m:ctrlPr>
          </m:sSubPr>
          <m:e>
            <m:r>
              <w:rPr>
                <w:rFonts w:ascii="Cambria Math" w:hAnsi="Cambria Math"/>
                <w:lang w:val="en-GB"/>
              </w:rPr>
              <m:t>C</m:t>
            </m:r>
          </m:e>
          <m:sub>
            <m:r>
              <m:rPr>
                <m:sty m:val="p"/>
              </m:rPr>
              <w:rPr>
                <w:rFonts w:ascii="Cambria Math" w:hAnsi="Cambria Math"/>
                <w:lang w:val="en-GB"/>
              </w:rPr>
              <m:t>leak</m:t>
            </m:r>
          </m:sub>
        </m:sSub>
        <m:r>
          <w:rPr>
            <w:rFonts w:ascii="Cambria Math" w:hAnsi="Cambria Math"/>
            <w:lang w:val="en-GB"/>
          </w:rPr>
          <m:t>= 0</m:t>
        </m:r>
      </m:oMath>
      <w:r w:rsidR="00412283" w:rsidRPr="00635A33">
        <w:rPr>
          <w:rFonts w:ascii="Cambria Math" w:eastAsiaTheme="minorEastAsia" w:hAnsi="Cambria Math"/>
          <w:i/>
          <w:lang w:val="en-GB"/>
        </w:rPr>
        <w:t xml:space="preserve"> </w:t>
      </w:r>
      <w:r w:rsidR="00412283" w:rsidRPr="00635A33">
        <w:rPr>
          <w:rFonts w:ascii="Cambria Math" w:eastAsiaTheme="minorEastAsia" w:hAnsi="Cambria Math"/>
          <w:iCs/>
          <w:lang w:val="en-GB"/>
        </w:rPr>
        <w:t xml:space="preserve">and the </w:t>
      </w:r>
      <w:r w:rsidR="00412283" w:rsidRPr="00566772">
        <w:rPr>
          <w:rFonts w:eastAsiaTheme="minorEastAsia"/>
          <w:iCs/>
          <w:lang w:val="en-GB"/>
        </w:rPr>
        <w:t>cost</w:t>
      </w:r>
      <w:r w:rsidR="00412283" w:rsidRPr="00635A33">
        <w:rPr>
          <w:rFonts w:ascii="Cambria Math" w:eastAsiaTheme="minorEastAsia" w:hAnsi="Cambria Math"/>
          <w:iCs/>
          <w:lang w:val="en-GB"/>
        </w:rPr>
        <w:t xml:space="preserve"> is </w:t>
      </w:r>
      <w:r w:rsidR="00412283" w:rsidRPr="00566772">
        <w:rPr>
          <w:rFonts w:eastAsiaTheme="minorEastAsia"/>
          <w:iCs/>
          <w:lang w:val="en-GB"/>
        </w:rPr>
        <w:t>reflected through</w:t>
      </w:r>
      <w:r w:rsidR="00412283" w:rsidRPr="00635A33">
        <w:rPr>
          <w:rFonts w:ascii="Cambria Math" w:eastAsiaTheme="minorEastAsia" w:hAnsi="Cambria Math"/>
          <w:iCs/>
          <w:lang w:val="en-GB"/>
        </w:rPr>
        <w:t xml:space="preserve"> </w:t>
      </w:r>
      <m:oMath>
        <m:sSub>
          <m:sSubPr>
            <m:ctrlPr>
              <w:rPr>
                <w:rFonts w:ascii="Cambria Math" w:hAnsi="Cambria Math"/>
                <w:i/>
                <w:lang w:val="en-GB"/>
              </w:rPr>
            </m:ctrlPr>
          </m:sSubPr>
          <m:e>
            <m:r>
              <w:rPr>
                <w:rFonts w:ascii="Cambria Math" w:hAnsi="Cambria Math"/>
                <w:lang w:val="en-GB"/>
              </w:rPr>
              <m:t>C</m:t>
            </m:r>
          </m:e>
          <m:sub>
            <m:r>
              <m:rPr>
                <m:sty m:val="p"/>
              </m:rPr>
              <w:rPr>
                <w:rFonts w:ascii="Cambria Math" w:hAnsi="Cambria Math"/>
                <w:lang w:val="en-GB"/>
              </w:rPr>
              <m:t>fg</m:t>
            </m:r>
          </m:sub>
        </m:sSub>
      </m:oMath>
      <w:r w:rsidR="00412283" w:rsidRPr="00635A33">
        <w:rPr>
          <w:rFonts w:ascii="Cambria Math" w:eastAsiaTheme="minorEastAsia" w:hAnsi="Cambria Math"/>
          <w:lang w:val="en-GB"/>
        </w:rPr>
        <w:t xml:space="preserve">, </w:t>
      </w:r>
      <w:r w:rsidR="00412283" w:rsidRPr="00566772">
        <w:rPr>
          <w:rFonts w:eastAsiaTheme="minorEastAsia"/>
          <w:lang w:val="en-GB"/>
        </w:rPr>
        <w:t xml:space="preserve">representing the carbon sequestration that would have </w:t>
      </w:r>
      <w:r w:rsidR="00412283" w:rsidRPr="00566772">
        <w:t xml:space="preserve">occurred </w:t>
      </w:r>
      <w:r w:rsidR="00412283" w:rsidRPr="00566772">
        <w:rPr>
          <w:rFonts w:eastAsiaTheme="minorEastAsia"/>
          <w:lang w:val="en-GB"/>
        </w:rPr>
        <w:t xml:space="preserve">on mitigation sites had they been </w:t>
      </w:r>
      <w:r w:rsidR="00412283">
        <w:rPr>
          <w:rFonts w:eastAsiaTheme="minorEastAsia"/>
          <w:lang w:val="en-GB"/>
        </w:rPr>
        <w:t>regenerated</w:t>
      </w:r>
      <w:r w:rsidR="00412283" w:rsidRPr="00566772">
        <w:rPr>
          <w:rFonts w:eastAsiaTheme="minorEastAsia"/>
          <w:lang w:val="en-GB"/>
        </w:rPr>
        <w:t xml:space="preserve"> instead</w:t>
      </w:r>
      <w:r w:rsidR="00412283" w:rsidRPr="00635A33">
        <w:rPr>
          <w:rFonts w:ascii="Cambria Math" w:eastAsiaTheme="minorEastAsia" w:hAnsi="Cambria Math"/>
          <w:lang w:val="en-GB"/>
        </w:rPr>
        <w:t>.</w:t>
      </w:r>
    </w:p>
    <w:p w14:paraId="24A1F500" w14:textId="6FFAF925" w:rsidR="008E6790" w:rsidRDefault="005766E0" w:rsidP="00841EB8">
      <w:pPr>
        <w:pStyle w:val="BodyText"/>
        <w:spacing w:line="360" w:lineRule="auto"/>
        <w:rPr>
          <w:rFonts w:eastAsiaTheme="minorEastAsia"/>
          <w:lang w:val="en-GB"/>
        </w:rPr>
      </w:pPr>
      <m:oMath>
        <m:sSub>
          <m:sSubPr>
            <m:ctrlPr>
              <w:rPr>
                <w:rFonts w:ascii="Cambria Math" w:hAnsi="Cambria Math"/>
                <w:i/>
                <w:lang w:val="en-GB"/>
              </w:rPr>
            </m:ctrlPr>
          </m:sSubPr>
          <m:e>
            <m:r>
              <w:rPr>
                <w:rFonts w:ascii="Cambria Math" w:hAnsi="Cambria Math"/>
                <w:lang w:val="en-GB"/>
              </w:rPr>
              <m:t>C</m:t>
            </m:r>
          </m:e>
          <m:sub>
            <m:r>
              <m:rPr>
                <m:sty m:val="p"/>
              </m:rPr>
              <w:rPr>
                <w:rFonts w:ascii="Cambria Math" w:hAnsi="Cambria Math"/>
                <w:lang w:val="en-GB"/>
              </w:rPr>
              <m:t>leak</m:t>
            </m:r>
          </m:sub>
        </m:sSub>
      </m:oMath>
      <w:r w:rsidR="009F4474">
        <w:rPr>
          <w:rFonts w:eastAsiaTheme="minorEastAsia"/>
          <w:lang w:val="en-GB"/>
        </w:rPr>
        <w:t xml:space="preserve"> </w:t>
      </w:r>
      <w:r w:rsidR="001C13DC">
        <w:rPr>
          <w:rFonts w:eastAsiaTheme="minorEastAsia"/>
          <w:lang w:val="en-GB"/>
        </w:rPr>
        <w:t>is calculated as:</w:t>
      </w:r>
    </w:p>
    <w:p w14:paraId="68CAFF5D" w14:textId="653949B0" w:rsidR="007F479E" w:rsidRPr="00EB28E8" w:rsidRDefault="005766E0" w:rsidP="00841EB8">
      <w:pPr>
        <w:pStyle w:val="BodyText"/>
        <w:spacing w:line="360" w:lineRule="auto"/>
        <w:rPr>
          <w:rFonts w:eastAsiaTheme="minorEastAsia"/>
          <w:lang w:val="en-GB"/>
        </w:rPr>
      </w:pPr>
      <m:oMathPara>
        <m:oMath>
          <m:eqArr>
            <m:eqArrPr>
              <m:maxDist m:val="1"/>
              <m:ctrlPr>
                <w:rPr>
                  <w:rFonts w:ascii="Cambria Math" w:eastAsiaTheme="minorEastAsia" w:hAnsi="Cambria Math"/>
                  <w:i/>
                  <w:lang w:val="en-GB"/>
                </w:rPr>
              </m:ctrlPr>
            </m:eqArrPr>
            <m:e>
              <m:sSub>
                <m:sSubPr>
                  <m:ctrlPr>
                    <w:rPr>
                      <w:rFonts w:ascii="Cambria Math" w:eastAsiaTheme="minorEastAsia" w:hAnsi="Cambria Math"/>
                      <w:i/>
                      <w:lang w:val="en-GB"/>
                    </w:rPr>
                  </m:ctrlPr>
                </m:sSubPr>
                <m:e>
                  <m:r>
                    <w:rPr>
                      <w:rFonts w:ascii="Cambria Math" w:eastAsiaTheme="minorEastAsia" w:hAnsi="Cambria Math"/>
                      <w:lang w:val="en-GB"/>
                    </w:rPr>
                    <m:t>C</m:t>
                  </m:r>
                </m:e>
                <m:sub>
                  <m:r>
                    <w:rPr>
                      <w:rFonts w:ascii="Cambria Math" w:eastAsiaTheme="minorEastAsia" w:hAnsi="Cambria Math"/>
                      <w:lang w:val="en-GB"/>
                    </w:rPr>
                    <m:t>leak</m:t>
                  </m:r>
                </m:sub>
              </m:sSub>
              <m:r>
                <w:rPr>
                  <w:rFonts w:ascii="Cambria Math" w:eastAsiaTheme="minorEastAsia" w:hAnsi="Cambria Math"/>
                  <w:lang w:val="en-GB"/>
                </w:rPr>
                <m:t>=</m:t>
              </m:r>
              <m:nary>
                <m:naryPr>
                  <m:chr m:val="∑"/>
                  <m:limLoc m:val="undOvr"/>
                  <m:ctrlPr>
                    <w:rPr>
                      <w:rFonts w:ascii="Cambria Math" w:eastAsiaTheme="minorEastAsia" w:hAnsi="Cambria Math"/>
                      <w:i/>
                      <w:lang w:val="en-GB"/>
                    </w:rPr>
                  </m:ctrlPr>
                </m:naryPr>
                <m:sub>
                  <m:r>
                    <w:rPr>
                      <w:rFonts w:ascii="Cambria Math" w:hAnsi="Cambria Math"/>
                      <w:sz w:val="22"/>
                      <w:szCs w:val="22"/>
                      <w:lang w:val="en-GB"/>
                    </w:rPr>
                    <m:t>c=1</m:t>
                  </m:r>
                </m:sub>
                <m:sup>
                  <m:r>
                    <w:rPr>
                      <w:rFonts w:ascii="Cambria Math" w:eastAsiaTheme="minorEastAsia" w:hAnsi="Cambria Math"/>
                      <w:lang w:val="en-GB"/>
                    </w:rPr>
                    <m:t>Ncells</m:t>
                  </m:r>
                </m:sup>
                <m:e>
                  <m:sSub>
                    <m:sSubPr>
                      <m:ctrlPr>
                        <w:rPr>
                          <w:rFonts w:ascii="Cambria Math" w:eastAsiaTheme="minorEastAsia" w:hAnsi="Cambria Math"/>
                          <w:i/>
                          <w:lang w:val="en-GB"/>
                        </w:rPr>
                      </m:ctrlPr>
                    </m:sSubPr>
                    <m:e>
                      <m:r>
                        <w:rPr>
                          <w:rFonts w:ascii="Cambria Math" w:eastAsiaTheme="minorEastAsia" w:hAnsi="Cambria Math"/>
                          <w:lang w:val="en-GB"/>
                        </w:rPr>
                        <m:t>C</m:t>
                      </m:r>
                    </m:e>
                    <m:sub>
                      <m:r>
                        <w:rPr>
                          <w:rFonts w:ascii="Cambria Math" w:eastAsiaTheme="minorEastAsia" w:hAnsi="Cambria Math"/>
                          <w:lang w:val="en-GB"/>
                        </w:rPr>
                        <m:t>agc[c]</m:t>
                      </m:r>
                    </m:sub>
                  </m:sSub>
                  <m:r>
                    <w:rPr>
                      <w:rFonts w:ascii="Cambria Math" w:eastAsiaTheme="minorEastAsia" w:hAnsi="Cambria Math"/>
                      <w:lang w:val="en-GB"/>
                    </w:rPr>
                    <m:t>∙</m:t>
                  </m:r>
                  <m:sSub>
                    <m:sSubPr>
                      <m:ctrlPr>
                        <w:rPr>
                          <w:rFonts w:ascii="Cambria Math" w:eastAsiaTheme="minorEastAsia" w:hAnsi="Cambria Math"/>
                          <w:i/>
                          <w:lang w:val="en-GB"/>
                        </w:rPr>
                      </m:ctrlPr>
                    </m:sSubPr>
                    <m:e>
                      <m:r>
                        <w:rPr>
                          <w:rFonts w:ascii="Cambria Math" w:eastAsiaTheme="minorEastAsia" w:hAnsi="Cambria Math"/>
                          <w:lang w:val="en-GB"/>
                        </w:rPr>
                        <m:t>a</m:t>
                      </m:r>
                    </m:e>
                    <m:sub>
                      <m:r>
                        <w:rPr>
                          <w:rFonts w:ascii="Cambria Math" w:eastAsiaTheme="minorEastAsia" w:hAnsi="Cambria Math"/>
                          <w:lang w:val="en-GB"/>
                        </w:rPr>
                        <m:t>leak[c]</m:t>
                      </m:r>
                    </m:sub>
                  </m:sSub>
                </m:e>
              </m:nary>
              <m:r>
                <w:rPr>
                  <w:rFonts w:ascii="Cambria Math" w:eastAsiaTheme="minorEastAsia" w:hAnsi="Cambria Math"/>
                  <w:lang w:val="en-GB"/>
                </w:rPr>
                <m:t xml:space="preserve"> #(S16)</m:t>
              </m:r>
            </m:e>
          </m:eqArr>
        </m:oMath>
      </m:oMathPara>
    </w:p>
    <w:p w14:paraId="34938DA1" w14:textId="152437BE" w:rsidR="00EB28E8" w:rsidRPr="0085149F" w:rsidRDefault="009308C5" w:rsidP="00841EB8">
      <w:pPr>
        <w:pStyle w:val="BodyText"/>
        <w:spacing w:line="360" w:lineRule="auto"/>
        <w:rPr>
          <w:rFonts w:eastAsiaTheme="minorEastAsia"/>
          <w:lang w:val="en-GB"/>
        </w:rPr>
      </w:pPr>
      <w:r>
        <w:rPr>
          <w:rFonts w:eastAsiaTheme="minorEastAsia"/>
          <w:lang w:val="en-GB"/>
        </w:rPr>
        <w:t xml:space="preserve">where </w:t>
      </w:r>
      <m:oMath>
        <m:sSub>
          <m:sSubPr>
            <m:ctrlPr>
              <w:rPr>
                <w:rFonts w:ascii="Cambria Math" w:eastAsiaTheme="minorEastAsia" w:hAnsi="Cambria Math"/>
                <w:i/>
                <w:lang w:val="en-GB"/>
              </w:rPr>
            </m:ctrlPr>
          </m:sSubPr>
          <m:e>
            <m:r>
              <w:rPr>
                <w:rFonts w:ascii="Cambria Math" w:eastAsiaTheme="minorEastAsia" w:hAnsi="Cambria Math"/>
                <w:lang w:val="en-GB"/>
              </w:rPr>
              <m:t>C</m:t>
            </m:r>
          </m:e>
          <m:sub>
            <m:r>
              <w:rPr>
                <w:rFonts w:ascii="Cambria Math" w:eastAsiaTheme="minorEastAsia" w:hAnsi="Cambria Math"/>
                <w:lang w:val="en-GB"/>
              </w:rPr>
              <m:t>ag</m:t>
            </m:r>
            <m:sSub>
              <m:sSubPr>
                <m:ctrlPr>
                  <w:rPr>
                    <w:rFonts w:ascii="Cambria Math" w:eastAsiaTheme="minorEastAsia" w:hAnsi="Cambria Math"/>
                    <w:i/>
                    <w:lang w:val="en-GB"/>
                  </w:rPr>
                </m:ctrlPr>
              </m:sSubPr>
              <m:e>
                <m:r>
                  <w:rPr>
                    <w:rFonts w:ascii="Cambria Math" w:eastAsiaTheme="minorEastAsia" w:hAnsi="Cambria Math"/>
                    <w:lang w:val="en-GB"/>
                  </w:rPr>
                  <m:t>c</m:t>
                </m:r>
              </m:e>
              <m:sub>
                <m:r>
                  <w:rPr>
                    <w:rFonts w:ascii="Cambria Math" w:eastAsiaTheme="minorEastAsia" w:hAnsi="Cambria Math"/>
                    <w:lang w:val="en-GB"/>
                  </w:rPr>
                  <m:t>[c]</m:t>
                </m:r>
              </m:sub>
            </m:sSub>
          </m:sub>
        </m:sSub>
      </m:oMath>
      <w:r w:rsidR="00EB28E8">
        <w:rPr>
          <w:rFonts w:eastAsiaTheme="minorEastAsia"/>
          <w:lang w:val="en-GB"/>
        </w:rPr>
        <w:t xml:space="preserve"> is </w:t>
      </w:r>
      <w:r w:rsidR="003F39FA">
        <w:rPr>
          <w:rFonts w:eastAsiaTheme="minorEastAsia"/>
          <w:lang w:val="en-GB"/>
        </w:rPr>
        <w:t xml:space="preserve">the </w:t>
      </w:r>
      <w:r w:rsidR="00EB28E8">
        <w:rPr>
          <w:rFonts w:eastAsiaTheme="minorEastAsia"/>
          <w:lang w:val="en-GB"/>
        </w:rPr>
        <w:t xml:space="preserve">current </w:t>
      </w:r>
      <w:r w:rsidR="00BA7C91">
        <w:rPr>
          <w:rFonts w:eastAsiaTheme="minorEastAsia"/>
          <w:lang w:val="en-GB"/>
        </w:rPr>
        <w:t xml:space="preserve"> woody </w:t>
      </w:r>
      <w:r w:rsidR="00A25E96">
        <w:rPr>
          <w:rFonts w:eastAsiaTheme="minorEastAsia"/>
          <w:lang w:val="en-GB"/>
        </w:rPr>
        <w:t>above</w:t>
      </w:r>
      <w:r w:rsidR="00EE6C8E">
        <w:rPr>
          <w:rFonts w:eastAsiaTheme="minorEastAsia"/>
          <w:lang w:val="en-GB"/>
        </w:rPr>
        <w:t>-</w:t>
      </w:r>
      <w:r w:rsidR="00A25E96">
        <w:rPr>
          <w:rFonts w:eastAsiaTheme="minorEastAsia"/>
          <w:lang w:val="en-GB"/>
        </w:rPr>
        <w:t xml:space="preserve">ground </w:t>
      </w:r>
      <w:r w:rsidR="00EB28E8">
        <w:rPr>
          <w:rFonts w:eastAsiaTheme="minorEastAsia"/>
          <w:lang w:val="en-GB"/>
        </w:rPr>
        <w:t>carbon density</w:t>
      </w:r>
      <w:r w:rsidR="00CB500B">
        <w:rPr>
          <w:rFonts w:eastAsiaTheme="minorEastAsia"/>
          <w:lang w:val="en-GB"/>
        </w:rPr>
        <w:t xml:space="preserve"> </w:t>
      </w:r>
      <w:r w:rsidR="003F39FA">
        <w:rPr>
          <w:rFonts w:eastAsiaTheme="minorEastAsia"/>
          <w:lang w:val="en-GB"/>
        </w:rPr>
        <w:t xml:space="preserve">(in </w:t>
      </w:r>
      <w:r w:rsidR="003F39FA" w:rsidRPr="00635A33">
        <w:rPr>
          <w:rFonts w:eastAsiaTheme="minorEastAsia"/>
          <w:lang w:val="en-GB"/>
        </w:rPr>
        <w:t>ton</w:t>
      </w:r>
      <w:r w:rsidR="003F39FA">
        <w:rPr>
          <w:rFonts w:eastAsiaTheme="minorEastAsia"/>
          <w:lang w:val="en-GB"/>
        </w:rPr>
        <w:t>ne</w:t>
      </w:r>
      <w:r w:rsidR="003F39FA" w:rsidRPr="00635A33">
        <w:rPr>
          <w:rFonts w:eastAsiaTheme="minorEastAsia"/>
          <w:lang w:val="en-GB"/>
        </w:rPr>
        <w:t>s CO</w:t>
      </w:r>
      <w:r w:rsidR="003F39FA" w:rsidRPr="00635A33">
        <w:rPr>
          <w:rFonts w:eastAsiaTheme="minorEastAsia"/>
          <w:vertAlign w:val="subscript"/>
          <w:lang w:val="en-GB"/>
        </w:rPr>
        <w:t>2</w:t>
      </w:r>
      <w:r w:rsidR="003F39FA" w:rsidRPr="00635A33">
        <w:rPr>
          <w:lang w:val="en-GB"/>
        </w:rPr>
        <w:t xml:space="preserve"> e</w:t>
      </w:r>
      <w:r w:rsidR="003F39FA">
        <w:rPr>
          <w:lang w:val="en-GB"/>
        </w:rPr>
        <w:t xml:space="preserve"> ha</w:t>
      </w:r>
      <w:r w:rsidR="003F39FA" w:rsidRPr="0085149F">
        <w:rPr>
          <w:vertAlign w:val="superscript"/>
          <w:lang w:val="en-GB"/>
        </w:rPr>
        <w:t>-1</w:t>
      </w:r>
      <w:r w:rsidR="002512BD">
        <w:rPr>
          <w:vertAlign w:val="superscript"/>
          <w:lang w:val="en-GB"/>
        </w:rPr>
        <w:t>;</w:t>
      </w:r>
      <w:r w:rsidR="002512BD">
        <w:rPr>
          <w:rFonts w:eastAsiaTheme="minorEastAsia"/>
          <w:lang w:val="en-GB"/>
        </w:rPr>
        <w:t>; layer from Walker et al.</w:t>
      </w:r>
      <w:r w:rsidR="002512BD">
        <w:rPr>
          <w:rFonts w:eastAsiaTheme="minorEastAsia"/>
          <w:lang w:val="en-GB"/>
        </w:rPr>
        <w:fldChar w:fldCharType="begin"/>
      </w:r>
      <w:r w:rsidR="000A35A1">
        <w:rPr>
          <w:rFonts w:eastAsiaTheme="minorEastAsia"/>
          <w:lang w:val="en-GB"/>
        </w:rPr>
        <w:instrText xml:space="preserve"> ADDIN ZOTERO_ITEM CSL_CITATION {"citationID":"p5uoM91P","properties":{"formattedCitation":"\\super 24\\nosupersub{}","plainCitation":"24","noteIndex":0},"citationItems":[{"id":6553,"uris":["http://zotero.org/users/3309187/items/88FGWA5F"],"itemData":{"id":6553,"type":"article-journal","abstract":"Constraining the climate crisis requires urgent action to reduce anthropogenic emissions while simultaneously removing carbon dioxide from the atmosphere. Improved information about the maximum magnitude and spatial distribution of opportunities for additional land-based removals of CO2 is needed to guide on-the-ground decision-making about where to implement climate change mitigation strategies. Here, we present a globally consistent spatial dataset (approximately 500-m resolution) of current, potential, and unrealized potential carbon storage in woody plant biomass and soil organic matter. We also provide a framework for prioritizing actions related to the restoration, management, and maintenance of woody carbon stocks and associated soils. By comparing current to potential carbon storage, while excluding areas critical to food production and human habitation, we find 287 petagrams (PgC) of unrealized potential storage opportunity, of which 78% (224 PgC) is in biomass and 22% (63 PgC) is in soil. Improved management of existing forests may offer nearly three-fourths (206 PgC) of the total unrealized potential, with the majority (71%) concentrated in tropical ecosystems. However, climate change is a source of considerable uncertainty. While additional research is needed to understand the impact of natural disturbances and biophysical feedbacks, we project that the potential for additional carbon storage in woody biomass will increase (+17%) by 2050 despite projected decreases (−12%) in the tropics. Our results establish an absolute reference point and conceptual framework for national and jurisdictional prioritization of locations and actions to increase land-based carbon storage.","container-title":"Proceedings of the National Academy of Sciences","DOI":"10.1073/pnas.2111312119","issue":"23","page":"e2111312119","publisher":"Proceedings of the National Academy of Sciences","source":"pnas.org (Atypon)","title":"The global potential for increased storage of carbon on land","volume":"119","author":[{"family":"Walker","given":"Wayne S."},{"family":"Gorelik","given":"Seth R."},{"family":"Cook-Patton","given":"Susan C."},{"family":"Baccini","given":"Alessandro"},{"family":"Farina","given":"Mary K."},{"family":"Solvik","given":"Kylen K."},{"family":"Ellis","given":"Peter W."},{"family":"Sanderman","given":"Jon"},{"family":"Houghton","given":"Richard A."},{"family":"Leavitt","given":"Sara M."},{"family":"Schwalm","given":"Christopher R."},{"family":"Griscom","given":"Bronson W."}],"issued":{"date-parts":[["2022",6,7]]}}}],"schema":"https://github.com/citation-style-language/schema/raw/master/csl-citation.json"} </w:instrText>
      </w:r>
      <w:r w:rsidR="002512BD">
        <w:rPr>
          <w:rFonts w:eastAsiaTheme="minorEastAsia"/>
          <w:lang w:val="en-GB"/>
        </w:rPr>
        <w:fldChar w:fldCharType="separate"/>
      </w:r>
      <w:r w:rsidR="000A35A1" w:rsidRPr="000A35A1">
        <w:rPr>
          <w:rFonts w:ascii="Aptos" w:hAnsi="Aptos" w:cs="Times New Roman"/>
          <w:vertAlign w:val="superscript"/>
        </w:rPr>
        <w:t>24</w:t>
      </w:r>
      <w:r w:rsidR="002512BD">
        <w:rPr>
          <w:rFonts w:eastAsiaTheme="minorEastAsia"/>
          <w:lang w:val="en-GB"/>
        </w:rPr>
        <w:fldChar w:fldCharType="end"/>
      </w:r>
      <w:r w:rsidR="00B06383">
        <w:rPr>
          <w:rFonts w:eastAsiaTheme="minorEastAsia"/>
          <w:lang w:val="en-GB"/>
        </w:rPr>
        <w:t xml:space="preserve"> harmonized to 1km</w:t>
      </w:r>
      <w:r w:rsidR="003F39FA">
        <w:rPr>
          <w:rFonts w:eastAsiaTheme="minorEastAsia"/>
          <w:lang w:val="en-GB"/>
        </w:rPr>
        <w:t xml:space="preserve">) </w:t>
      </w:r>
      <w:r w:rsidR="00B05906">
        <w:rPr>
          <w:rFonts w:eastAsiaTheme="minorEastAsia"/>
          <w:lang w:val="en-GB"/>
        </w:rPr>
        <w:t>from</w:t>
      </w:r>
      <w:r w:rsidR="00EB28E8">
        <w:rPr>
          <w:rFonts w:eastAsiaTheme="minorEastAsia"/>
          <w:lang w:val="en-GB"/>
        </w:rPr>
        <w:t xml:space="preserve"> </w:t>
      </w:r>
      <w:r w:rsidR="002512BD">
        <w:rPr>
          <w:rFonts w:eastAsiaTheme="minorEastAsia"/>
          <w:lang w:val="en-GB"/>
        </w:rPr>
        <w:t xml:space="preserve"> each </w:t>
      </w:r>
      <w:r w:rsidR="003F39FA">
        <w:rPr>
          <w:rFonts w:eastAsiaTheme="minorEastAsia"/>
          <w:lang w:val="en-GB"/>
        </w:rPr>
        <w:t>cell</w:t>
      </w:r>
      <w:r w:rsidR="001E5AC0">
        <w:rPr>
          <w:rFonts w:eastAsiaTheme="minorEastAsia"/>
          <w:lang w:val="en-GB"/>
        </w:rPr>
        <w:t xml:space="preserve"> </w:t>
      </w:r>
      <w:r w:rsidR="001E5AC0" w:rsidRPr="001E5AC0">
        <w:rPr>
          <w:rFonts w:eastAsiaTheme="minorEastAsia"/>
          <w:i/>
          <w:iCs/>
          <w:lang w:val="en-GB"/>
        </w:rPr>
        <w:t>c</w:t>
      </w:r>
      <w:r w:rsidR="001E5AC0">
        <w:rPr>
          <w:rFonts w:eastAsiaTheme="minorEastAsia"/>
          <w:lang w:val="en-GB"/>
        </w:rPr>
        <w:t xml:space="preserve"> </w:t>
      </w:r>
      <w:r w:rsidR="00A66A58">
        <w:rPr>
          <w:rFonts w:eastAsiaTheme="minorEastAsia"/>
          <w:lang w:val="en-GB"/>
        </w:rPr>
        <w:t>where the forgone production is displaced</w:t>
      </w:r>
      <w:r w:rsidR="00F250E5">
        <w:rPr>
          <w:rFonts w:eastAsiaTheme="minorEastAsia"/>
          <w:lang w:val="en-GB"/>
        </w:rPr>
        <w:t xml:space="preserve"> </w:t>
      </w:r>
      <w:r w:rsidR="00697353">
        <w:rPr>
          <w:rFonts w:eastAsiaTheme="minorEastAsia"/>
          <w:lang w:val="en-GB"/>
        </w:rPr>
        <w:t xml:space="preserve"> </w:t>
      </w:r>
      <w:r w:rsidR="00231D9F">
        <w:rPr>
          <w:rFonts w:eastAsiaTheme="minorEastAsia"/>
          <w:lang w:val="en-GB"/>
        </w:rPr>
        <w:t xml:space="preserve"> and </w:t>
      </w:r>
      <m:oMath>
        <m:sSub>
          <m:sSubPr>
            <m:ctrlPr>
              <w:rPr>
                <w:rFonts w:ascii="Cambria Math" w:eastAsiaTheme="minorEastAsia" w:hAnsi="Cambria Math"/>
                <w:i/>
                <w:lang w:val="en-GB"/>
              </w:rPr>
            </m:ctrlPr>
          </m:sSubPr>
          <m:e>
            <m:r>
              <w:rPr>
                <w:rFonts w:ascii="Cambria Math" w:eastAsiaTheme="minorEastAsia" w:hAnsi="Cambria Math"/>
                <w:lang w:val="en-GB"/>
              </w:rPr>
              <m:t>a</m:t>
            </m:r>
          </m:e>
          <m:sub>
            <m:r>
              <w:rPr>
                <w:rFonts w:ascii="Cambria Math" w:eastAsiaTheme="minorEastAsia" w:hAnsi="Cambria Math"/>
                <w:lang w:val="en-GB"/>
              </w:rPr>
              <m:t>leak[c]</m:t>
            </m:r>
          </m:sub>
        </m:sSub>
      </m:oMath>
      <w:r w:rsidR="007D50EA">
        <w:rPr>
          <w:rFonts w:eastAsiaTheme="minorEastAsia"/>
          <w:lang w:val="en-GB"/>
        </w:rPr>
        <w:t xml:space="preserve"> is the </w:t>
      </w:r>
      <w:r w:rsidR="00D1382F">
        <w:rPr>
          <w:rFonts w:eastAsiaTheme="minorEastAsia"/>
          <w:lang w:val="en-GB"/>
        </w:rPr>
        <w:t xml:space="preserve">area </w:t>
      </w:r>
      <w:proofErr w:type="spellStart"/>
      <w:r w:rsidR="00D1382F">
        <w:rPr>
          <w:rFonts w:eastAsiaTheme="minorEastAsia"/>
          <w:lang w:val="en-GB"/>
        </w:rPr>
        <w:t>extensified</w:t>
      </w:r>
      <w:proofErr w:type="spellEnd"/>
      <w:r w:rsidR="00D1382F">
        <w:rPr>
          <w:rFonts w:eastAsiaTheme="minorEastAsia"/>
          <w:lang w:val="en-GB"/>
        </w:rPr>
        <w:t xml:space="preserve"> in </w:t>
      </w:r>
      <w:r w:rsidR="00B05906">
        <w:rPr>
          <w:rFonts w:eastAsiaTheme="minorEastAsia"/>
          <w:lang w:val="en-GB"/>
        </w:rPr>
        <w:t>each cell</w:t>
      </w:r>
      <w:r w:rsidR="00D1382F">
        <w:rPr>
          <w:rFonts w:eastAsiaTheme="minorEastAsia"/>
          <w:lang w:val="en-GB"/>
        </w:rPr>
        <w:t xml:space="preserve">. </w:t>
      </w:r>
    </w:p>
    <w:p w14:paraId="4334095C" w14:textId="4CB87F35" w:rsidR="000960A0" w:rsidRDefault="000960A0" w:rsidP="00841EB8">
      <w:pPr>
        <w:pStyle w:val="BodyText"/>
        <w:spacing w:line="360" w:lineRule="auto"/>
        <w:rPr>
          <w:rFonts w:eastAsiaTheme="minorEastAsia"/>
          <w:lang w:val="en-GB"/>
        </w:rPr>
      </w:pPr>
      <w:r w:rsidRPr="000960A0">
        <w:rPr>
          <w:rFonts w:eastAsiaTheme="minorEastAsia"/>
          <w:lang w:val="en-GB"/>
        </w:rPr>
        <w:t>Carbon lost due to mitigation (</w:t>
      </w:r>
      <m:oMath>
        <m:sSub>
          <m:sSubPr>
            <m:ctrlPr>
              <w:rPr>
                <w:rFonts w:ascii="Cambria Math" w:eastAsiaTheme="minorEastAsia" w:hAnsi="Cambria Math"/>
                <w:lang w:val="en-GB"/>
              </w:rPr>
            </m:ctrlPr>
          </m:sSubPr>
          <m:e>
            <m:r>
              <w:rPr>
                <w:rFonts w:ascii="Cambria Math" w:eastAsiaTheme="minorEastAsia" w:hAnsi="Cambria Math"/>
                <w:lang w:val="en-GB"/>
              </w:rPr>
              <m:t>C</m:t>
            </m:r>
          </m:e>
          <m:sub>
            <m:r>
              <m:rPr>
                <m:nor/>
              </m:rPr>
              <w:rPr>
                <w:rFonts w:eastAsiaTheme="minorEastAsia"/>
                <w:lang w:val="en-GB"/>
              </w:rPr>
              <m:t>fg</m:t>
            </m:r>
          </m:sub>
        </m:sSub>
      </m:oMath>
      <w:r w:rsidRPr="000960A0">
        <w:rPr>
          <w:rFonts w:eastAsiaTheme="minorEastAsia"/>
          <w:lang w:val="en-GB"/>
        </w:rPr>
        <w:t>) at the cell level (</w:t>
      </w:r>
      <m:oMath>
        <m:sSub>
          <m:sSubPr>
            <m:ctrlPr>
              <w:rPr>
                <w:rFonts w:ascii="Cambria Math" w:eastAsiaTheme="minorEastAsia" w:hAnsi="Cambria Math"/>
                <w:i/>
                <w:lang w:val="en-GB"/>
              </w:rPr>
            </m:ctrlPr>
          </m:sSubPr>
          <m:e>
            <m:r>
              <w:rPr>
                <w:rFonts w:ascii="Cambria Math" w:eastAsiaTheme="minorEastAsia" w:hAnsi="Cambria Math"/>
                <w:lang w:val="en-GB"/>
              </w:rPr>
              <m:t>C</m:t>
            </m:r>
          </m:e>
          <m:sub>
            <m:r>
              <w:rPr>
                <w:rFonts w:ascii="Cambria Math" w:eastAsiaTheme="minorEastAsia" w:hAnsi="Cambria Math"/>
                <w:lang w:val="en-GB"/>
              </w:rPr>
              <m:t>a[c]</m:t>
            </m:r>
          </m:sub>
        </m:sSub>
      </m:oMath>
      <w:r w:rsidRPr="000960A0">
        <w:rPr>
          <w:rFonts w:eastAsiaTheme="minorEastAsia"/>
          <w:lang w:val="en-GB"/>
        </w:rPr>
        <w:t xml:space="preserve">; Eq. </w:t>
      </w:r>
      <w:r w:rsidR="00A24756">
        <w:rPr>
          <w:rFonts w:eastAsiaTheme="minorEastAsia"/>
          <w:lang w:val="en-GB"/>
        </w:rPr>
        <w:t>7</w:t>
      </w:r>
      <w:r w:rsidRPr="000960A0">
        <w:rPr>
          <w:rFonts w:eastAsiaTheme="minorEastAsia"/>
          <w:lang w:val="en-GB"/>
        </w:rPr>
        <w:t xml:space="preserve"> in the main text</w:t>
      </w:r>
      <w:r w:rsidR="0097357C" w:rsidRPr="000960A0">
        <w:rPr>
          <w:rFonts w:eastAsiaTheme="minorEastAsia"/>
          <w:lang w:val="en-GB"/>
        </w:rPr>
        <w:t>) and</w:t>
      </w:r>
      <w:r w:rsidRPr="000960A0">
        <w:rPr>
          <w:rFonts w:eastAsiaTheme="minorEastAsia"/>
          <w:lang w:val="en-GB"/>
        </w:rPr>
        <w:t xml:space="preserve"> subsequently aggregated by summing cell-level values across all selected mitigation cells</w:t>
      </w:r>
      <w:r w:rsidR="0097357C">
        <w:rPr>
          <w:rFonts w:eastAsiaTheme="minorEastAsia"/>
          <w:lang w:val="en-GB"/>
        </w:rPr>
        <w:t xml:space="preserve"> for each project</w:t>
      </w:r>
      <w:r w:rsidRPr="000960A0">
        <w:rPr>
          <w:rFonts w:eastAsiaTheme="minorEastAsia"/>
          <w:lang w:val="en-GB"/>
        </w:rPr>
        <w:t>.</w:t>
      </w:r>
    </w:p>
    <w:p w14:paraId="68992D27" w14:textId="59CA7046" w:rsidR="008E6790" w:rsidRDefault="008E6790" w:rsidP="00E97CD9">
      <w:pPr>
        <w:pStyle w:val="BodyText"/>
        <w:spacing w:line="360" w:lineRule="auto"/>
        <w:rPr>
          <w:rFonts w:eastAsiaTheme="minorEastAsia"/>
        </w:rPr>
      </w:pPr>
      <w:r w:rsidRPr="00D33CA1">
        <w:rPr>
          <w:lang w:val="en-GB"/>
        </w:rPr>
        <w:t>We then multiplied the relative factor</w:t>
      </w:r>
      <w:r>
        <w:rPr>
          <w:lang w:val="en-GB"/>
        </w:rPr>
        <w:t xml:space="preserve"> </w:t>
      </w:r>
      <m:oMath>
        <m:sSub>
          <m:sSubPr>
            <m:ctrlPr>
              <w:rPr>
                <w:rFonts w:ascii="Cambria Math" w:hAnsi="Cambria Math"/>
                <w:i/>
              </w:rPr>
            </m:ctrlPr>
          </m:sSubPr>
          <m:e>
            <m:r>
              <w:rPr>
                <w:rFonts w:ascii="Cambria Math" w:hAnsi="Cambria Math"/>
              </w:rPr>
              <m:t>R</m:t>
            </m:r>
          </m:e>
          <m:sub>
            <m:r>
              <w:rPr>
                <w:rFonts w:ascii="Cambria Math" w:hAnsi="Cambria Math"/>
              </w:rPr>
              <m:t>t</m:t>
            </m:r>
          </m:sub>
        </m:sSub>
      </m:oMath>
      <w:r>
        <w:t xml:space="preserve">  by each year’s </w:t>
      </w:r>
      <m:oMath>
        <m:sSubSup>
          <m:sSubSupPr>
            <m:ctrlPr>
              <w:rPr>
                <w:rFonts w:ascii="Cambria Math" w:hAnsi="Cambria Math"/>
                <w:i/>
                <w:lang w:val="en-GB"/>
              </w:rPr>
            </m:ctrlPr>
          </m:sSubSupPr>
          <m:e>
            <m:r>
              <w:rPr>
                <w:rFonts w:ascii="Cambria Math" w:hAnsi="Cambria Math"/>
                <w:lang w:val="en-GB"/>
              </w:rPr>
              <m:t>C</m:t>
            </m:r>
          </m:e>
          <m:sub>
            <m:r>
              <w:rPr>
                <w:rFonts w:ascii="Cambria Math" w:hAnsi="Cambria Math"/>
                <w:lang w:val="en-GB"/>
              </w:rPr>
              <m:t>[t]</m:t>
            </m:r>
          </m:sub>
          <m:sup>
            <m:r>
              <w:rPr>
                <w:rFonts w:ascii="Cambria Math" w:hAnsi="Cambria Math"/>
                <w:lang w:val="en-GB"/>
              </w:rPr>
              <m:t>und</m:t>
            </m:r>
          </m:sup>
        </m:sSubSup>
      </m:oMath>
      <w:r w:rsidRPr="00FE261C">
        <w:rPr>
          <w:lang w:val="en-GB"/>
        </w:rPr>
        <w:t xml:space="preserve"> </w:t>
      </w:r>
      <w:bookmarkStart w:id="16" w:name="_Hlk205389482"/>
      <w:r w:rsidRPr="006F69BD">
        <w:rPr>
          <w:lang w:val="en-GB"/>
        </w:rPr>
        <w:t>and summed over the project lifetime to obtain the total discounted carbon balance</w:t>
      </w:r>
      <w:bookmarkEnd w:id="16"/>
      <w:r>
        <w:rPr>
          <w:lang w:val="en-GB"/>
        </w:rPr>
        <w:t xml:space="preserve"> </w:t>
      </w:r>
      <w:r>
        <w:rPr>
          <w:rFonts w:eastAsiaTheme="minorEastAsia"/>
          <w:lang w:val="en-GB"/>
        </w:rPr>
        <w:t>(</w:t>
      </w:r>
      <m:oMath>
        <m:sSubSup>
          <m:sSubSupPr>
            <m:ctrlPr>
              <w:rPr>
                <w:rFonts w:ascii="Cambria Math" w:hAnsi="Cambria Math"/>
                <w:i/>
                <w:sz w:val="22"/>
                <w:szCs w:val="22"/>
                <w:lang w:val="en-GB"/>
              </w:rPr>
            </m:ctrlPr>
          </m:sSubSupPr>
          <m:e>
            <m:r>
              <w:rPr>
                <w:rFonts w:ascii="Cambria Math" w:hAnsi="Cambria Math"/>
                <w:sz w:val="22"/>
                <w:szCs w:val="22"/>
                <w:lang w:val="en-GB"/>
              </w:rPr>
              <m:t>C</m:t>
            </m:r>
          </m:e>
          <m:sub>
            <m:r>
              <w:rPr>
                <w:rFonts w:ascii="Cambria Math" w:hAnsi="Cambria Math"/>
                <w:sz w:val="22"/>
                <w:szCs w:val="22"/>
                <w:lang w:val="en-GB"/>
              </w:rPr>
              <m:t>pj</m:t>
            </m:r>
          </m:sub>
          <m:sup>
            <m:r>
              <m:rPr>
                <m:sty m:val="p"/>
              </m:rPr>
              <w:rPr>
                <w:rFonts w:ascii="Cambria Math" w:hAnsi="Cambria Math"/>
                <w:sz w:val="22"/>
                <w:szCs w:val="22"/>
                <w:lang w:val="en-GB"/>
              </w:rPr>
              <m:t>disc</m:t>
            </m:r>
            <m:ctrlPr>
              <w:rPr>
                <w:rFonts w:ascii="Cambria Math" w:hAnsi="Cambria Math"/>
                <w:sz w:val="22"/>
                <w:szCs w:val="22"/>
                <w:lang w:val="en-GB"/>
              </w:rPr>
            </m:ctrlPr>
          </m:sup>
        </m:sSubSup>
      </m:oMath>
      <w:r>
        <w:rPr>
          <w:rFonts w:eastAsiaTheme="minorEastAsia"/>
          <w:sz w:val="22"/>
          <w:szCs w:val="22"/>
          <w:lang w:val="en-GB"/>
        </w:rPr>
        <w:t xml:space="preserve"> ; </w:t>
      </w:r>
      <w:r w:rsidRPr="00B106C9">
        <w:rPr>
          <w:rFonts w:eastAsiaTheme="minorEastAsia"/>
          <w:lang w:val="en-GB"/>
        </w:rPr>
        <w:t>in tonnes of CO</w:t>
      </w:r>
      <w:r w:rsidRPr="00B106C9">
        <w:rPr>
          <w:rFonts w:eastAsiaTheme="minorEastAsia"/>
          <w:vertAlign w:val="subscript"/>
          <w:lang w:val="en-GB"/>
        </w:rPr>
        <w:t>2</w:t>
      </w:r>
      <w:r w:rsidRPr="00B106C9">
        <w:rPr>
          <w:rFonts w:eastAsiaTheme="minorEastAsia"/>
          <w:lang w:val="en-GB"/>
        </w:rPr>
        <w:t>e</w:t>
      </w:r>
      <w:r>
        <w:rPr>
          <w:rFonts w:eastAsiaTheme="minorEastAsia"/>
          <w:sz w:val="22"/>
          <w:szCs w:val="22"/>
          <w:lang w:val="en-GB"/>
        </w:rPr>
        <w:t>)</w:t>
      </w:r>
      <w:r w:rsidR="006D6717">
        <w:rPr>
          <w:rFonts w:eastAsiaTheme="minorEastAsia"/>
          <w:sz w:val="22"/>
          <w:szCs w:val="22"/>
          <w:lang w:val="en-GB"/>
        </w:rPr>
        <w:t xml:space="preserve"> </w:t>
      </w:r>
      <w:r w:rsidR="006079F7">
        <w:rPr>
          <w:rFonts w:eastAsiaTheme="minorEastAsia"/>
          <w:sz w:val="22"/>
          <w:szCs w:val="22"/>
          <w:lang w:val="en-GB"/>
        </w:rPr>
        <w:t xml:space="preserve">according to Equation </w:t>
      </w:r>
      <w:r w:rsidR="00667D87">
        <w:rPr>
          <w:rFonts w:eastAsiaTheme="minorEastAsia"/>
          <w:sz w:val="22"/>
          <w:szCs w:val="22"/>
          <w:lang w:val="en-GB"/>
        </w:rPr>
        <w:t>8.</w:t>
      </w:r>
      <w:r w:rsidR="00651724">
        <w:rPr>
          <w:rFonts w:eastAsiaTheme="minorEastAsia"/>
        </w:rPr>
        <w:t xml:space="preserve"> </w:t>
      </w:r>
    </w:p>
    <w:p w14:paraId="7831FF65" w14:textId="30BE651E" w:rsidR="00D529AA" w:rsidRPr="001C48FF" w:rsidRDefault="00331B60" w:rsidP="00841EB8">
      <w:pPr>
        <w:pStyle w:val="BodyText"/>
        <w:spacing w:line="360" w:lineRule="auto"/>
        <w:rPr>
          <w:rFonts w:eastAsiaTheme="minorEastAsia"/>
        </w:rPr>
      </w:pPr>
      <w:r w:rsidRPr="00331B60">
        <w:rPr>
          <w:rFonts w:eastAsiaTheme="minorEastAsia"/>
        </w:rPr>
        <w:t>As a sensitivity analysis</w:t>
      </w:r>
      <w:r>
        <w:rPr>
          <w:rFonts w:eastAsiaTheme="minorEastAsia"/>
        </w:rPr>
        <w:t xml:space="preserve">, we </w:t>
      </w:r>
      <w:r w:rsidR="0014198A">
        <w:rPr>
          <w:rFonts w:eastAsiaTheme="minorEastAsia"/>
        </w:rPr>
        <w:t xml:space="preserve">tested different discount </w:t>
      </w:r>
      <w:r w:rsidR="001C48FF">
        <w:rPr>
          <w:rFonts w:eastAsiaTheme="minorEastAsia"/>
        </w:rPr>
        <w:t>rates of δ</w:t>
      </w:r>
      <w:r w:rsidR="0014198A">
        <w:rPr>
          <w:i/>
          <w:iCs/>
        </w:rPr>
        <w:t>=</w:t>
      </w:r>
      <w:r w:rsidR="001C48FF">
        <w:rPr>
          <w:i/>
          <w:iCs/>
        </w:rPr>
        <w:t xml:space="preserve">0.02 </w:t>
      </w:r>
      <w:r w:rsidR="001C48FF" w:rsidRPr="001C48FF">
        <w:t>and</w:t>
      </w:r>
      <w:r w:rsidR="001C48FF">
        <w:rPr>
          <w:i/>
          <w:iCs/>
        </w:rPr>
        <w:t xml:space="preserve"> </w:t>
      </w:r>
      <w:r w:rsidR="001C48FF" w:rsidRPr="009A5C08">
        <w:rPr>
          <w:i/>
          <w:iCs/>
        </w:rPr>
        <w:t>δ</w:t>
      </w:r>
      <w:r w:rsidR="001C48FF">
        <w:rPr>
          <w:i/>
          <w:iCs/>
        </w:rPr>
        <w:t>=0.04</w:t>
      </w:r>
      <w:r w:rsidR="001C48FF">
        <w:t xml:space="preserve"> to check how it would </w:t>
      </w:r>
      <w:r w:rsidR="000A7210">
        <w:t>change</w:t>
      </w:r>
      <w:r w:rsidR="00733643">
        <w:t xml:space="preserve"> </w:t>
      </w:r>
      <w:r w:rsidR="000A7210">
        <w:t xml:space="preserve">the cost </w:t>
      </w:r>
      <w:r w:rsidR="001B2FAD">
        <w:t>per tonne of carbon</w:t>
      </w:r>
      <w:r w:rsidR="00F13F8E">
        <w:t xml:space="preserve"> </w:t>
      </w:r>
      <w:r w:rsidR="00B07705">
        <w:t xml:space="preserve">we obtained. </w:t>
      </w:r>
      <w:r w:rsidR="00F13F8E">
        <w:t xml:space="preserve"> </w:t>
      </w:r>
      <w:r w:rsidR="00546FB0">
        <w:t>Higher</w:t>
      </w:r>
      <w:r w:rsidR="00A42E12">
        <w:t xml:space="preserve"> discount</w:t>
      </w:r>
      <w:r w:rsidR="00494106">
        <w:t xml:space="preserve"> rates </w:t>
      </w:r>
      <w:r w:rsidR="00496DB0">
        <w:t>result</w:t>
      </w:r>
      <w:r w:rsidR="00494106">
        <w:t xml:space="preserve"> </w:t>
      </w:r>
      <w:r w:rsidR="00496DB0">
        <w:t xml:space="preserve">in </w:t>
      </w:r>
      <w:r w:rsidR="003A584C">
        <w:t>stepper</w:t>
      </w:r>
      <w:r w:rsidR="00156D24">
        <w:t xml:space="preserve"> R</w:t>
      </w:r>
      <w:r w:rsidR="00156D24" w:rsidRPr="00156D24">
        <w:rPr>
          <w:vertAlign w:val="subscript"/>
        </w:rPr>
        <w:t>t</w:t>
      </w:r>
      <w:r w:rsidR="00156D24">
        <w:t xml:space="preserve"> curve</w:t>
      </w:r>
      <w:r w:rsidR="00546FB0">
        <w:t>s, consequently attributing</w:t>
      </w:r>
      <w:r w:rsidR="008730D1">
        <w:t xml:space="preserve"> a higher weight to </w:t>
      </w:r>
      <w:r w:rsidR="00494106">
        <w:t>recent carbon emissions and removals</w:t>
      </w:r>
      <w:r w:rsidR="00192A22">
        <w:t xml:space="preserve"> </w:t>
      </w:r>
      <w:r w:rsidR="000D618D" w:rsidRPr="000D618D">
        <w:rPr>
          <w:lang w:val="en-GB"/>
        </w:rPr>
        <w:t>while more strongly discounting future climate damages.</w:t>
      </w:r>
      <w:r w:rsidR="002570F4">
        <w:rPr>
          <w:lang w:val="en-GB"/>
        </w:rPr>
        <w:t xml:space="preserve"> </w:t>
      </w:r>
      <w:r w:rsidR="002570F4" w:rsidRPr="002570F4">
        <w:rPr>
          <w:lang w:val="en-GB"/>
        </w:rPr>
        <w:t xml:space="preserve">Because the Social Cost of Carbon is defined as the present value of future damages caused by an additional tonne of CO₂, increasing the discount rate also reduces the present value of the SCC itself, thereby lowering the discounted value of future carbon removals and increasing the relative importance of near-term emissions </w:t>
      </w:r>
      <w:r w:rsidR="000D618D" w:rsidRPr="000D618D">
        <w:rPr>
          <w:lang w:val="en-GB"/>
        </w:rPr>
        <w:t xml:space="preserve"> </w:t>
      </w:r>
      <w:r w:rsidR="00E26A32">
        <w:t>(</w:t>
      </w:r>
      <w:r w:rsidR="00E26A32" w:rsidRPr="006033A8">
        <w:fldChar w:fldCharType="begin"/>
      </w:r>
      <w:r w:rsidR="00E26A32" w:rsidRPr="006033A8">
        <w:instrText xml:space="preserve"> REF _Ref196750997 \h  \* MERGEFORMAT </w:instrText>
      </w:r>
      <w:r w:rsidR="00E26A32" w:rsidRPr="006033A8">
        <w:fldChar w:fldCharType="separate"/>
      </w:r>
      <w:r w:rsidR="00FA1910" w:rsidRPr="002C78A6">
        <w:t>Supplementary Fig</w:t>
      </w:r>
      <w:r w:rsidR="00FA1910">
        <w:t>.</w:t>
      </w:r>
      <w:r w:rsidR="00FA1910" w:rsidRPr="002C78A6">
        <w:t xml:space="preserve"> </w:t>
      </w:r>
      <w:r w:rsidR="00FA1910">
        <w:t>7</w:t>
      </w:r>
      <w:r w:rsidR="00E26A32" w:rsidRPr="006033A8">
        <w:fldChar w:fldCharType="end"/>
      </w:r>
      <w:r w:rsidR="00E26A32">
        <w:rPr>
          <w:sz w:val="22"/>
          <w:szCs w:val="22"/>
        </w:rPr>
        <w:t>)</w:t>
      </w:r>
      <w:r w:rsidR="008730D1">
        <w:t>.</w:t>
      </w:r>
    </w:p>
    <w:p w14:paraId="428F0F9A" w14:textId="213BE3E7" w:rsidR="00007DC9" w:rsidRPr="00F613B1" w:rsidRDefault="00063082" w:rsidP="00841EB8">
      <w:pPr>
        <w:pStyle w:val="BodyText"/>
        <w:spacing w:line="360" w:lineRule="auto"/>
      </w:pPr>
      <w:r w:rsidRPr="00063082">
        <w:t xml:space="preserve">Using the cost values obtained under different discount rates (2%, 3%, and 4%), we </w:t>
      </w:r>
      <w:r w:rsidR="00150DA5" w:rsidRPr="00150DA5">
        <w:t xml:space="preserve">assessed the robustness of our patterns by comparing, in both the Atlantic Forest and the Amazon, the carbon costs of high- and low-leakage projects against the biome-wide </w:t>
      </w:r>
      <w:r w:rsidR="00150DA5" w:rsidRPr="00150DA5">
        <w:lastRenderedPageBreak/>
        <w:t xml:space="preserve">mean cost calculated across the full </w:t>
      </w:r>
      <w:r w:rsidR="007C6B47">
        <w:t>forgone-production</w:t>
      </w:r>
      <w:r w:rsidR="00150DA5" w:rsidRPr="00150DA5">
        <w:t>-to-carbon</w:t>
      </w:r>
      <w:r w:rsidR="007C6B47">
        <w:t>-gained</w:t>
      </w:r>
      <w:r w:rsidR="00150DA5" w:rsidRPr="00150DA5">
        <w:t xml:space="preserve"> ratio distribution</w:t>
      </w:r>
      <w:r w:rsidR="00933A9A">
        <w:t xml:space="preserve"> </w:t>
      </w:r>
      <w:r w:rsidR="00071A89">
        <w:t>(</w:t>
      </w:r>
      <w:r w:rsidR="00F704F6">
        <w:t xml:space="preserve"> Extended Data figures 9-10</w:t>
      </w:r>
      <w:r w:rsidR="00071A89">
        <w:t>)</w:t>
      </w:r>
      <w:r w:rsidRPr="00063082">
        <w:t>.</w:t>
      </w:r>
    </w:p>
    <w:p w14:paraId="2684C9C2" w14:textId="3243D1D7" w:rsidR="00EF11C4" w:rsidRDefault="00415943" w:rsidP="00841EB8">
      <w:pPr>
        <w:pStyle w:val="Heading2"/>
        <w:spacing w:line="360" w:lineRule="auto"/>
        <w:rPr>
          <w:lang w:val="en-US"/>
        </w:rPr>
      </w:pPr>
      <w:bookmarkStart w:id="17" w:name="_Toc225254932"/>
      <w:r w:rsidRPr="00415943">
        <w:rPr>
          <w:lang w:val="en-US"/>
        </w:rPr>
        <w:t>Sensitivity to international leakage</w:t>
      </w:r>
      <w:bookmarkEnd w:id="17"/>
    </w:p>
    <w:p w14:paraId="0E6DA6E2" w14:textId="4E868253" w:rsidR="00CA6E36" w:rsidRDefault="00C41836" w:rsidP="00841EB8">
      <w:pPr>
        <w:spacing w:line="360" w:lineRule="auto"/>
        <w:rPr>
          <w:lang w:val="en-US"/>
        </w:rPr>
      </w:pPr>
      <w:r w:rsidRPr="00C41836">
        <w:rPr>
          <w:lang w:val="en-US"/>
        </w:rPr>
        <w:t xml:space="preserve">To assess the sensitivity of our results to the assumption of domestic leakage only, we compared the distribution of </w:t>
      </w:r>
      <w:r w:rsidR="00304D8E">
        <w:rPr>
          <w:lang w:val="en-US"/>
        </w:rPr>
        <w:t>forgone-</w:t>
      </w:r>
      <w:r w:rsidR="00C51A89">
        <w:rPr>
          <w:lang w:val="en-US"/>
        </w:rPr>
        <w:t xml:space="preserve">production-to-carbon-gained </w:t>
      </w:r>
      <w:r w:rsidRPr="00C41836">
        <w:rPr>
          <w:lang w:val="en-US"/>
        </w:rPr>
        <w:t xml:space="preserve">ratios across the top 10 beef exporters according to USDA data </w:t>
      </w:r>
      <w:r w:rsidR="00052D3E">
        <w:rPr>
          <w:lang w:val="en-US"/>
        </w:rPr>
        <w:fldChar w:fldCharType="begin"/>
      </w:r>
      <w:r w:rsidR="000A35A1">
        <w:rPr>
          <w:lang w:val="en-US"/>
        </w:rPr>
        <w:instrText xml:space="preserve"> ADDIN ZOTERO_ITEM CSL_CITATION {"citationID":"n6d7ksMj","properties":{"formattedCitation":"\\super 25\\nosupersub{}","plainCitation":"25","noteIndex":0},"citationItems":[{"id":7325,"uris":["http://zotero.org/users/3309187/items/SJMELK3P"],"itemData":{"id":7325,"type":"dataset","title":"Beef and beef products: exports by country.","author":[{"literal":"USDA Foreign Agricultural Service."}],"issued":{"date-parts":[["2025"]]}}}],"schema":"https://github.com/citation-style-language/schema/raw/master/csl-citation.json"} </w:instrText>
      </w:r>
      <w:r w:rsidR="00052D3E">
        <w:rPr>
          <w:lang w:val="en-US"/>
        </w:rPr>
        <w:fldChar w:fldCharType="separate"/>
      </w:r>
      <w:r w:rsidR="000A35A1" w:rsidRPr="000A35A1">
        <w:rPr>
          <w:rFonts w:ascii="Aptos" w:hAnsi="Aptos" w:cs="Times New Roman"/>
          <w:kern w:val="0"/>
          <w:vertAlign w:val="superscript"/>
        </w:rPr>
        <w:t>25</w:t>
      </w:r>
      <w:r w:rsidR="00052D3E">
        <w:rPr>
          <w:lang w:val="en-US"/>
        </w:rPr>
        <w:fldChar w:fldCharType="end"/>
      </w:r>
      <w:r w:rsidR="00640156">
        <w:rPr>
          <w:lang w:val="en-US"/>
        </w:rPr>
        <w:t xml:space="preserve"> for 2021</w:t>
      </w:r>
      <w:r w:rsidR="00C17038">
        <w:rPr>
          <w:lang w:val="en-US"/>
        </w:rPr>
        <w:t xml:space="preserve">. </w:t>
      </w:r>
      <w:r w:rsidR="00724E7B" w:rsidRPr="00724E7B">
        <w:rPr>
          <w:lang w:val="en-US"/>
        </w:rPr>
        <w:t xml:space="preserve">The rationale </w:t>
      </w:r>
      <w:r w:rsidR="00EC7323">
        <w:rPr>
          <w:lang w:val="en-US"/>
        </w:rPr>
        <w:t>is</w:t>
      </w:r>
      <w:r w:rsidR="00724E7B" w:rsidRPr="00724E7B">
        <w:rPr>
          <w:lang w:val="en-US"/>
        </w:rPr>
        <w:t>: if low-leakage sites</w:t>
      </w:r>
      <w:r w:rsidR="00724E7B">
        <w:rPr>
          <w:lang w:val="en-US"/>
        </w:rPr>
        <w:t xml:space="preserve"> </w:t>
      </w:r>
      <w:r w:rsidR="00304A99">
        <w:rPr>
          <w:lang w:val="en-US"/>
        </w:rPr>
        <w:t>– projects</w:t>
      </w:r>
      <w:r w:rsidR="00724E7B" w:rsidRPr="00724E7B">
        <w:rPr>
          <w:lang w:val="en-US"/>
        </w:rPr>
        <w:t xml:space="preserve"> around the 20</w:t>
      </w:r>
      <w:r w:rsidR="00724E7B" w:rsidRPr="00724E7B">
        <w:rPr>
          <w:vertAlign w:val="superscript"/>
          <w:lang w:val="en-US"/>
        </w:rPr>
        <w:t>th</w:t>
      </w:r>
      <w:r w:rsidR="00724E7B">
        <w:rPr>
          <w:lang w:val="en-US"/>
        </w:rPr>
        <w:t xml:space="preserve"> </w:t>
      </w:r>
      <w:r w:rsidR="00724E7B" w:rsidRPr="00724E7B">
        <w:rPr>
          <w:lang w:val="en-US"/>
        </w:rPr>
        <w:t>percentile of the Brazilian distribution</w:t>
      </w:r>
      <w:r w:rsidR="00724E7B">
        <w:rPr>
          <w:lang w:val="en-US"/>
        </w:rPr>
        <w:t xml:space="preserve"> – </w:t>
      </w:r>
      <w:r w:rsidR="00724E7B" w:rsidRPr="00724E7B">
        <w:rPr>
          <w:lang w:val="en-US"/>
        </w:rPr>
        <w:t xml:space="preserve">show </w:t>
      </w:r>
      <w:r w:rsidR="00B95D0D">
        <w:rPr>
          <w:lang w:val="en-US"/>
        </w:rPr>
        <w:t>forgone-</w:t>
      </w:r>
      <w:r w:rsidR="00C51A89">
        <w:rPr>
          <w:lang w:val="en-US"/>
        </w:rPr>
        <w:t>production-to-carbon-gained</w:t>
      </w:r>
      <w:r w:rsidR="009F2D39" w:rsidRPr="008B7153">
        <w:t xml:space="preserve"> </w:t>
      </w:r>
      <w:r w:rsidR="00724E7B" w:rsidRPr="00724E7B">
        <w:rPr>
          <w:lang w:val="en-US"/>
        </w:rPr>
        <w:t xml:space="preserve">values below the averages found in other major exporters, then such projects </w:t>
      </w:r>
      <w:r w:rsidR="00EC7323">
        <w:rPr>
          <w:lang w:val="en-US"/>
        </w:rPr>
        <w:t>are</w:t>
      </w:r>
      <w:r w:rsidR="00EC7323" w:rsidRPr="00724E7B">
        <w:rPr>
          <w:lang w:val="en-US"/>
        </w:rPr>
        <w:t xml:space="preserve"> still to be</w:t>
      </w:r>
      <w:r w:rsidR="00724E7B" w:rsidRPr="00724E7B">
        <w:rPr>
          <w:lang w:val="en-US"/>
        </w:rPr>
        <w:t xml:space="preserve"> beneficial, removing more carbon than is emitted through production displacement. This </w:t>
      </w:r>
      <w:r w:rsidR="00EC7323" w:rsidRPr="00724E7B">
        <w:rPr>
          <w:lang w:val="en-US"/>
        </w:rPr>
        <w:t>implies</w:t>
      </w:r>
      <w:r w:rsidR="00724E7B" w:rsidRPr="00724E7B">
        <w:rPr>
          <w:lang w:val="en-US"/>
        </w:rPr>
        <w:t xml:space="preserve"> that our findings remain robust even if leakage occurs internationally.</w:t>
      </w:r>
    </w:p>
    <w:p w14:paraId="1AA27EFD" w14:textId="67D6A6F5" w:rsidR="005B7509" w:rsidRDefault="005B7509" w:rsidP="00841EB8">
      <w:pPr>
        <w:spacing w:line="360" w:lineRule="auto"/>
        <w:rPr>
          <w:lang w:val="en-US"/>
        </w:rPr>
      </w:pPr>
      <w:r>
        <w:rPr>
          <w:lang w:val="en-US"/>
        </w:rPr>
        <w:t xml:space="preserve">We obtained </w:t>
      </w:r>
      <w:r w:rsidR="009C1205">
        <w:rPr>
          <w:lang w:val="en-US"/>
        </w:rPr>
        <w:t>global stocking rates</w:t>
      </w:r>
      <w:r w:rsidR="00CA23D8">
        <w:rPr>
          <w:lang w:val="en-US"/>
        </w:rPr>
        <w:t xml:space="preserve"> (</w:t>
      </w:r>
      <w:r w:rsidR="007A4909" w:rsidRPr="007A4909">
        <w:rPr>
          <w:lang w:val="en-US"/>
        </w:rPr>
        <w:t>density of animals</w:t>
      </w:r>
      <w:r w:rsidR="00D647F6">
        <w:rPr>
          <w:lang w:val="en-US"/>
        </w:rPr>
        <w:t xml:space="preserve">, originally </w:t>
      </w:r>
      <w:r w:rsidR="007A4909" w:rsidRPr="007A4909">
        <w:rPr>
          <w:lang w:val="en-US"/>
        </w:rPr>
        <w:t xml:space="preserve"> per km²</w:t>
      </w:r>
      <w:r w:rsidR="00CA0995">
        <w:rPr>
          <w:lang w:val="en-US"/>
        </w:rPr>
        <w:t xml:space="preserve"> transformed to ha</w:t>
      </w:r>
      <w:r w:rsidR="00FD3A3E">
        <w:rPr>
          <w:lang w:val="en-US"/>
        </w:rPr>
        <w:t>)</w:t>
      </w:r>
      <w:r w:rsidR="009C1205">
        <w:rPr>
          <w:lang w:val="en-US"/>
        </w:rPr>
        <w:t xml:space="preserve"> from ref.</w:t>
      </w:r>
      <w:r w:rsidR="00FA4EAC">
        <w:rPr>
          <w:lang w:val="en-US"/>
        </w:rPr>
        <w:fldChar w:fldCharType="begin"/>
      </w:r>
      <w:r w:rsidR="000A35A1">
        <w:rPr>
          <w:lang w:val="en-US"/>
        </w:rPr>
        <w:instrText xml:space="preserve"> ADDIN ZOTERO_ITEM CSL_CITATION {"citationID":"qu24cejr","properties":{"formattedCitation":"\\super 26\\nosupersub{}","plainCitation":"26","noteIndex":0},"citationItems":[{"id":6912,"uris":["http://zotero.org/users/3309187/items/4V7JKUP3"],"itemData":{"id":6912,"type":"dataset","abstract":"This dataset contains the most up to date version of GLW 4 for the reference year 2020 for the following species: buffalo, cattle, sheep, goats, pigs and chicken. The individual species datasets...","language":"en","title":"GLW 4: Gridded Livestock Density (Global - 2020 - 10 km)","title-short":"GLW 4","URL":"https://data.apps.fao.org/catalog//iso/9d1e149b-d63f-4213-978b-317a8eb42d02","author":[{"literal":"Food and Agriculture Organization of the United Nations (FAO)"}],"accessed":{"date-parts":[["2025",5,1]]},"issued":{"date-parts":[["2025"]]}}}],"schema":"https://github.com/citation-style-language/schema/raw/master/csl-citation.json"} </w:instrText>
      </w:r>
      <w:r w:rsidR="00FA4EAC">
        <w:rPr>
          <w:lang w:val="en-US"/>
        </w:rPr>
        <w:fldChar w:fldCharType="separate"/>
      </w:r>
      <w:r w:rsidR="000A35A1" w:rsidRPr="000A35A1">
        <w:rPr>
          <w:rFonts w:ascii="Aptos" w:hAnsi="Aptos" w:cs="Times New Roman"/>
          <w:kern w:val="0"/>
          <w:vertAlign w:val="superscript"/>
        </w:rPr>
        <w:t>26</w:t>
      </w:r>
      <w:r w:rsidR="00FA4EAC">
        <w:rPr>
          <w:lang w:val="en-US"/>
        </w:rPr>
        <w:fldChar w:fldCharType="end"/>
      </w:r>
      <w:r w:rsidR="00FA29C4">
        <w:rPr>
          <w:lang w:val="en-US"/>
        </w:rPr>
        <w:t>, with</w:t>
      </w:r>
      <w:r w:rsidR="009C1205">
        <w:rPr>
          <w:lang w:val="en-US"/>
        </w:rPr>
        <w:t xml:space="preserve"> </w:t>
      </w:r>
      <w:r w:rsidR="00FA29C4" w:rsidRPr="00FA29C4">
        <w:rPr>
          <w:lang w:val="en-US"/>
        </w:rPr>
        <w:t>5 minutes of arc resolution (</w:t>
      </w:r>
      <w:r w:rsidR="00865B6D">
        <w:rPr>
          <w:lang w:val="en-US"/>
        </w:rPr>
        <w:t>~</w:t>
      </w:r>
      <w:r w:rsidR="00FA29C4" w:rsidRPr="00FA29C4">
        <w:rPr>
          <w:lang w:val="en-US"/>
        </w:rPr>
        <w:t xml:space="preserve"> </w:t>
      </w:r>
      <w:r w:rsidR="00865B6D">
        <w:rPr>
          <w:lang w:val="en-US"/>
        </w:rPr>
        <w:t>1</w:t>
      </w:r>
      <w:r w:rsidR="00FA29C4" w:rsidRPr="00FA29C4">
        <w:rPr>
          <w:lang w:val="en-US"/>
        </w:rPr>
        <w:t>0 km at the equator)</w:t>
      </w:r>
      <w:r w:rsidR="004328BA">
        <w:rPr>
          <w:lang w:val="en-US"/>
        </w:rPr>
        <w:t xml:space="preserve"> </w:t>
      </w:r>
      <w:r w:rsidR="00865B6D" w:rsidRPr="00865B6D">
        <w:rPr>
          <w:lang w:val="en-US"/>
        </w:rPr>
        <w:t>and estimated animal performance by dividing total national beef and buffalo meat production (tonnes)</w:t>
      </w:r>
      <w:r w:rsidR="000E3B7D">
        <w:rPr>
          <w:lang w:val="en-US"/>
        </w:rPr>
        <w:fldChar w:fldCharType="begin"/>
      </w:r>
      <w:r w:rsidR="000A35A1">
        <w:rPr>
          <w:lang w:val="en-US"/>
        </w:rPr>
        <w:instrText xml:space="preserve"> ADDIN ZOTERO_ITEM CSL_CITATION {"citationID":"wsjTEuQ3","properties":{"formattedCitation":"\\super 27\\nosupersub{}","plainCitation":"27","noteIndex":0},"citationItems":[{"id":7324,"uris":["http://zotero.org/users/3309187/items/HSHXH5LY"],"itemData":{"id":7324,"type":"dataset","title":"Beef and buffalo meat production","URL":"https://ourworldindata.org/grapher/beef-and-buffalo-meat-production-tonnes","author":[{"literal":"Food and Agriculture Organization of the United Nations (FAO) – with major processing by Our World in Data"}],"issued":{"date-parts":[["2025"]]}}}],"schema":"https://github.com/citation-style-language/schema/raw/master/csl-citation.json"} </w:instrText>
      </w:r>
      <w:r w:rsidR="000E3B7D">
        <w:rPr>
          <w:lang w:val="en-US"/>
        </w:rPr>
        <w:fldChar w:fldCharType="separate"/>
      </w:r>
      <w:r w:rsidR="000A35A1" w:rsidRPr="000A35A1">
        <w:rPr>
          <w:rFonts w:ascii="Aptos" w:hAnsi="Aptos" w:cs="Times New Roman"/>
          <w:kern w:val="0"/>
          <w:vertAlign w:val="superscript"/>
        </w:rPr>
        <w:t>27</w:t>
      </w:r>
      <w:r w:rsidR="000E3B7D">
        <w:rPr>
          <w:lang w:val="en-US"/>
        </w:rPr>
        <w:fldChar w:fldCharType="end"/>
      </w:r>
      <w:r w:rsidR="00CA23D8">
        <w:rPr>
          <w:lang w:val="en-US"/>
        </w:rPr>
        <w:t xml:space="preserve"> </w:t>
      </w:r>
      <w:r w:rsidR="00921DC3">
        <w:rPr>
          <w:lang w:val="en-US"/>
        </w:rPr>
        <w:t xml:space="preserve"> by herd size</w:t>
      </w:r>
      <w:r w:rsidR="00D73AC2">
        <w:rPr>
          <w:lang w:val="en-US"/>
        </w:rPr>
        <w:t xml:space="preserve"> (number of animals)</w:t>
      </w:r>
      <w:r w:rsidR="005B21B5" w:rsidRPr="005B21B5">
        <w:rPr>
          <w:lang w:val="en-US"/>
        </w:rPr>
        <w:t xml:space="preserve"> </w:t>
      </w:r>
      <w:r w:rsidR="005B21B5">
        <w:rPr>
          <w:lang w:val="en-US"/>
        </w:rPr>
        <w:fldChar w:fldCharType="begin"/>
      </w:r>
      <w:r w:rsidR="000A35A1">
        <w:rPr>
          <w:lang w:val="en-US"/>
        </w:rPr>
        <w:instrText xml:space="preserve"> ADDIN ZOTERO_ITEM CSL_CITATION {"citationID":"x7Yx8pua","properties":{"formattedCitation":"\\super 28\\nosupersub{}","plainCitation":"28","noteIndex":0},"citationItems":[{"id":7323,"uris":["http://zotero.org/users/3309187/items/AMVP4T6I"],"itemData":{"id":7323,"type":"dataset","title":"FAOSTAT: Production – Livestock Primary (Beef production) &amp; Livestock (Herd size, cattle)","URL":"https://www.fao.org/faostat/en/#data/","author":[{"literal":"Food and Agriculture Organization of the United Nations (FAO)"}],"issued":{"date-parts":[["2025"]]}}}],"schema":"https://github.com/citation-style-language/schema/raw/master/csl-citation.json"} </w:instrText>
      </w:r>
      <w:r w:rsidR="005B21B5">
        <w:rPr>
          <w:lang w:val="en-US"/>
        </w:rPr>
        <w:fldChar w:fldCharType="separate"/>
      </w:r>
      <w:r w:rsidR="000A35A1" w:rsidRPr="000A35A1">
        <w:rPr>
          <w:rFonts w:ascii="Aptos" w:hAnsi="Aptos" w:cs="Times New Roman"/>
          <w:kern w:val="0"/>
          <w:vertAlign w:val="superscript"/>
        </w:rPr>
        <w:t>28</w:t>
      </w:r>
      <w:r w:rsidR="005B21B5">
        <w:rPr>
          <w:lang w:val="en-US"/>
        </w:rPr>
        <w:fldChar w:fldCharType="end"/>
      </w:r>
      <w:r w:rsidR="00B34CDE">
        <w:rPr>
          <w:lang w:val="en-US"/>
        </w:rPr>
        <w:t xml:space="preserve"> </w:t>
      </w:r>
      <w:r w:rsidR="00D73AC2">
        <w:rPr>
          <w:lang w:val="en-US"/>
        </w:rPr>
        <w:t>for 2021.</w:t>
      </w:r>
      <w:r w:rsidR="00AF55F4">
        <w:rPr>
          <w:lang w:val="en-US"/>
        </w:rPr>
        <w:t xml:space="preserve"> </w:t>
      </w:r>
      <w:r w:rsidR="008A359C" w:rsidRPr="008A359C">
        <w:rPr>
          <w:lang w:val="en-US"/>
        </w:rPr>
        <w:t>Combining stocking rates with animal performance, we generated a global beef yield grid at 5 arc-minute resolution. This grid was masked using pasture coverage data from ref.</w:t>
      </w:r>
      <w:r w:rsidR="00B21549">
        <w:rPr>
          <w:lang w:val="en-US"/>
        </w:rPr>
        <w:fldChar w:fldCharType="begin"/>
      </w:r>
      <w:r w:rsidR="000A35A1">
        <w:rPr>
          <w:lang w:val="en-US"/>
        </w:rPr>
        <w:instrText xml:space="preserve"> ADDIN ZOTERO_ITEM CSL_CITATION {"citationID":"51ShvzJe","properties":{"formattedCitation":"\\super 29\\nosupersub{}","plainCitation":"29","noteIndex":0},"citationItems":[{"id":7277,"uris":["http://zotero.org/users/3309187/items/2NWJT2UB"],"itemData":{"id":7277,"type":"article-journal","abstract":"The paper describes the production and evaluation of global grassland extent mapped annually for 2000–2022 at 30</w:instrText>
      </w:r>
      <w:r w:rsidR="000A35A1">
        <w:rPr>
          <w:rFonts w:ascii="Arial" w:hAnsi="Arial" w:cs="Arial"/>
          <w:lang w:val="en-US"/>
        </w:rPr>
        <w:instrText> </w:instrText>
      </w:r>
      <w:r w:rsidR="000A35A1">
        <w:rPr>
          <w:lang w:val="en-US"/>
        </w:rPr>
        <w:instrText>m spatial resolution. The dataset showing the spatiotemporal distribution of cultivated and natural/semi-natural grassland classes was produced by using GLAD Landsat ARD-2 image archive, accompanied by climatic, landform and proximity covariates, spatiotemporal machine learning (per-class Random Forest) and over 2.3</w:instrText>
      </w:r>
      <w:r w:rsidR="000A35A1">
        <w:rPr>
          <w:rFonts w:ascii="Arial" w:hAnsi="Arial" w:cs="Arial"/>
          <w:lang w:val="en-US"/>
        </w:rPr>
        <w:instrText> </w:instrText>
      </w:r>
      <w:r w:rsidR="000A35A1">
        <w:rPr>
          <w:lang w:val="en-US"/>
        </w:rPr>
        <w:instrText>M reference samples (visually interpreted in Very High Resolution imagery). Custom probability thresholds (based on five-fold spatial cross-validation) were used to derive dominant class maps with balanced user</w:instrText>
      </w:r>
      <w:r w:rsidR="000A35A1">
        <w:rPr>
          <w:rFonts w:ascii="Aptos" w:hAnsi="Aptos" w:cs="Aptos"/>
          <w:lang w:val="en-US"/>
        </w:rPr>
        <w:instrText>’</w:instrText>
      </w:r>
      <w:r w:rsidR="000A35A1">
        <w:rPr>
          <w:lang w:val="en-US"/>
        </w:rPr>
        <w:instrText>s and producer</w:instrText>
      </w:r>
      <w:r w:rsidR="000A35A1">
        <w:rPr>
          <w:rFonts w:ascii="Aptos" w:hAnsi="Aptos" w:cs="Aptos"/>
          <w:lang w:val="en-US"/>
        </w:rPr>
        <w:instrText>’</w:instrText>
      </w:r>
      <w:r w:rsidR="000A35A1">
        <w:rPr>
          <w:lang w:val="en-US"/>
        </w:rPr>
        <w:instrText xml:space="preserve">s accuracy, resulting in f1 score of 0.64 and 0.75 for cultivated and natural/semi-natural grassland, respectively. The produced maps (about 4 TB in size) are available under an open data license as Cloud-Optimized GeoTIFFs and as Google Earth Engine assets. The suggested uses of data include (1) integration with other compatible land cover products and (2) tracking the intensity and drivers of conversion of land to cultivated grasslands and from natural / semi-natural grasslands into other land use systems.","container-title":"Scientific Data","DOI":"10.1038/s41597-024-04139-6","ISSN":"2052-4463","issue":"1","journalAbbreviation":"Sci Data","language":"en","license":"2024 The Author(s)","page":"1303","publisher":"Nature Publishing Group","source":"www.nature.com","title":"Annual 30-m maps of global grassland class and extent (2000–2022) based on spatiotemporal Machine Learning","volume":"11","author":[{"family":"Parente","given":"Leandro"},{"family":"Sloat","given":"Lindsey"},{"family":"Mesquita","given":"Vinicius"},{"family":"Consoli","given":"Davide"},{"family":"Stanimirova","given":"Radost"},{"family":"Hengl","given":"Tomislav"},{"family":"Bonannella","given":"Carmelo"},{"family":"Teles","given":"Nathália"},{"family":"Wheeler","given":"Ichsani"},{"family":"Hunter","given":"Maria"},{"family":"Ehrmann","given":"Steffen"},{"family":"Ferreira","given":"Laerte"},{"family":"Mattos","given":"Ana Paula"},{"family":"Oliveira","given":"Bernard"},{"family":"Meyer","given":"Carsten"},{"family":"Şahin","given":"Murat"},{"family":"Witjes","given":"Martijn"},{"family":"Fritz","given":"Steffen"},{"family":"Malek","given":"Ziga"},{"family":"Stolle","given":"Fred"}],"issued":{"date-parts":[["2024",12,11]]}}}],"schema":"https://github.com/citation-style-language/schema/raw/master/csl-citation.json"} </w:instrText>
      </w:r>
      <w:r w:rsidR="00B21549">
        <w:rPr>
          <w:lang w:val="en-US"/>
        </w:rPr>
        <w:fldChar w:fldCharType="separate"/>
      </w:r>
      <w:r w:rsidR="000A35A1" w:rsidRPr="000A35A1">
        <w:rPr>
          <w:rFonts w:ascii="Aptos" w:hAnsi="Aptos" w:cs="Times New Roman"/>
          <w:kern w:val="0"/>
          <w:vertAlign w:val="superscript"/>
        </w:rPr>
        <w:t>29</w:t>
      </w:r>
      <w:r w:rsidR="00B21549">
        <w:rPr>
          <w:lang w:val="en-US"/>
        </w:rPr>
        <w:fldChar w:fldCharType="end"/>
      </w:r>
      <w:r w:rsidR="00611F2D">
        <w:rPr>
          <w:lang w:val="en-US"/>
        </w:rPr>
        <w:t xml:space="preserve">, </w:t>
      </w:r>
      <w:r w:rsidR="00E21682" w:rsidRPr="00E21682">
        <w:rPr>
          <w:lang w:val="en-US"/>
        </w:rPr>
        <w:t>which provides annual probabilities of cultivated grassland at 30 m resolution.</w:t>
      </w:r>
      <w:r w:rsidR="00354D5C">
        <w:rPr>
          <w:lang w:val="en-US"/>
        </w:rPr>
        <w:t xml:space="preserve"> </w:t>
      </w:r>
      <w:r w:rsidR="00E21682" w:rsidRPr="00E21682">
        <w:rPr>
          <w:lang w:val="en-US"/>
        </w:rPr>
        <w:t>Following the authors’ recommendation, we applied a threshold of p = 0.38 to binarize pasture cover for 2021 and resampled the data to calculate pasture fraction</w:t>
      </w:r>
      <w:r w:rsidR="009827D5">
        <w:rPr>
          <w:lang w:val="en-US"/>
        </w:rPr>
        <w:t xml:space="preserve"> coverage</w:t>
      </w:r>
      <w:r w:rsidR="00E21682" w:rsidRPr="00E21682">
        <w:rPr>
          <w:lang w:val="en-US"/>
        </w:rPr>
        <w:t xml:space="preserve"> within each 5 arc-minute cell. We retained only cells with &gt;1% pasture coverage for yield estimates.</w:t>
      </w:r>
    </w:p>
    <w:p w14:paraId="7094D685" w14:textId="6D14B8D5" w:rsidR="00A66914" w:rsidRDefault="001522D6" w:rsidP="00841EB8">
      <w:pPr>
        <w:spacing w:line="360" w:lineRule="auto"/>
        <w:rPr>
          <w:lang w:val="en-US"/>
        </w:rPr>
      </w:pPr>
      <w:r w:rsidRPr="001522D6">
        <w:rPr>
          <w:lang w:val="en-US"/>
        </w:rPr>
        <w:t>For carbon, given the coarse resolution</w:t>
      </w:r>
      <w:r>
        <w:rPr>
          <w:lang w:val="en-US"/>
        </w:rPr>
        <w:t xml:space="preserve"> of beef yield</w:t>
      </w:r>
      <w:r w:rsidRPr="001522D6">
        <w:rPr>
          <w:lang w:val="en-US"/>
        </w:rPr>
        <w:t>, we assumed pasturelands had zero initial carbon stocks and used the potential carbon density layer</w:t>
      </w:r>
      <w:r w:rsidR="00872BDF">
        <w:rPr>
          <w:lang w:val="en-US"/>
        </w:rPr>
        <w:t xml:space="preserve"> (combining above-ground, below-ground and soil organic carbon; tonnes of Carbon per ha)</w:t>
      </w:r>
      <w:r w:rsidRPr="001522D6">
        <w:rPr>
          <w:lang w:val="en-US"/>
        </w:rPr>
        <w:t xml:space="preserve"> from </w:t>
      </w:r>
      <w:r w:rsidR="005D6072" w:rsidRPr="005D6072">
        <w:rPr>
          <w:lang w:val="en-US"/>
        </w:rPr>
        <w:t>Walker et al</w:t>
      </w:r>
      <w:r w:rsidR="005D6072">
        <w:rPr>
          <w:lang w:val="en-US"/>
        </w:rPr>
        <w:t>.</w:t>
      </w:r>
      <w:r w:rsidR="00DE2C94" w:rsidRPr="00866AA9">
        <w:rPr>
          <w:highlight w:val="yellow"/>
          <w:lang w:val="en-US"/>
        </w:rPr>
        <w:fldChar w:fldCharType="begin"/>
      </w:r>
      <w:r w:rsidR="000A35A1">
        <w:rPr>
          <w:highlight w:val="yellow"/>
          <w:lang w:val="en-US"/>
        </w:rPr>
        <w:instrText xml:space="preserve"> ADDIN ZOTERO_ITEM CSL_CITATION {"citationID":"G1P4pBKV","properties":{"formattedCitation":"\\super 24\\nosupersub{}","plainCitation":"24","noteIndex":0},"citationItems":[{"id":6553,"uris":["http://zotero.org/users/3309187/items/88FGWA5F"],"itemData":{"id":6553,"type":"article-journal","abstract":"Constraining the climate crisis requires urgent action to reduce anthropogenic emissions while simultaneously removing carbon dioxide from the atmosphere. Improved information about the maximum magnitude and spatial distribution of opportunities for additional land-based removals of CO2 is needed to guide on-the-ground decision-making about where to implement climate change mitigation strategies. Here, we present a globally consistent spatial dataset (approximately 500-m resolution) of current, potential, and unrealized potential carbon storage in woody plant biomass and soil organic matter. We also provide a framework for prioritizing actions related to the restoration, management, and maintenance of woody carbon stocks and associated soils. By comparing current to potential carbon storage, while excluding areas critical to food production and human habitation, we find 287 petagrams (PgC) of unrealized potential storage opportunity, of which 78% (224 PgC) is in biomass and 22% (63 PgC) is in soil. Improved management of existing forests may offer nearly three-fourths (206 PgC) of the total unrealized potential, with the majority (71%) concentrated in tropical ecosystems. However, climate change is a source of considerable uncertainty. While additional research is needed to understand the impact of natural disturbances and biophysical feedbacks, we project that the potential for additional carbon storage in woody biomass will increase (+17%) by 2050 despite projected decreases (−12%) in the tropics. Our results establish an absolute reference point and conceptual framework for national and jurisdictional prioritization of locations and actions to increase land-based carbon storage.","container-title":"Proceedings of the National Academy of Sciences","DOI":"10.1073/pnas.2111312119","issue":"23","page":"e2111312119","publisher":"Proceedings of the National Academy of Sciences","source":"pnas.org (Atypon)","title":"The global potential for increased storage of carbon on land","volume":"119","author":[{"family":"Walker","given":"Wayne S."},{"family":"Gorelik","given":"Seth R."},{"family":"Cook-Patton","given":"Susan C."},{"family":"Baccini","given":"Alessandro"},{"family":"Farina","given":"Mary K."},{"family":"Solvik","given":"Kylen K."},{"family":"Ellis","given":"Peter W."},{"family":"Sanderman","given":"Jon"},{"family":"Houghton","given":"Richard A."},{"family":"Leavitt","given":"Sara M."},{"family":"Schwalm","given":"Christopher R."},{"family":"Griscom","given":"Bronson W."}],"issued":{"date-parts":[["2022",6,7]]}}}],"schema":"https://github.com/citation-style-language/schema/raw/master/csl-citation.json"} </w:instrText>
      </w:r>
      <w:r w:rsidR="00DE2C94" w:rsidRPr="00866AA9">
        <w:rPr>
          <w:highlight w:val="yellow"/>
          <w:lang w:val="en-US"/>
        </w:rPr>
        <w:fldChar w:fldCharType="separate"/>
      </w:r>
      <w:r w:rsidR="000A35A1" w:rsidRPr="000A35A1">
        <w:rPr>
          <w:rFonts w:ascii="Aptos" w:hAnsi="Aptos" w:cs="Times New Roman"/>
          <w:kern w:val="0"/>
          <w:vertAlign w:val="superscript"/>
        </w:rPr>
        <w:t>24</w:t>
      </w:r>
      <w:r w:rsidR="00DE2C94" w:rsidRPr="00866AA9">
        <w:rPr>
          <w:highlight w:val="yellow"/>
          <w:lang w:val="en-US"/>
        </w:rPr>
        <w:fldChar w:fldCharType="end"/>
      </w:r>
      <w:r w:rsidR="00CC428C">
        <w:rPr>
          <w:lang w:val="en-US"/>
        </w:rPr>
        <w:t xml:space="preserve"> </w:t>
      </w:r>
      <w:r w:rsidRPr="001522D6">
        <w:rPr>
          <w:lang w:val="en-US"/>
        </w:rPr>
        <w:t>to represent restoration additionality</w:t>
      </w:r>
      <w:r w:rsidR="001D5089">
        <w:rPr>
          <w:lang w:val="en-US"/>
        </w:rPr>
        <w:t xml:space="preserve">. </w:t>
      </w:r>
      <w:r w:rsidR="002829DA">
        <w:rPr>
          <w:lang w:val="en-US"/>
        </w:rPr>
        <w:t>At ~10km resolution, calculating difference</w:t>
      </w:r>
      <w:r w:rsidR="00736A4C">
        <w:rPr>
          <w:lang w:val="en-US"/>
        </w:rPr>
        <w:t>s</w:t>
      </w:r>
      <w:r w:rsidR="002829DA">
        <w:rPr>
          <w:lang w:val="en-US"/>
        </w:rPr>
        <w:t xml:space="preserve"> between current and potential carbon – </w:t>
      </w:r>
      <w:r w:rsidR="00736A4C" w:rsidRPr="00736A4C">
        <w:rPr>
          <w:lang w:val="en-US"/>
        </w:rPr>
        <w:t xml:space="preserve">as done in our </w:t>
      </w:r>
      <w:r w:rsidR="00736A4C">
        <w:rPr>
          <w:lang w:val="en-US"/>
        </w:rPr>
        <w:t xml:space="preserve">main </w:t>
      </w:r>
      <w:r w:rsidR="00736A4C" w:rsidRPr="00736A4C">
        <w:rPr>
          <w:lang w:val="en-US"/>
        </w:rPr>
        <w:t>Brazil-specific analysis</w:t>
      </w:r>
      <w:r w:rsidR="000F51E2">
        <w:rPr>
          <w:lang w:val="en-US"/>
        </w:rPr>
        <w:t xml:space="preserve"> – </w:t>
      </w:r>
      <w:r w:rsidR="008A1572" w:rsidRPr="008A1572">
        <w:rPr>
          <w:lang w:val="en-US"/>
        </w:rPr>
        <w:t>underestimate gains in pasture-dominated cells surrounded by forest, since averages would mix low pasture values with high forest values.</w:t>
      </w:r>
      <w:r w:rsidR="003826CF">
        <w:rPr>
          <w:lang w:val="en-US"/>
        </w:rPr>
        <w:t xml:space="preserve"> We have also considered the full carbon potential gains</w:t>
      </w:r>
      <w:r w:rsidR="008A1572">
        <w:rPr>
          <w:lang w:val="en-US"/>
        </w:rPr>
        <w:t xml:space="preserve"> </w:t>
      </w:r>
      <w:r w:rsidR="008A1572" w:rsidRPr="008A1572">
        <w:rPr>
          <w:lang w:val="en-US"/>
        </w:rPr>
        <w:t>without applying a temporal cap (i.e. not limiting to 50 years, as in our main analysis)</w:t>
      </w:r>
      <w:r w:rsidR="00BB4F5D">
        <w:rPr>
          <w:lang w:val="en-US"/>
        </w:rPr>
        <w:t xml:space="preserve">. </w:t>
      </w:r>
      <w:r w:rsidR="00BB4F5D" w:rsidRPr="00BB4F5D">
        <w:rPr>
          <w:lang w:val="en-US"/>
        </w:rPr>
        <w:t xml:space="preserve">This approach can be regarded as conservative, since </w:t>
      </w:r>
      <w:r w:rsidR="00BB4F5D" w:rsidRPr="00BB4F5D">
        <w:rPr>
          <w:lang w:val="en-US"/>
        </w:rPr>
        <w:lastRenderedPageBreak/>
        <w:t xml:space="preserve">tropical regions </w:t>
      </w:r>
      <w:r w:rsidR="00B9511D" w:rsidRPr="00BB4F5D">
        <w:rPr>
          <w:lang w:val="en-US"/>
        </w:rPr>
        <w:t>are</w:t>
      </w:r>
      <w:r w:rsidR="00BB4F5D" w:rsidRPr="00BB4F5D">
        <w:rPr>
          <w:lang w:val="en-US"/>
        </w:rPr>
        <w:t xml:space="preserve"> expected to </w:t>
      </w:r>
      <w:proofErr w:type="gramStart"/>
      <w:r w:rsidR="00BB4F5D" w:rsidRPr="00BB4F5D">
        <w:rPr>
          <w:lang w:val="en-US"/>
        </w:rPr>
        <w:t>accumulate carbon</w:t>
      </w:r>
      <w:proofErr w:type="gramEnd"/>
      <w:r w:rsidR="00BB4F5D" w:rsidRPr="00BB4F5D">
        <w:rPr>
          <w:lang w:val="en-US"/>
        </w:rPr>
        <w:t xml:space="preserve"> more rapidly in the first decades compared with temperate zones</w:t>
      </w:r>
      <w:r w:rsidR="00045269">
        <w:rPr>
          <w:lang w:val="en-US"/>
        </w:rPr>
        <w:t>.</w:t>
      </w:r>
    </w:p>
    <w:p w14:paraId="5B7516DD" w14:textId="31A35D49" w:rsidR="00450FC7" w:rsidRDefault="008E42D7" w:rsidP="00841EB8">
      <w:pPr>
        <w:spacing w:line="360" w:lineRule="auto"/>
        <w:rPr>
          <w:lang w:val="en-US"/>
        </w:rPr>
      </w:pPr>
      <w:r>
        <w:rPr>
          <w:lang w:val="en-US"/>
        </w:rPr>
        <w:t xml:space="preserve">We found that </w:t>
      </w:r>
      <w:r w:rsidR="0072754A" w:rsidRPr="0072754A">
        <w:rPr>
          <w:lang w:val="en-US"/>
        </w:rPr>
        <w:t xml:space="preserve">Brazilian low-leakage sites remain favorable in terms of carbon efficiency even under an international leakage scenario, since their </w:t>
      </w:r>
      <w:r w:rsidR="00CC6122">
        <w:rPr>
          <w:lang w:val="en-US"/>
        </w:rPr>
        <w:t>forgone-</w:t>
      </w:r>
      <w:r w:rsidR="00D8337C" w:rsidRPr="00D8337C">
        <w:rPr>
          <w:lang w:val="en-US"/>
        </w:rPr>
        <w:t xml:space="preserve">production-to-carbon-gained </w:t>
      </w:r>
      <w:r w:rsidR="0072754A" w:rsidRPr="0072754A">
        <w:rPr>
          <w:lang w:val="en-US"/>
        </w:rPr>
        <w:t xml:space="preserve">ratios are lower than the average </w:t>
      </w:r>
      <w:r w:rsidR="005C1B82">
        <w:rPr>
          <w:lang w:val="en-US"/>
        </w:rPr>
        <w:t>values</w:t>
      </w:r>
      <w:r w:rsidR="0072754A" w:rsidRPr="0072754A">
        <w:rPr>
          <w:lang w:val="en-US"/>
        </w:rPr>
        <w:t xml:space="preserve"> of other major beef exporters</w:t>
      </w:r>
      <w:r w:rsidR="005C1B82">
        <w:rPr>
          <w:lang w:val="en-US"/>
        </w:rPr>
        <w:t xml:space="preserve"> (</w:t>
      </w:r>
      <w:r w:rsidR="00E21E46">
        <w:rPr>
          <w:lang w:val="en-US"/>
        </w:rPr>
        <w:fldChar w:fldCharType="begin"/>
      </w:r>
      <w:r w:rsidR="00E21E46">
        <w:rPr>
          <w:lang w:val="en-US"/>
        </w:rPr>
        <w:instrText xml:space="preserve"> REF _Ref213764562 \h </w:instrText>
      </w:r>
      <w:r w:rsidR="00E21E46">
        <w:rPr>
          <w:lang w:val="en-US"/>
        </w:rPr>
      </w:r>
      <w:r w:rsidR="00E21E46">
        <w:rPr>
          <w:lang w:val="en-US"/>
        </w:rPr>
        <w:fldChar w:fldCharType="separate"/>
      </w:r>
      <w:proofErr w:type="spellStart"/>
      <w:r w:rsidR="00652F61" w:rsidRPr="001D46B3">
        <w:t>Supp</w:t>
      </w:r>
      <w:r w:rsidR="00652F61">
        <w:t>.</w:t>
      </w:r>
      <w:r w:rsidR="00652F61" w:rsidRPr="001D46B3">
        <w:t>Fig</w:t>
      </w:r>
      <w:proofErr w:type="spellEnd"/>
      <w:r w:rsidR="00652F61">
        <w:t>.</w:t>
      </w:r>
      <w:r w:rsidR="00652F61" w:rsidRPr="001D46B3">
        <w:t xml:space="preserve"> </w:t>
      </w:r>
      <w:r w:rsidR="00652F61">
        <w:rPr>
          <w:noProof/>
        </w:rPr>
        <w:t>4</w:t>
      </w:r>
      <w:r w:rsidR="00E21E46">
        <w:rPr>
          <w:lang w:val="en-US"/>
        </w:rPr>
        <w:fldChar w:fldCharType="end"/>
      </w:r>
      <w:r w:rsidR="00BE7BCC">
        <w:rPr>
          <w:lang w:val="en-US"/>
        </w:rPr>
        <w:t>)</w:t>
      </w:r>
      <w:r w:rsidR="0072754A" w:rsidRPr="0072754A">
        <w:rPr>
          <w:lang w:val="en-US"/>
        </w:rPr>
        <w:t>.</w:t>
      </w:r>
    </w:p>
    <w:p w14:paraId="2DFEDBC3" w14:textId="1FB86A83" w:rsidR="001D56A1" w:rsidRDefault="003423CA" w:rsidP="003423CA">
      <w:pPr>
        <w:pStyle w:val="Heading2"/>
        <w:rPr>
          <w:lang w:val="en-US"/>
        </w:rPr>
      </w:pPr>
      <w:bookmarkStart w:id="18" w:name="_Toc225254933"/>
      <w:r w:rsidRPr="003423CA">
        <w:rPr>
          <w:lang w:val="en-US"/>
        </w:rPr>
        <w:t>Comparison of carbon costs with published estimates</w:t>
      </w:r>
      <w:bookmarkEnd w:id="18"/>
    </w:p>
    <w:p w14:paraId="12810A3E" w14:textId="78D0D8E1" w:rsidR="004A5762" w:rsidRDefault="004A5762" w:rsidP="001D56A1">
      <w:pPr>
        <w:pStyle w:val="BodyText"/>
        <w:spacing w:line="360" w:lineRule="auto"/>
        <w:rPr>
          <w:lang w:val="en-GB"/>
        </w:rPr>
      </w:pPr>
      <w:r w:rsidRPr="004A5762">
        <w:rPr>
          <w:lang w:val="en-GB"/>
        </w:rPr>
        <w:t>The carbon costs for projects combining low-leakage site selection with full leakage mitigation</w:t>
      </w:r>
      <w:r>
        <w:rPr>
          <w:lang w:val="en-GB"/>
        </w:rPr>
        <w:t xml:space="preserve"> – </w:t>
      </w:r>
      <w:r w:rsidRPr="004A5762">
        <w:rPr>
          <w:lang w:val="en-GB"/>
        </w:rPr>
        <w:t>assuming 100% displacement of forgone production and complete compensation through intensification at the national scale</w:t>
      </w:r>
      <w:r>
        <w:rPr>
          <w:lang w:val="en-GB"/>
        </w:rPr>
        <w:t xml:space="preserve"> – </w:t>
      </w:r>
      <w:r w:rsidRPr="004A5762">
        <w:rPr>
          <w:lang w:val="en-GB"/>
        </w:rPr>
        <w:t>are comparable to or lower than published estimates (Supplementary Table 5). Median costs are 2</w:t>
      </w:r>
      <w:r w:rsidR="00581D26">
        <w:rPr>
          <w:lang w:val="en-GB"/>
        </w:rPr>
        <w:t>2</w:t>
      </w:r>
      <w:r w:rsidRPr="004A5762">
        <w:rPr>
          <w:lang w:val="en-GB"/>
        </w:rPr>
        <w:t xml:space="preserve"> USD tCO₂e</w:t>
      </w:r>
      <w:r w:rsidRPr="004A5762">
        <w:rPr>
          <w:rFonts w:ascii="Cambria Math" w:hAnsi="Cambria Math" w:cs="Cambria Math"/>
          <w:lang w:val="en-GB"/>
        </w:rPr>
        <w:t>⁻</w:t>
      </w:r>
      <w:r w:rsidRPr="004A5762">
        <w:rPr>
          <w:rFonts w:ascii="Aptos" w:hAnsi="Aptos" w:cs="Aptos"/>
          <w:lang w:val="en-GB"/>
        </w:rPr>
        <w:t>¹</w:t>
      </w:r>
      <w:r w:rsidRPr="004A5762">
        <w:rPr>
          <w:lang w:val="en-GB"/>
        </w:rPr>
        <w:t xml:space="preserve"> in the Atlantic Forest and 1</w:t>
      </w:r>
      <w:r w:rsidR="00581D26">
        <w:rPr>
          <w:lang w:val="en-GB"/>
        </w:rPr>
        <w:t>6</w:t>
      </w:r>
      <w:r w:rsidRPr="004A5762">
        <w:rPr>
          <w:lang w:val="en-GB"/>
        </w:rPr>
        <w:t xml:space="preserve"> USD tCO</w:t>
      </w:r>
      <w:r w:rsidRPr="004A5762">
        <w:rPr>
          <w:rFonts w:ascii="Aptos" w:hAnsi="Aptos" w:cs="Aptos"/>
          <w:lang w:val="en-GB"/>
        </w:rPr>
        <w:t>₂</w:t>
      </w:r>
      <w:r w:rsidRPr="004A5762">
        <w:rPr>
          <w:lang w:val="en-GB"/>
        </w:rPr>
        <w:t>e</w:t>
      </w:r>
      <w:r w:rsidRPr="004A5762">
        <w:rPr>
          <w:rFonts w:ascii="Cambria Math" w:hAnsi="Cambria Math" w:cs="Cambria Math"/>
          <w:lang w:val="en-GB"/>
        </w:rPr>
        <w:t>⁻</w:t>
      </w:r>
      <w:r w:rsidRPr="004A5762">
        <w:rPr>
          <w:rFonts w:ascii="Aptos" w:hAnsi="Aptos" w:cs="Aptos"/>
          <w:lang w:val="en-GB"/>
        </w:rPr>
        <w:t>¹</w:t>
      </w:r>
      <w:r w:rsidRPr="004A5762">
        <w:rPr>
          <w:lang w:val="en-GB"/>
        </w:rPr>
        <w:t xml:space="preserve"> in the Amazon (Fig</w:t>
      </w:r>
      <w:r w:rsidR="00581D26">
        <w:rPr>
          <w:lang w:val="en-GB"/>
        </w:rPr>
        <w:t>s</w:t>
      </w:r>
      <w:r w:rsidRPr="004A5762">
        <w:rPr>
          <w:lang w:val="en-GB"/>
        </w:rPr>
        <w:t>. 3B</w:t>
      </w:r>
      <w:r w:rsidR="00581D26">
        <w:rPr>
          <w:lang w:val="en-GB"/>
        </w:rPr>
        <w:t xml:space="preserve"> and 3D </w:t>
      </w:r>
      <w:r w:rsidR="00D740BA">
        <w:rPr>
          <w:lang w:val="en-GB"/>
        </w:rPr>
        <w:t>)</w:t>
      </w:r>
      <w:r w:rsidRPr="004A5762">
        <w:rPr>
          <w:lang w:val="en-GB"/>
        </w:rPr>
        <w:t>. This is despite treating intensification purely as a cost. If instead considered as an investment</w:t>
      </w:r>
      <w:r w:rsidR="00B975E6" w:rsidRPr="00935728">
        <w:rPr>
          <w:lang w:val="en-GB"/>
        </w:rPr>
        <w:fldChar w:fldCharType="begin"/>
      </w:r>
      <w:r w:rsidR="00D740BA">
        <w:rPr>
          <w:lang w:val="en-GB"/>
        </w:rPr>
        <w:instrText xml:space="preserve"> ADDIN ZOTERO_ITEM CSL_CITATION {"citationID":"fDs0sCC4","properties":{"formattedCitation":"\\super 30\\nosupersub{}","plainCitation":"30","noteIndex":0},"citationItems":[{"id":7293,"uris":["http://zotero.org/users/3309187/items/7TYE9TXY"],"itemData":{"id":7293,"type":"article-journal","abstract":"This study aimed to evaluate different scenarios (year, supplementation level) about economic results of beef cattle production during rearing and finishing phase in Brazilian's tropical pastures. Four scenarios were evaluated in combination with fourteen supplements, and it was originated from some research developed inside Forage Crops and Grasslands section from São Paulo State University among years 2011 and 2014. The economic evaluation was analyzed by operating cost, total operational costs, gross revenue, operating profit, and financial net income. Besides profitability, internal rate of return (IRR), benefit/cost ratio (B:C), and simple payback period (SPP) were calculated too. During rearing phase, the best result was observed for scenario 2 (2012), supplement 3.2 (mineral mix) with values of 11 cycles, 26.3%, 9.30%, and 0.39 for SPP, profitability, IRR, and B:C ratio, respectively. Already to finishing phase, the best scenario was 3 (2013), supplement 10 (multiple supplement with supplementation level equal 1.0% body weight), which obtained 4 cycles, 68.7%, 27.00%, and 2.34 for the same variables above mentioned. Results were consistent being that higher IRR and profitability occurred when using low supplementation level. Hence, the economic responses from different scenarios (years and supplements) can alter the final livestock farm financial statement.","container-title":"Tropical Animal Health and Production","DOI":"10.1007/s11250-020-02304-8","ISSN":"1573-7438","issue":"5","journalAbbreviation":"Trop Anim Health Prod","language":"eng","page":"2659-2666","PMID":"32472282","source":"PubMed","title":"Economic evaluation from beef cattle production industry with intensification in Brazil's tropical pastures","volume":"52","author":[{"family":"Romanzini","given":"Eliéder Prates"},{"family":"Barbero","given":"Rondineli Pavezzi"},{"family":"Reis","given":"Ricardo Andrade"},{"family":"Hadley","given":"David"},{"family":"Malheiros","given":"Euclides Braga"}],"issued":{"date-parts":[["2020",9]]}}}],"schema":"https://github.com/citation-style-language/schema/raw/master/csl-citation.json"} </w:instrText>
      </w:r>
      <w:r w:rsidR="00B975E6" w:rsidRPr="00935728">
        <w:rPr>
          <w:lang w:val="en-GB"/>
        </w:rPr>
        <w:fldChar w:fldCharType="separate"/>
      </w:r>
      <w:r w:rsidR="00D740BA" w:rsidRPr="00D740BA">
        <w:rPr>
          <w:rFonts w:ascii="Aptos" w:hAnsi="Aptos" w:cs="Times New Roman"/>
          <w:vertAlign w:val="superscript"/>
        </w:rPr>
        <w:t>30</w:t>
      </w:r>
      <w:r w:rsidR="00B975E6" w:rsidRPr="00935728">
        <w:rPr>
          <w:lang w:val="en-GB"/>
        </w:rPr>
        <w:fldChar w:fldCharType="end"/>
      </w:r>
      <w:r w:rsidR="00B975E6">
        <w:rPr>
          <w:lang w:val="en-GB"/>
        </w:rPr>
        <w:t xml:space="preserve"> – w</w:t>
      </w:r>
      <w:r w:rsidRPr="004A5762">
        <w:rPr>
          <w:lang w:val="en-GB"/>
        </w:rPr>
        <w:t>here future returns offset or exceed initial expenditures</w:t>
      </w:r>
      <w:r w:rsidR="00B975E6">
        <w:rPr>
          <w:lang w:val="en-GB"/>
        </w:rPr>
        <w:t xml:space="preserve"> – </w:t>
      </w:r>
      <w:r w:rsidRPr="004A5762">
        <w:rPr>
          <w:lang w:val="en-GB"/>
        </w:rPr>
        <w:t>carbon costs could be even lower than those reported here.</w:t>
      </w:r>
    </w:p>
    <w:p w14:paraId="4A3BF7A8" w14:textId="52F4DF84" w:rsidR="001D56A1" w:rsidRDefault="001D56A1" w:rsidP="001D56A1">
      <w:pPr>
        <w:pStyle w:val="BodyText"/>
        <w:spacing w:line="360" w:lineRule="auto"/>
        <w:rPr>
          <w:lang w:val="en-GB"/>
        </w:rPr>
      </w:pPr>
    </w:p>
    <w:p w14:paraId="596577F3" w14:textId="77777777" w:rsidR="00A42383" w:rsidRPr="001D56A1" w:rsidRDefault="00A42383" w:rsidP="00841EB8">
      <w:pPr>
        <w:spacing w:line="360" w:lineRule="auto"/>
      </w:pPr>
    </w:p>
    <w:p w14:paraId="5A29EA6B" w14:textId="77777777" w:rsidR="00050077" w:rsidRDefault="00050077">
      <w:pPr>
        <w:rPr>
          <w:highlight w:val="yellow"/>
          <w:lang w:val="en-US"/>
        </w:rPr>
      </w:pPr>
      <w:r>
        <w:rPr>
          <w:highlight w:val="yellow"/>
          <w:lang w:val="en-US"/>
        </w:rPr>
        <w:br w:type="page"/>
      </w:r>
    </w:p>
    <w:p w14:paraId="1B721025" w14:textId="0405B592" w:rsidR="00AC5520" w:rsidRDefault="00427731" w:rsidP="00CD298D">
      <w:pPr>
        <w:pStyle w:val="Heading1"/>
      </w:pPr>
      <w:bookmarkStart w:id="19" w:name="_Toc225254934"/>
      <w:r>
        <w:lastRenderedPageBreak/>
        <w:t>Supplementary Figures</w:t>
      </w:r>
      <w:bookmarkEnd w:id="1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1D33B5" w14:paraId="7EE2CB20" w14:textId="77777777" w:rsidTr="00A21DA0">
        <w:tc>
          <w:tcPr>
            <w:tcW w:w="9016" w:type="dxa"/>
          </w:tcPr>
          <w:p w14:paraId="352245F6" w14:textId="77777777" w:rsidR="001D33B5" w:rsidRDefault="001D33B5" w:rsidP="00A21DA0">
            <w:pPr>
              <w:pStyle w:val="BodyText"/>
              <w:keepNext/>
              <w:jc w:val="center"/>
              <w:rPr>
                <w:lang w:val="en-GB"/>
              </w:rPr>
            </w:pPr>
            <w:r>
              <w:rPr>
                <w:noProof/>
                <w:lang w:val="en-GB"/>
              </w:rPr>
              <w:drawing>
                <wp:inline distT="0" distB="0" distL="0" distR="0" wp14:anchorId="743CBBB2" wp14:editId="4C66962A">
                  <wp:extent cx="4319025" cy="4319025"/>
                  <wp:effectExtent l="0" t="0" r="5715" b="5715"/>
                  <wp:docPr id="1717650950" name="Picture 1" descr="A graph of a stocking r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650950" name="Picture 1" descr="A graph of a stocking rate&#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19025" cy="4319025"/>
                          </a:xfrm>
                          <a:prstGeom prst="rect">
                            <a:avLst/>
                          </a:prstGeom>
                        </pic:spPr>
                      </pic:pic>
                    </a:graphicData>
                  </a:graphic>
                </wp:inline>
              </w:drawing>
            </w:r>
          </w:p>
        </w:tc>
      </w:tr>
      <w:tr w:rsidR="001D33B5" w14:paraId="18F8014D" w14:textId="77777777" w:rsidTr="00A21DA0">
        <w:tc>
          <w:tcPr>
            <w:tcW w:w="9016" w:type="dxa"/>
          </w:tcPr>
          <w:p w14:paraId="5D9785E1" w14:textId="6BBB30FD" w:rsidR="001D33B5" w:rsidRPr="00EA6A3F" w:rsidRDefault="001D33B5" w:rsidP="00A21DA0">
            <w:pPr>
              <w:pStyle w:val="Caption"/>
            </w:pPr>
            <w:bookmarkStart w:id="20" w:name="_Ref196469463"/>
            <w:bookmarkStart w:id="21" w:name="_Ref196469386"/>
            <w:bookmarkStart w:id="22" w:name="_Toc227067480"/>
            <w:r w:rsidRPr="00EA6A3F">
              <w:t xml:space="preserve">Supplementary Figure </w:t>
            </w:r>
            <w:fldSimple w:instr=" SEQ Supplementary_Figure \* ARABIC ">
              <w:r w:rsidR="00622755">
                <w:rPr>
                  <w:noProof/>
                </w:rPr>
                <w:t>1</w:t>
              </w:r>
            </w:fldSimple>
            <w:bookmarkEnd w:id="20"/>
            <w:r w:rsidRPr="00EA6A3F">
              <w:t>. Distributions of pasture stocking rate and resulting beef yield.</w:t>
            </w:r>
            <w:bookmarkEnd w:id="22"/>
            <w:r w:rsidRPr="00EA6A3F">
              <w:t xml:space="preserve"> </w:t>
            </w:r>
            <w:bookmarkEnd w:id="21"/>
          </w:p>
        </w:tc>
      </w:tr>
      <w:tr w:rsidR="001D33B5" w14:paraId="7FEE4E3F" w14:textId="77777777" w:rsidTr="00A21DA0">
        <w:tc>
          <w:tcPr>
            <w:tcW w:w="9016" w:type="dxa"/>
          </w:tcPr>
          <w:p w14:paraId="7D56A469" w14:textId="273AE3DD" w:rsidR="001D33B5" w:rsidRPr="00555758" w:rsidRDefault="001D33B5" w:rsidP="00A21DA0">
            <w:pPr>
              <w:pStyle w:val="captiondescription"/>
            </w:pPr>
            <w:r w:rsidRPr="00E03754">
              <w:rPr>
                <w:rStyle w:val="captiondescriptionChar"/>
              </w:rPr>
              <w:t xml:space="preserve">(A) Distribution of stocking rate </w:t>
            </w:r>
            <w:r w:rsidRPr="00A42FF6">
              <w:rPr>
                <w:rStyle w:val="captiondescriptionChar"/>
              </w:rPr>
              <w:t>across all gri</w:t>
            </w:r>
            <w:r>
              <w:rPr>
                <w:rStyle w:val="captiondescriptionChar"/>
              </w:rPr>
              <w:t>d cells after we combined official municipality-level data on production with land use data</w:t>
            </w:r>
            <w:r w:rsidRPr="00E03754">
              <w:rPr>
                <w:rStyle w:val="captiondescriptionChar"/>
              </w:rPr>
              <w:t xml:space="preserve">, expressed as animal units per hectare. </w:t>
            </w:r>
            <w:r w:rsidRPr="00555758">
              <w:rPr>
                <w:rStyle w:val="captiondescriptionChar"/>
              </w:rPr>
              <w:t>Vertical black lines indicate the 5</w:t>
            </w:r>
            <w:r w:rsidRPr="00C97C3F">
              <w:rPr>
                <w:rStyle w:val="captiondescriptionChar"/>
                <w:vertAlign w:val="superscript"/>
              </w:rPr>
              <w:t>th</w:t>
            </w:r>
            <w:r w:rsidRPr="00555758">
              <w:rPr>
                <w:rStyle w:val="captiondescriptionChar"/>
              </w:rPr>
              <w:t xml:space="preserve"> (0.16 AU ha</w:t>
            </w:r>
            <w:r w:rsidRPr="00555758">
              <w:rPr>
                <w:rStyle w:val="captiondescriptionChar"/>
                <w:rFonts w:ascii="Cambria Math" w:hAnsi="Cambria Math" w:cs="Cambria Math"/>
              </w:rPr>
              <w:t>⁻</w:t>
            </w:r>
            <w:r w:rsidRPr="00555758">
              <w:rPr>
                <w:rStyle w:val="captiondescriptionChar"/>
              </w:rPr>
              <w:t>¹) and 95</w:t>
            </w:r>
            <w:r w:rsidRPr="00C97C3F">
              <w:rPr>
                <w:rStyle w:val="captiondescriptionChar"/>
                <w:vertAlign w:val="superscript"/>
              </w:rPr>
              <w:t>th</w:t>
            </w:r>
            <w:r>
              <w:rPr>
                <w:rStyle w:val="captiondescriptionChar"/>
              </w:rPr>
              <w:t xml:space="preserve"> </w:t>
            </w:r>
            <w:r w:rsidRPr="00555758">
              <w:rPr>
                <w:rStyle w:val="captiondescriptionChar"/>
              </w:rPr>
              <w:t>(4.6 AU ha</w:t>
            </w:r>
            <w:r w:rsidRPr="00555758">
              <w:rPr>
                <w:rStyle w:val="captiondescriptionChar"/>
                <w:rFonts w:ascii="Cambria Math" w:hAnsi="Cambria Math" w:cs="Cambria Math"/>
              </w:rPr>
              <w:t>⁻</w:t>
            </w:r>
            <w:r w:rsidRPr="00555758">
              <w:rPr>
                <w:rStyle w:val="captiondescriptionChar"/>
              </w:rPr>
              <w:t>¹) percentiles; these thresholds were used to exclude extreme values. (B) Distribution of estimated beef yield (kg ha</w:t>
            </w:r>
            <w:r w:rsidRPr="00555758">
              <w:rPr>
                <w:rStyle w:val="captiondescriptionChar"/>
                <w:rFonts w:ascii="Cambria Math" w:hAnsi="Cambria Math" w:cs="Cambria Math"/>
              </w:rPr>
              <w:t>⁻</w:t>
            </w:r>
            <w:r w:rsidRPr="00555758">
              <w:rPr>
                <w:rStyle w:val="captiondescriptionChar"/>
              </w:rPr>
              <w:t>¹ y</w:t>
            </w:r>
            <w:r w:rsidR="00F03F1C">
              <w:rPr>
                <w:rStyle w:val="captiondescriptionChar"/>
              </w:rPr>
              <w:t>r</w:t>
            </w:r>
            <w:r w:rsidRPr="00555758">
              <w:rPr>
                <w:rStyle w:val="captiondescriptionChar"/>
                <w:rFonts w:ascii="Cambria Math" w:hAnsi="Cambria Math" w:cs="Cambria Math"/>
              </w:rPr>
              <w:t>⁻</w:t>
            </w:r>
            <w:r w:rsidRPr="00555758">
              <w:rPr>
                <w:rStyle w:val="captiondescriptionChar"/>
              </w:rPr>
              <w:t>¹) after excluding observations with stocking rates below the 5th or above the 95th percentile.</w:t>
            </w:r>
            <w:r>
              <w:rPr>
                <w:rStyle w:val="captiondescriptionChar"/>
              </w:rPr>
              <w:t xml:space="preserve"> We obtained beef yield by multiplying stocking rate by animal performance obtained at State level (see Methods).</w:t>
            </w:r>
          </w:p>
        </w:tc>
      </w:tr>
    </w:tbl>
    <w:p w14:paraId="41D35DDA" w14:textId="77777777" w:rsidR="001D33B5" w:rsidRDefault="001D33B5"/>
    <w:p w14:paraId="3AD12EC0" w14:textId="53E636DB" w:rsidR="001D33B5" w:rsidRDefault="001D33B5">
      <w:r>
        <w:br w:type="page"/>
      </w:r>
    </w:p>
    <w:p w14:paraId="126BFD6F" w14:textId="77777777" w:rsidR="001D33B5" w:rsidRPr="001D33B5" w:rsidRDefault="001D33B5" w:rsidP="001D33B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92582C" w14:paraId="1185096D" w14:textId="77777777" w:rsidTr="00E27A46">
        <w:tc>
          <w:tcPr>
            <w:tcW w:w="9016" w:type="dxa"/>
          </w:tcPr>
          <w:p w14:paraId="0DA1C165" w14:textId="2EACC7E8" w:rsidR="0092582C" w:rsidRDefault="0092582C">
            <w:r>
              <w:rPr>
                <w:noProof/>
              </w:rPr>
              <w:drawing>
                <wp:inline distT="0" distB="0" distL="0" distR="0" wp14:anchorId="357DDBEF" wp14:editId="74CC79B1">
                  <wp:extent cx="5400675" cy="7108466"/>
                  <wp:effectExtent l="0" t="0" r="0" b="0"/>
                  <wp:docPr id="670918372" name="Picture 1" descr="A map of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918372" name="Picture 1" descr="A map of different colors&#10;&#10;AI-generated content may be incorrect."/>
                          <pic:cNvPicPr/>
                        </pic:nvPicPr>
                        <pic:blipFill rotWithShape="1">
                          <a:blip r:embed="rId10" cstate="print">
                            <a:extLst>
                              <a:ext uri="{28A0092B-C50C-407E-A947-70E740481C1C}">
                                <a14:useLocalDpi xmlns:a14="http://schemas.microsoft.com/office/drawing/2010/main" val="0"/>
                              </a:ext>
                            </a:extLst>
                          </a:blip>
                          <a:srcRect b="1256"/>
                          <a:stretch>
                            <a:fillRect/>
                          </a:stretch>
                        </pic:blipFill>
                        <pic:spPr bwMode="auto">
                          <a:xfrm>
                            <a:off x="0" y="0"/>
                            <a:ext cx="5401067" cy="7108982"/>
                          </a:xfrm>
                          <a:prstGeom prst="rect">
                            <a:avLst/>
                          </a:prstGeom>
                          <a:ln>
                            <a:noFill/>
                          </a:ln>
                          <a:extLst>
                            <a:ext uri="{53640926-AAD7-44D8-BBD7-CCE9431645EC}">
                              <a14:shadowObscured xmlns:a14="http://schemas.microsoft.com/office/drawing/2010/main"/>
                            </a:ext>
                          </a:extLst>
                        </pic:spPr>
                      </pic:pic>
                    </a:graphicData>
                  </a:graphic>
                </wp:inline>
              </w:drawing>
            </w:r>
          </w:p>
        </w:tc>
      </w:tr>
      <w:tr w:rsidR="0092582C" w14:paraId="72841229" w14:textId="77777777" w:rsidTr="00E27A46">
        <w:tc>
          <w:tcPr>
            <w:tcW w:w="9016" w:type="dxa"/>
          </w:tcPr>
          <w:p w14:paraId="37C743E2" w14:textId="738C4061" w:rsidR="0092582C" w:rsidRDefault="0092582C" w:rsidP="0092582C">
            <w:pPr>
              <w:pStyle w:val="Caption"/>
            </w:pPr>
            <w:bookmarkStart w:id="23" w:name="_Ref213764109"/>
            <w:bookmarkStart w:id="24" w:name="_Toc227067481"/>
            <w:r w:rsidRPr="00A23202">
              <w:t xml:space="preserve">Supplementary Figure </w:t>
            </w:r>
            <w:fldSimple w:instr=" SEQ Supplementary_Figure \* ARABIC ">
              <w:r w:rsidR="00622755">
                <w:rPr>
                  <w:noProof/>
                </w:rPr>
                <w:t>2</w:t>
              </w:r>
            </w:fldSimple>
            <w:bookmarkEnd w:id="23"/>
            <w:r w:rsidRPr="00A23202">
              <w:t>. Spatial datasets used in the leakage modelling framework for Brazil.</w:t>
            </w:r>
            <w:bookmarkEnd w:id="24"/>
          </w:p>
        </w:tc>
      </w:tr>
      <w:tr w:rsidR="0092582C" w14:paraId="1F2EFE79" w14:textId="77777777" w:rsidTr="00572532">
        <w:tc>
          <w:tcPr>
            <w:tcW w:w="9016" w:type="dxa"/>
          </w:tcPr>
          <w:p w14:paraId="4FB99FA9" w14:textId="5B5CB690" w:rsidR="0092582C" w:rsidRDefault="0092582C" w:rsidP="00512D01">
            <w:pPr>
              <w:jc w:val="both"/>
            </w:pPr>
            <w:r w:rsidRPr="00D53911">
              <w:rPr>
                <w:sz w:val="18"/>
                <w:szCs w:val="18"/>
              </w:rPr>
              <w:t>(A) Modelled beef yield (kg ha</w:t>
            </w:r>
            <w:r w:rsidRPr="00D53911">
              <w:rPr>
                <w:rFonts w:ascii="Cambria Math" w:hAnsi="Cambria Math" w:cs="Cambria Math"/>
                <w:sz w:val="18"/>
                <w:szCs w:val="18"/>
              </w:rPr>
              <w:t>⁻</w:t>
            </w:r>
            <w:r w:rsidRPr="00D53911">
              <w:rPr>
                <w:rFonts w:ascii="Aptos" w:hAnsi="Aptos" w:cs="Aptos"/>
                <w:sz w:val="18"/>
                <w:szCs w:val="18"/>
              </w:rPr>
              <w:t>¹</w:t>
            </w:r>
            <w:r w:rsidRPr="00D53911">
              <w:rPr>
                <w:sz w:val="18"/>
                <w:szCs w:val="18"/>
              </w:rPr>
              <w:t>yr</w:t>
            </w:r>
            <w:r w:rsidRPr="00D53911">
              <w:rPr>
                <w:rFonts w:ascii="Cambria Math" w:hAnsi="Cambria Math" w:cs="Cambria Math"/>
                <w:sz w:val="18"/>
                <w:szCs w:val="18"/>
              </w:rPr>
              <w:t>⁻</w:t>
            </w:r>
            <w:r w:rsidRPr="00D53911">
              <w:rPr>
                <w:rFonts w:ascii="Aptos" w:hAnsi="Aptos" w:cs="Aptos"/>
                <w:sz w:val="18"/>
                <w:szCs w:val="18"/>
              </w:rPr>
              <w:t>¹</w:t>
            </w:r>
            <w:r w:rsidRPr="00D53911">
              <w:rPr>
                <w:sz w:val="18"/>
                <w:szCs w:val="18"/>
              </w:rPr>
              <w:t xml:space="preserve">) at 1-km resolution across </w:t>
            </w:r>
            <w:r w:rsidR="00C210D2">
              <w:rPr>
                <w:sz w:val="18"/>
                <w:szCs w:val="18"/>
              </w:rPr>
              <w:t>pasturelands</w:t>
            </w:r>
            <w:r w:rsidRPr="00D53911">
              <w:rPr>
                <w:sz w:val="18"/>
                <w:szCs w:val="18"/>
              </w:rPr>
              <w:t xml:space="preserve"> (grey = non-pasture). </w:t>
            </w:r>
            <w:r>
              <w:rPr>
                <w:sz w:val="18"/>
                <w:szCs w:val="18"/>
              </w:rPr>
              <w:t>We derived y</w:t>
            </w:r>
            <w:r w:rsidRPr="00D53911">
              <w:rPr>
                <w:sz w:val="18"/>
                <w:szCs w:val="18"/>
              </w:rPr>
              <w:t>ields from estimated stocking rates and animal performance, excluding extreme values (&lt;5th and &gt;95th percentiles).</w:t>
            </w:r>
            <w:r>
              <w:rPr>
                <w:sz w:val="18"/>
                <w:szCs w:val="18"/>
              </w:rPr>
              <w:t xml:space="preserve"> </w:t>
            </w:r>
            <w:r w:rsidRPr="00D53911">
              <w:rPr>
                <w:sz w:val="18"/>
                <w:szCs w:val="18"/>
              </w:rPr>
              <w:t>(B) Potential carbon gain (</w:t>
            </w:r>
            <w:proofErr w:type="spellStart"/>
            <w:r w:rsidRPr="00D53911">
              <w:rPr>
                <w:sz w:val="18"/>
                <w:szCs w:val="18"/>
              </w:rPr>
              <w:t>t</w:t>
            </w:r>
            <w:r>
              <w:rPr>
                <w:sz w:val="18"/>
                <w:szCs w:val="18"/>
              </w:rPr>
              <w:t>Carbon</w:t>
            </w:r>
            <w:proofErr w:type="spellEnd"/>
            <w:r>
              <w:rPr>
                <w:sz w:val="18"/>
                <w:szCs w:val="18"/>
              </w:rPr>
              <w:t xml:space="preserve"> </w:t>
            </w:r>
            <w:r w:rsidRPr="00D53911">
              <w:rPr>
                <w:sz w:val="18"/>
                <w:szCs w:val="18"/>
              </w:rPr>
              <w:t>ha</w:t>
            </w:r>
            <w:r w:rsidRPr="00D53911">
              <w:rPr>
                <w:rFonts w:ascii="Cambria Math" w:hAnsi="Cambria Math" w:cs="Cambria Math"/>
                <w:sz w:val="18"/>
                <w:szCs w:val="18"/>
              </w:rPr>
              <w:t>⁻</w:t>
            </w:r>
            <w:r w:rsidRPr="00D53911">
              <w:rPr>
                <w:rFonts w:ascii="Aptos" w:hAnsi="Aptos" w:cs="Aptos"/>
                <w:sz w:val="18"/>
                <w:szCs w:val="18"/>
              </w:rPr>
              <w:t>¹</w:t>
            </w:r>
            <w:r w:rsidRPr="00D53911">
              <w:rPr>
                <w:sz w:val="18"/>
                <w:szCs w:val="18"/>
              </w:rPr>
              <w:t xml:space="preserve">) from </w:t>
            </w:r>
            <w:r w:rsidR="00F83C96">
              <w:rPr>
                <w:sz w:val="18"/>
                <w:szCs w:val="18"/>
              </w:rPr>
              <w:t xml:space="preserve">50 yr </w:t>
            </w:r>
            <w:r w:rsidRPr="00D53911">
              <w:rPr>
                <w:sz w:val="18"/>
                <w:szCs w:val="18"/>
              </w:rPr>
              <w:t>restoration, calculated as the difference between current and recovered carbon density.</w:t>
            </w:r>
            <w:r>
              <w:rPr>
                <w:sz w:val="18"/>
                <w:szCs w:val="18"/>
              </w:rPr>
              <w:t xml:space="preserve"> </w:t>
            </w:r>
            <w:r w:rsidRPr="00D53911">
              <w:rPr>
                <w:sz w:val="18"/>
                <w:szCs w:val="18"/>
              </w:rPr>
              <w:t>(C) Stocking rate at carrying capacity (animal units ha</w:t>
            </w:r>
            <w:r w:rsidRPr="00D53911">
              <w:rPr>
                <w:rFonts w:ascii="Cambria Math" w:hAnsi="Cambria Math" w:cs="Cambria Math"/>
                <w:sz w:val="18"/>
                <w:szCs w:val="18"/>
              </w:rPr>
              <w:t>⁻</w:t>
            </w:r>
            <w:r w:rsidRPr="00D53911">
              <w:rPr>
                <w:rFonts w:ascii="Aptos" w:hAnsi="Aptos" w:cs="Aptos"/>
                <w:sz w:val="18"/>
                <w:szCs w:val="18"/>
              </w:rPr>
              <w:t>¹</w:t>
            </w:r>
            <w:r w:rsidRPr="00D53911">
              <w:rPr>
                <w:sz w:val="18"/>
                <w:szCs w:val="18"/>
              </w:rPr>
              <w:t>) based on potential grass biomass growth.</w:t>
            </w:r>
            <w:r>
              <w:rPr>
                <w:sz w:val="18"/>
                <w:szCs w:val="18"/>
              </w:rPr>
              <w:t xml:space="preserve"> </w:t>
            </w:r>
            <w:r w:rsidRPr="00D53911">
              <w:rPr>
                <w:sz w:val="18"/>
                <w:szCs w:val="18"/>
              </w:rPr>
              <w:t>(D) Probability of natural regeneration across anthropogenic lands, excluding water and urban areas (see Supplementary Methods).</w:t>
            </w:r>
            <w:r>
              <w:rPr>
                <w:sz w:val="18"/>
                <w:szCs w:val="18"/>
              </w:rPr>
              <w:t xml:space="preserve"> </w:t>
            </w:r>
            <w:r w:rsidRPr="00D53911">
              <w:rPr>
                <w:sz w:val="18"/>
                <w:szCs w:val="18"/>
              </w:rPr>
              <w:t xml:space="preserve">(E) </w:t>
            </w:r>
            <w:r>
              <w:rPr>
                <w:sz w:val="18"/>
                <w:szCs w:val="18"/>
              </w:rPr>
              <w:t>R</w:t>
            </w:r>
            <w:r w:rsidRPr="00D53911">
              <w:rPr>
                <w:sz w:val="18"/>
                <w:szCs w:val="18"/>
              </w:rPr>
              <w:t>estoration costs (USD ha</w:t>
            </w:r>
            <w:r w:rsidRPr="00D53911">
              <w:rPr>
                <w:rFonts w:ascii="Cambria Math" w:hAnsi="Cambria Math" w:cs="Cambria Math"/>
                <w:sz w:val="18"/>
                <w:szCs w:val="18"/>
              </w:rPr>
              <w:t>⁻</w:t>
            </w:r>
            <w:r w:rsidRPr="00D53911">
              <w:rPr>
                <w:rFonts w:ascii="Aptos" w:hAnsi="Aptos" w:cs="Aptos"/>
                <w:sz w:val="18"/>
                <w:szCs w:val="18"/>
              </w:rPr>
              <w:t>¹</w:t>
            </w:r>
            <w:r w:rsidRPr="00D53911">
              <w:rPr>
                <w:sz w:val="18"/>
                <w:szCs w:val="18"/>
              </w:rPr>
              <w:t>) accounting for regeneration potential, required planting effort, and mechanization feasibility (terrain slope).</w:t>
            </w:r>
            <w:r>
              <w:rPr>
                <w:sz w:val="18"/>
                <w:szCs w:val="18"/>
              </w:rPr>
              <w:t xml:space="preserve"> (F) </w:t>
            </w:r>
            <w:r w:rsidRPr="00330A6D">
              <w:rPr>
                <w:sz w:val="18"/>
                <w:szCs w:val="18"/>
              </w:rPr>
              <w:t>Map of Brazil showing the</w:t>
            </w:r>
            <w:r>
              <w:rPr>
                <w:sz w:val="18"/>
                <w:szCs w:val="18"/>
              </w:rPr>
              <w:t xml:space="preserve"> </w:t>
            </w:r>
            <w:r w:rsidRPr="00330A6D">
              <w:rPr>
                <w:sz w:val="18"/>
                <w:szCs w:val="18"/>
              </w:rPr>
              <w:t>Amazon and Atlantic Forest (grey</w:t>
            </w:r>
            <w:r>
              <w:rPr>
                <w:sz w:val="18"/>
                <w:szCs w:val="18"/>
              </w:rPr>
              <w:t>). B</w:t>
            </w:r>
            <w:r w:rsidRPr="00330A6D">
              <w:rPr>
                <w:sz w:val="18"/>
                <w:szCs w:val="18"/>
              </w:rPr>
              <w:t xml:space="preserve">lack lines delineate </w:t>
            </w:r>
            <w:r w:rsidR="0048678B">
              <w:rPr>
                <w:sz w:val="18"/>
                <w:szCs w:val="18"/>
              </w:rPr>
              <w:t xml:space="preserve">IBGE’s </w:t>
            </w:r>
            <w:r w:rsidRPr="00330A6D">
              <w:rPr>
                <w:sz w:val="18"/>
                <w:szCs w:val="18"/>
              </w:rPr>
              <w:t>Immediate Regions</w:t>
            </w:r>
            <w:r w:rsidR="00E27A46">
              <w:rPr>
                <w:sz w:val="18"/>
                <w:szCs w:val="18"/>
              </w:rPr>
              <w:t>,</w:t>
            </w:r>
            <w:r w:rsidRPr="00330A6D">
              <w:rPr>
                <w:sz w:val="18"/>
                <w:szCs w:val="18"/>
              </w:rPr>
              <w:t xml:space="preserve"> which we used to define our local analysis scale. Thin white lines represent municipal boundaries.</w:t>
            </w:r>
          </w:p>
        </w:tc>
      </w:tr>
      <w:tr w:rsidR="00572532" w14:paraId="510045FD" w14:textId="77777777" w:rsidTr="005725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16" w:type="dxa"/>
            <w:tcBorders>
              <w:top w:val="nil"/>
              <w:left w:val="nil"/>
              <w:bottom w:val="nil"/>
              <w:right w:val="nil"/>
            </w:tcBorders>
          </w:tcPr>
          <w:p w14:paraId="22EBF41A" w14:textId="77777777" w:rsidR="00572532" w:rsidRDefault="00572532" w:rsidP="00A21DA0">
            <w:pPr>
              <w:keepNext/>
              <w:jc w:val="center"/>
            </w:pPr>
            <w:r>
              <w:rPr>
                <w:noProof/>
              </w:rPr>
              <w:lastRenderedPageBreak/>
              <w:drawing>
                <wp:inline distT="0" distB="0" distL="0" distR="0" wp14:anchorId="140F4B2C" wp14:editId="0788F4EB">
                  <wp:extent cx="5038354" cy="3959360"/>
                  <wp:effectExtent l="0" t="0" r="0" b="3175"/>
                  <wp:docPr id="10847065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706505"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38354" cy="3959360"/>
                          </a:xfrm>
                          <a:prstGeom prst="rect">
                            <a:avLst/>
                          </a:prstGeom>
                        </pic:spPr>
                      </pic:pic>
                    </a:graphicData>
                  </a:graphic>
                </wp:inline>
              </w:drawing>
            </w:r>
          </w:p>
        </w:tc>
      </w:tr>
      <w:tr w:rsidR="00572532" w14:paraId="4B5AAAF1" w14:textId="77777777" w:rsidTr="005725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16" w:type="dxa"/>
            <w:tcBorders>
              <w:top w:val="nil"/>
              <w:left w:val="nil"/>
              <w:bottom w:val="nil"/>
              <w:right w:val="nil"/>
            </w:tcBorders>
          </w:tcPr>
          <w:p w14:paraId="1289CBC3" w14:textId="3AB18BDC" w:rsidR="00572532" w:rsidRPr="0039578F" w:rsidRDefault="00572532" w:rsidP="00A21DA0">
            <w:pPr>
              <w:pStyle w:val="Caption"/>
            </w:pPr>
            <w:bookmarkStart w:id="25" w:name="_Ref213764044"/>
            <w:bookmarkStart w:id="26" w:name="_Toc227067482"/>
            <w:r w:rsidRPr="0039578F">
              <w:t xml:space="preserve">Supplementary Figure </w:t>
            </w:r>
            <w:fldSimple w:instr=" SEQ Supplementary_Figure \* ARABIC ">
              <w:r w:rsidR="00622755">
                <w:rPr>
                  <w:noProof/>
                </w:rPr>
                <w:t>3</w:t>
              </w:r>
            </w:fldSimple>
            <w:bookmarkEnd w:id="25"/>
            <w:r w:rsidRPr="0039578F">
              <w:t>. Sensitivity of carbon costs to assumptions about future beef yield trajectories.</w:t>
            </w:r>
            <w:bookmarkEnd w:id="26"/>
            <w:r w:rsidRPr="0039578F">
              <w:t xml:space="preserve"> </w:t>
            </w:r>
          </w:p>
        </w:tc>
      </w:tr>
      <w:tr w:rsidR="00572532" w14:paraId="2F8ECB05" w14:textId="77777777" w:rsidTr="005725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16" w:type="dxa"/>
            <w:tcBorders>
              <w:top w:val="nil"/>
              <w:left w:val="nil"/>
              <w:bottom w:val="nil"/>
              <w:right w:val="nil"/>
            </w:tcBorders>
          </w:tcPr>
          <w:p w14:paraId="705CB4BE" w14:textId="7D17043F" w:rsidR="00572532" w:rsidRPr="0039578F" w:rsidRDefault="00572532" w:rsidP="00A21DA0">
            <w:pPr>
              <w:pStyle w:val="captiondescription"/>
            </w:pPr>
            <w:r w:rsidRPr="0033422E">
              <w:t xml:space="preserve">Violin plots show the distribution of costs (USD </w:t>
            </w:r>
            <w:r>
              <w:t>t</w:t>
            </w:r>
            <w:r w:rsidRPr="0033422E">
              <w:t>CO₂e</w:t>
            </w:r>
            <w:r w:rsidRPr="007F19C7">
              <w:rPr>
                <w:vertAlign w:val="superscript"/>
              </w:rPr>
              <w:t>-1</w:t>
            </w:r>
            <w:r w:rsidRPr="0033422E">
              <w:t>) under three alternative assumptions about future beef yields over a 50-year period: baseline (yield is kept constant on its current 2021 value), projected (moderate growth based on historical rates</w:t>
            </w:r>
            <w:r>
              <w:t>; this is the central case presented in the main text</w:t>
            </w:r>
            <w:r w:rsidRPr="0033422E">
              <w:t>), and carrying (yields reaches 90% of carrying capacity). Panels reflect combinations of biome (Amazon vs. Atlantic Forest) and leakage intensity (high vs. low)</w:t>
            </w:r>
            <w:r>
              <w:t xml:space="preserve"> and include mitigation costs</w:t>
            </w:r>
            <w:r w:rsidRPr="0033422E">
              <w:t xml:space="preserve">.  </w:t>
            </w:r>
            <w:r w:rsidR="00372D36" w:rsidRPr="00952AAD">
              <w:t xml:space="preserve">All results assume that 100% of forgone beef production is displaced </w:t>
            </w:r>
            <w:r w:rsidR="00372D36">
              <w:t>across the country</w:t>
            </w:r>
            <w:r w:rsidR="00372D36" w:rsidRPr="00952AAD">
              <w:t xml:space="preserve">, and that mitigation </w:t>
            </w:r>
            <w:r w:rsidR="00372D36" w:rsidRPr="003A34D4">
              <w:t xml:space="preserve">actions are also </w:t>
            </w:r>
            <w:r w:rsidR="00372D36">
              <w:t>undertaken at the country domain.</w:t>
            </w:r>
            <w:r w:rsidR="00372D36" w:rsidRPr="0033422E">
              <w:t xml:space="preserve"> </w:t>
            </w:r>
            <w:r w:rsidRPr="0033422E">
              <w:t>Note the logarithmic scale on the y-axis.</w:t>
            </w:r>
          </w:p>
        </w:tc>
      </w:tr>
    </w:tbl>
    <w:p w14:paraId="17FC66FA" w14:textId="4674DAC8" w:rsidR="008604A2" w:rsidRDefault="008604A2"/>
    <w:p w14:paraId="0BFA0253" w14:textId="77777777" w:rsidR="008604A2" w:rsidRDefault="008604A2">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
        <w:gridCol w:w="8656"/>
        <w:gridCol w:w="10"/>
      </w:tblGrid>
      <w:tr w:rsidR="008604A2" w14:paraId="2A3AD8C3" w14:textId="77777777" w:rsidTr="00A21DA0">
        <w:trPr>
          <w:gridAfter w:val="1"/>
          <w:wAfter w:w="10" w:type="dxa"/>
        </w:trPr>
        <w:tc>
          <w:tcPr>
            <w:tcW w:w="9016" w:type="dxa"/>
            <w:gridSpan w:val="2"/>
          </w:tcPr>
          <w:p w14:paraId="1137F190" w14:textId="77777777" w:rsidR="008604A2" w:rsidRDefault="008604A2" w:rsidP="00A21DA0">
            <w:pPr>
              <w:jc w:val="center"/>
            </w:pPr>
          </w:p>
        </w:tc>
      </w:tr>
      <w:tr w:rsidR="008604A2" w:rsidRPr="00A23202" w14:paraId="7668ADAD" w14:textId="77777777" w:rsidTr="00A21DA0">
        <w:trPr>
          <w:gridAfter w:val="1"/>
          <w:wAfter w:w="10" w:type="dxa"/>
        </w:trPr>
        <w:tc>
          <w:tcPr>
            <w:tcW w:w="9016" w:type="dxa"/>
            <w:gridSpan w:val="2"/>
          </w:tcPr>
          <w:p w14:paraId="2E9A7434" w14:textId="77777777" w:rsidR="008604A2" w:rsidRPr="00A23202" w:rsidRDefault="008604A2" w:rsidP="00A21DA0">
            <w:pPr>
              <w:pStyle w:val="Caption"/>
            </w:pPr>
          </w:p>
        </w:tc>
      </w:tr>
      <w:tr w:rsidR="008604A2" w14:paraId="1385E43F" w14:textId="77777777" w:rsidTr="00A21DA0">
        <w:trPr>
          <w:gridAfter w:val="1"/>
          <w:wAfter w:w="10" w:type="dxa"/>
        </w:trPr>
        <w:tc>
          <w:tcPr>
            <w:tcW w:w="9016" w:type="dxa"/>
            <w:gridSpan w:val="2"/>
          </w:tcPr>
          <w:p w14:paraId="28DBCE4B" w14:textId="77777777" w:rsidR="008604A2" w:rsidRPr="0037735E" w:rsidRDefault="008604A2" w:rsidP="00A21DA0">
            <w:pPr>
              <w:jc w:val="both"/>
              <w:rPr>
                <w:sz w:val="18"/>
                <w:szCs w:val="18"/>
              </w:rPr>
            </w:pPr>
          </w:p>
        </w:tc>
      </w:tr>
      <w:tr w:rsidR="008604A2" w14:paraId="06FA220E" w14:textId="77777777" w:rsidTr="00A21D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Pr>
        <w:tc>
          <w:tcPr>
            <w:tcW w:w="9016" w:type="dxa"/>
            <w:gridSpan w:val="2"/>
            <w:tcBorders>
              <w:top w:val="nil"/>
              <w:left w:val="nil"/>
              <w:bottom w:val="nil"/>
              <w:right w:val="nil"/>
            </w:tcBorders>
          </w:tcPr>
          <w:p w14:paraId="129205ED" w14:textId="77777777" w:rsidR="008604A2" w:rsidRDefault="008604A2" w:rsidP="00A21DA0">
            <w:pPr>
              <w:keepNext/>
              <w:jc w:val="center"/>
            </w:pPr>
          </w:p>
        </w:tc>
      </w:tr>
      <w:tr w:rsidR="008604A2" w14:paraId="22AB721F" w14:textId="77777777" w:rsidTr="00A21DA0">
        <w:trPr>
          <w:gridBefore w:val="1"/>
          <w:wBefore w:w="360" w:type="dxa"/>
        </w:trPr>
        <w:tc>
          <w:tcPr>
            <w:tcW w:w="8666" w:type="dxa"/>
            <w:gridSpan w:val="2"/>
          </w:tcPr>
          <w:p w14:paraId="44F9151A" w14:textId="77777777" w:rsidR="008604A2" w:rsidRDefault="008604A2" w:rsidP="00A21DA0">
            <w:pPr>
              <w:jc w:val="center"/>
            </w:pPr>
            <w:r>
              <w:rPr>
                <w:noProof/>
              </w:rPr>
              <w:drawing>
                <wp:inline distT="0" distB="0" distL="0" distR="0" wp14:anchorId="1A69E852" wp14:editId="07D19507">
                  <wp:extent cx="4316120" cy="3597274"/>
                  <wp:effectExtent l="0" t="0" r="8255" b="3810"/>
                  <wp:docPr id="828195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195268"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316120" cy="3597274"/>
                          </a:xfrm>
                          <a:prstGeom prst="rect">
                            <a:avLst/>
                          </a:prstGeom>
                          <a:noFill/>
                          <a:ln>
                            <a:noFill/>
                          </a:ln>
                        </pic:spPr>
                      </pic:pic>
                    </a:graphicData>
                  </a:graphic>
                </wp:inline>
              </w:drawing>
            </w:r>
          </w:p>
        </w:tc>
      </w:tr>
      <w:tr w:rsidR="008604A2" w14:paraId="5D667D2B" w14:textId="77777777" w:rsidTr="00A21DA0">
        <w:trPr>
          <w:gridBefore w:val="1"/>
          <w:wBefore w:w="360" w:type="dxa"/>
        </w:trPr>
        <w:tc>
          <w:tcPr>
            <w:tcW w:w="8666" w:type="dxa"/>
            <w:gridSpan w:val="2"/>
          </w:tcPr>
          <w:p w14:paraId="2645C36A" w14:textId="35FB0BDF" w:rsidR="008604A2" w:rsidRPr="001D46B3" w:rsidRDefault="008604A2" w:rsidP="00A21DA0">
            <w:pPr>
              <w:pStyle w:val="Caption"/>
            </w:pPr>
            <w:bookmarkStart w:id="27" w:name="_Ref213764562"/>
            <w:bookmarkStart w:id="28" w:name="_Toc227067483"/>
            <w:r w:rsidRPr="001D46B3">
              <w:t xml:space="preserve">Supplementary Figure </w:t>
            </w:r>
            <w:fldSimple w:instr=" SEQ Supplementary_Figure \* ARABIC ">
              <w:r w:rsidR="00622755">
                <w:rPr>
                  <w:noProof/>
                </w:rPr>
                <w:t>4</w:t>
              </w:r>
            </w:fldSimple>
            <w:bookmarkEnd w:id="27"/>
            <w:r w:rsidRPr="001D46B3">
              <w:t xml:space="preserve">. </w:t>
            </w:r>
            <w:r w:rsidR="00DB496E">
              <w:t>Forgone</w:t>
            </w:r>
            <w:r w:rsidRPr="001D46B3">
              <w:t>-</w:t>
            </w:r>
            <w:r w:rsidR="00DB496E">
              <w:t>production</w:t>
            </w:r>
            <w:r>
              <w:t>-</w:t>
            </w:r>
            <w:r w:rsidRPr="001D46B3">
              <w:t>to-carbon</w:t>
            </w:r>
            <w:r>
              <w:t>-gained</w:t>
            </w:r>
            <w:r w:rsidRPr="001D46B3">
              <w:t xml:space="preserve"> ratio distribution of the top ten beef-exporting countries.</w:t>
            </w:r>
            <w:bookmarkEnd w:id="28"/>
            <w:r w:rsidRPr="001D46B3">
              <w:t xml:space="preserve"> </w:t>
            </w:r>
          </w:p>
        </w:tc>
      </w:tr>
      <w:tr w:rsidR="008604A2" w14:paraId="1123831F" w14:textId="77777777" w:rsidTr="00A21DA0">
        <w:trPr>
          <w:gridBefore w:val="1"/>
          <w:wBefore w:w="360" w:type="dxa"/>
        </w:trPr>
        <w:tc>
          <w:tcPr>
            <w:tcW w:w="8666" w:type="dxa"/>
            <w:gridSpan w:val="2"/>
          </w:tcPr>
          <w:p w14:paraId="3FDCB549" w14:textId="49354242" w:rsidR="008604A2" w:rsidRPr="001D46B3" w:rsidRDefault="008604A2" w:rsidP="00A21DA0">
            <w:pPr>
              <w:pStyle w:val="captiondescription"/>
              <w:rPr>
                <w:b/>
                <w:bCs/>
              </w:rPr>
            </w:pPr>
            <w:r w:rsidRPr="001D46B3">
              <w:t xml:space="preserve">Ridge plots show the distribution of </w:t>
            </w:r>
            <w:r w:rsidR="00DB496E">
              <w:t>forgone</w:t>
            </w:r>
            <w:r>
              <w:t>-</w:t>
            </w:r>
            <w:r w:rsidR="00DB496E">
              <w:t>production</w:t>
            </w:r>
            <w:r>
              <w:t>-to-carbon-gained</w:t>
            </w:r>
            <w:r w:rsidRPr="001D46B3">
              <w:t xml:space="preserve"> ratios across pasturelands for Brazil (BRA), United States of America (USA), India (IND), Australia (AUS), New Zealand (NZL), European Union (EU), Argentina (ARG), Canada (CAN), Uruguay (URY) and Paraguay (PRY). White circles denote the median and black horizontal lines the 95% confidence interval of each country’s distribution. The red triangle indicates the 20</w:t>
            </w:r>
            <w:r w:rsidRPr="00DC2AD3">
              <w:rPr>
                <w:vertAlign w:val="superscript"/>
              </w:rPr>
              <w:t>th</w:t>
            </w:r>
            <w:r>
              <w:t xml:space="preserve"> </w:t>
            </w:r>
            <w:r w:rsidRPr="001D46B3">
              <w:t xml:space="preserve">percentile of the Brazilian distribution, used as the threshold for selecting low-leakage projects. The dashed red vertical line marks this value across all countries. </w:t>
            </w:r>
            <w:r>
              <w:t>Note the logarithm scale on the x-axis. Countries are order in decreasing order of volume exported.</w:t>
            </w:r>
          </w:p>
        </w:tc>
      </w:tr>
    </w:tbl>
    <w:p w14:paraId="47453E53" w14:textId="77777777" w:rsidR="00F16656" w:rsidRDefault="00F16656"/>
    <w:p w14:paraId="21975A9C" w14:textId="71E95905" w:rsidR="004D4DB8" w:rsidRDefault="004D4DB8">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4D4DB8" w14:paraId="6C56D769" w14:textId="77777777" w:rsidTr="00A21DA0">
        <w:tc>
          <w:tcPr>
            <w:tcW w:w="9026" w:type="dxa"/>
          </w:tcPr>
          <w:p w14:paraId="3E08A2B5" w14:textId="77777777" w:rsidR="004D4DB8" w:rsidRDefault="004D4DB8" w:rsidP="00A21DA0">
            <w:pPr>
              <w:pStyle w:val="BodyText"/>
              <w:keepNext/>
              <w:jc w:val="center"/>
            </w:pPr>
            <w:r>
              <w:rPr>
                <w:noProof/>
              </w:rPr>
              <w:lastRenderedPageBreak/>
              <w:drawing>
                <wp:inline distT="0" distB="0" distL="0" distR="0" wp14:anchorId="461D1D3B" wp14:editId="65F73134">
                  <wp:extent cx="3599695" cy="3599695"/>
                  <wp:effectExtent l="0" t="0" r="1270" b="1270"/>
                  <wp:docPr id="1047900269" name="Picture 6" descr="A graph of a curv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900269" name="Picture 6" descr="A graph of a curve&#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99695" cy="3599695"/>
                          </a:xfrm>
                          <a:prstGeom prst="rect">
                            <a:avLst/>
                          </a:prstGeom>
                        </pic:spPr>
                      </pic:pic>
                    </a:graphicData>
                  </a:graphic>
                </wp:inline>
              </w:drawing>
            </w:r>
          </w:p>
        </w:tc>
      </w:tr>
      <w:tr w:rsidR="004D4DB8" w14:paraId="4EA6FFB7" w14:textId="77777777" w:rsidTr="00A21DA0">
        <w:tc>
          <w:tcPr>
            <w:tcW w:w="9026" w:type="dxa"/>
          </w:tcPr>
          <w:p w14:paraId="5A92D94B" w14:textId="467F6EDA" w:rsidR="004D4DB8" w:rsidRPr="00155714" w:rsidRDefault="004D4DB8" w:rsidP="00A21DA0">
            <w:pPr>
              <w:pStyle w:val="Caption"/>
            </w:pPr>
            <w:bookmarkStart w:id="29" w:name="_Ref196470333"/>
            <w:bookmarkStart w:id="30" w:name="_Ref196470905"/>
            <w:bookmarkStart w:id="31" w:name="_Toc227067484"/>
            <w:r w:rsidRPr="00233A74">
              <w:t xml:space="preserve">Supplementary Figure </w:t>
            </w:r>
            <w:fldSimple w:instr=" SEQ Supplementary_Figure \* ARABIC ">
              <w:r w:rsidR="00622755">
                <w:rPr>
                  <w:noProof/>
                </w:rPr>
                <w:t>5</w:t>
              </w:r>
            </w:fldSimple>
            <w:bookmarkEnd w:id="29"/>
            <w:r w:rsidRPr="00233A74">
              <w:t>. Above-ground biomass recovery in secondary tropical forests over time.</w:t>
            </w:r>
            <w:bookmarkEnd w:id="31"/>
            <w:r w:rsidRPr="00233A74">
              <w:t xml:space="preserve"> </w:t>
            </w:r>
            <w:bookmarkEnd w:id="30"/>
          </w:p>
        </w:tc>
      </w:tr>
      <w:tr w:rsidR="004D4DB8" w14:paraId="41AA8780" w14:textId="77777777" w:rsidTr="00A21DA0">
        <w:tc>
          <w:tcPr>
            <w:tcW w:w="9026" w:type="dxa"/>
          </w:tcPr>
          <w:p w14:paraId="77ACF7C7" w14:textId="13B7726E" w:rsidR="004D4DB8" w:rsidRPr="00233A74" w:rsidRDefault="004D4DB8" w:rsidP="00A21DA0">
            <w:pPr>
              <w:pStyle w:val="Caption"/>
            </w:pPr>
            <w:r w:rsidRPr="00156183">
              <w:rPr>
                <w:rStyle w:val="captiondescriptionChar"/>
                <w:b w:val="0"/>
                <w:bCs w:val="0"/>
              </w:rPr>
              <w:t>The curve represents the percentage of above-ground biomass recovery relative to old-growth forest, based on data compiled by</w:t>
            </w:r>
            <w:r>
              <w:rPr>
                <w:rStyle w:val="captiondescriptionChar"/>
                <w:b w:val="0"/>
                <w:bCs w:val="0"/>
              </w:rPr>
              <w:t xml:space="preserve"> </w:t>
            </w:r>
            <w:proofErr w:type="spellStart"/>
            <w:r w:rsidR="00EB0862">
              <w:rPr>
                <w:rStyle w:val="captiondescriptionChar"/>
                <w:b w:val="0"/>
                <w:bCs w:val="0"/>
              </w:rPr>
              <w:t>Poorter</w:t>
            </w:r>
            <w:proofErr w:type="spellEnd"/>
            <w:r w:rsidR="00EB0862">
              <w:rPr>
                <w:rStyle w:val="captiondescriptionChar"/>
                <w:b w:val="0"/>
                <w:bCs w:val="0"/>
              </w:rPr>
              <w:t xml:space="preserve"> et al</w:t>
            </w:r>
            <w:r w:rsidRPr="00F65C53">
              <w:rPr>
                <w:rStyle w:val="captiondescriptionChar"/>
                <w:b w:val="0"/>
                <w:bCs w:val="0"/>
              </w:rPr>
              <w:t>.</w:t>
            </w:r>
            <w:r>
              <w:rPr>
                <w:rStyle w:val="captiondescriptionChar"/>
                <w:b w:val="0"/>
                <w:bCs w:val="0"/>
              </w:rPr>
              <w:fldChar w:fldCharType="begin"/>
            </w:r>
            <w:r w:rsidR="00D740BA">
              <w:rPr>
                <w:rStyle w:val="captiondescriptionChar"/>
                <w:b w:val="0"/>
                <w:bCs w:val="0"/>
              </w:rPr>
              <w:instrText xml:space="preserve"> ADDIN ZOTERO_ITEM CSL_CITATION {"citationID":"yjjFLz6Y","properties":{"formattedCitation":"\\super 31\\nosupersub{}","plainCitation":"31","noteIndex":0},"citationItems":[{"id":948,"uris":["http://zotero.org/users/3309187/items/2DJV8W7G"],"itemData":{"id":948,"type":"article-journal","container-title":"Nature","DOI":"10.1038/nature16512","ISSN":"0028-0836, 1476-4687","issue":"7589","page":"211-214","source":"CrossRef","title":"Biomass resilience of Neotropical secondary forests","volume":"530","author":[{"family":"Poorter","given":"Lourens"},{"family":"Bongers","given":"Frans"},{"family":"Aide","given":"T. Mitchell"},{"family":"Almeyda Zambrano","given":"Angélica M."},{"family":"Balvanera","given":"Patricia"},{"family":"Becknell","given":"Justin M."},{"family":"Boukili","given":"Vanessa"},{"family":"Brancalion","given":"Pedro H. S."},{"family":"Broadbent","given":"Eben N."},{"family":"Chazdon","given":"Robin L."},{"family":"Craven","given":"Dylan"},{"family":"Almeida-Cortez","given":"Jarcilene S.","non-dropping-particle":"de"},{"family":"Cabral","given":"George A. L."},{"family":"Jong","given":"Ben H. J.","non-dropping-particle":"de"},{"family":"Denslow","given":"Julie S."},{"family":"Dent","given":"Daisy H."},{"family":"DeWalt","given":"Saara J."},{"family":"Dupuy","given":"Juan M."},{"family":"Durán","given":"Sandra M."},{"family":"Espírito-Santo","given":"Mario M."},{"family":"Fandino","given":"María C."},{"family":"César","given":"Ricardo G."},{"family":"Hall","given":"Jefferson S."},{"family":"Hernandez-Stefanoni","given":"José Luis"},{"family":"Jakovac","given":"Catarina C."},{"family":"Junqueira","given":"André B."},{"family":"Kennard","given":"Deborah"},{"family":"Letcher","given":"Susan G."},{"family":"Licona","given":"Juan-Carlos"},{"family":"Lohbeck","given":"Madelon"},{"family":"Marín-Spiotta","given":"Erika"},{"family":"Martínez-Ramos","given":"Miguel"},{"family":"Massoca","given":"Paulo"},{"family":"Meave","given":"Jorge A."},{"family":"Mesquita","given":"Rita"},{"family":"Mora","given":"Francisco"},{"family":"Muñoz","given":"Rodrigo"},{"family":"Muscarella","given":"Robert"},{"family":"Nunes","given":"Yule R. F."},{"family":"Ochoa-Gaona","given":"Susana"},{"family":"Oliveira","given":"Alexandre A.","non-dropping-particle":"de"},{"family":"Orihuela-Belmonte","given":"Edith"},{"family":"Peña-Claros","given":"Marielos"},{"family":"Pérez-García","given":"Eduardo A."},{"family":"Piotto","given":"Daniel"},{"family":"Powers","given":"Jennifer S."},{"family":"Rodríguez-Velázquez","given":"Jorge"},{"family":"Romero-Pérez","given":"I. Eunice"},{"family":"Ruíz","given":"Jorge"},{"family":"Saldarriaga","given":"Juan G."},{"family":"Sanchez-Azofeifa","given":"Arturo"},{"family":"Schwartz","given":"Naomi B."},{"family":"Steininger","given":"Marc K."},{"family":"Swenson","given":"Nathan G."},{"family":"Toledo","given":"Marisol"},{"family":"Uriarte","given":"Maria"},{"family":"Breugel","given":"Michiel","non-dropping-particle":"van"},{"family":"Wal","given":"Hans","non-dropping-particle":"van der"},{"family":"Veloso","given":"Maria D. M."},{"family":"Vester","given":"Hans F. M."},{"family":"Vicentini","given":"Alberto"},{"family":"Vieira","given":"Ima C. G."},{"family":"Bentos","given":"Tony Vizcarra"},{"family":"Williamson","given":"G. Bruce"},{"family":"Rozendaal","given":"Danaë M. A."}],"issued":{"date-parts":[["2016",2,3]]}}}],"schema":"https://github.com/citation-style-language/schema/raw/master/csl-citation.json"} </w:instrText>
            </w:r>
            <w:r>
              <w:rPr>
                <w:rStyle w:val="captiondescriptionChar"/>
                <w:b w:val="0"/>
                <w:bCs w:val="0"/>
              </w:rPr>
              <w:fldChar w:fldCharType="separate"/>
            </w:r>
            <w:r w:rsidR="00D740BA" w:rsidRPr="00D740BA">
              <w:rPr>
                <w:rFonts w:ascii="Aptos" w:hAnsi="Aptos" w:cs="Times New Roman"/>
                <w:kern w:val="0"/>
                <w:vertAlign w:val="superscript"/>
              </w:rPr>
              <w:t>31</w:t>
            </w:r>
            <w:r>
              <w:rPr>
                <w:rStyle w:val="captiondescriptionChar"/>
                <w:b w:val="0"/>
                <w:bCs w:val="0"/>
              </w:rPr>
              <w:fldChar w:fldCharType="end"/>
            </w:r>
            <w:r>
              <w:rPr>
                <w:rStyle w:val="captiondescriptionChar"/>
              </w:rPr>
              <w:t xml:space="preserve"> </w:t>
            </w:r>
            <w:r w:rsidRPr="00156183">
              <w:rPr>
                <w:rStyle w:val="captiondescriptionChar"/>
                <w:b w:val="0"/>
                <w:bCs w:val="0"/>
              </w:rPr>
              <w:t>. An asymptotic model was fitted to estimate recovery dynamics, showing that 86.9% of biomass is recovered after 50 years of regeneration. Dotted lines indicate the 50-year and 66-year marks, as well as the corresponding recovery thresholds (86.9% and 90%).</w:t>
            </w:r>
          </w:p>
        </w:tc>
      </w:tr>
    </w:tbl>
    <w:p w14:paraId="2008FBB2" w14:textId="77777777" w:rsidR="004D4DB8" w:rsidRDefault="004D4DB8"/>
    <w:p w14:paraId="7DDA0C3E" w14:textId="1E5D89DD" w:rsidR="00622EFF" w:rsidRDefault="00622EFF">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295E26" w14:paraId="5B0C0D35" w14:textId="77777777" w:rsidTr="002F7D4F">
        <w:tc>
          <w:tcPr>
            <w:tcW w:w="9026" w:type="dxa"/>
          </w:tcPr>
          <w:p w14:paraId="56C83E54" w14:textId="0E4A6D25" w:rsidR="00295E26" w:rsidRDefault="00781378" w:rsidP="000A141C">
            <w:pPr>
              <w:keepNext/>
              <w:jc w:val="center"/>
            </w:pPr>
            <w:r>
              <w:rPr>
                <w:noProof/>
              </w:rPr>
              <w:lastRenderedPageBreak/>
              <w:drawing>
                <wp:inline distT="0" distB="0" distL="0" distR="0" wp14:anchorId="5849E939" wp14:editId="6C7147FB">
                  <wp:extent cx="5731510" cy="2865755"/>
                  <wp:effectExtent l="0" t="0" r="2540" b="0"/>
                  <wp:docPr id="358666245" name="Picture 2" descr="A graph and diagram of a curv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666245" name="Picture 2" descr="A graph and diagram of a curv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tc>
      </w:tr>
      <w:tr w:rsidR="00295E26" w14:paraId="1DE351FA" w14:textId="77777777" w:rsidTr="002F7D4F">
        <w:tc>
          <w:tcPr>
            <w:tcW w:w="9026" w:type="dxa"/>
          </w:tcPr>
          <w:p w14:paraId="78638B48" w14:textId="3A7DFCA3" w:rsidR="00295E26" w:rsidRPr="00630849" w:rsidRDefault="00295E26" w:rsidP="000A141C">
            <w:pPr>
              <w:pStyle w:val="Caption"/>
            </w:pPr>
            <w:bookmarkStart w:id="32" w:name="_Ref203555344"/>
            <w:bookmarkStart w:id="33" w:name="_Toc227067485"/>
            <w:r w:rsidRPr="000333BE">
              <w:t xml:space="preserve">Supplementary Figure </w:t>
            </w:r>
            <w:fldSimple w:instr=" SEQ Supplementary_Figure \* ARABIC ">
              <w:r w:rsidR="00622755">
                <w:rPr>
                  <w:noProof/>
                </w:rPr>
                <w:t>6</w:t>
              </w:r>
            </w:fldSimple>
            <w:bookmarkEnd w:id="32"/>
            <w:r w:rsidRPr="000333BE">
              <w:t xml:space="preserve">. </w:t>
            </w:r>
            <w:r w:rsidR="00293F3A" w:rsidRPr="00293F3A">
              <w:t xml:space="preserve">Predictor importance and classification performance of the natural regeneration model </w:t>
            </w:r>
            <w:r w:rsidR="00293F3A">
              <w:t>.</w:t>
            </w:r>
            <w:bookmarkEnd w:id="33"/>
            <w:r w:rsidR="00293F3A">
              <w:t xml:space="preserve"> </w:t>
            </w:r>
          </w:p>
        </w:tc>
      </w:tr>
      <w:tr w:rsidR="00295E26" w14:paraId="2BBD6347" w14:textId="77777777" w:rsidTr="002F7D4F">
        <w:tc>
          <w:tcPr>
            <w:tcW w:w="9026" w:type="dxa"/>
          </w:tcPr>
          <w:p w14:paraId="34CCB15F" w14:textId="088BB719" w:rsidR="00295E26" w:rsidRPr="000333BE" w:rsidRDefault="00B1769D" w:rsidP="000A141C">
            <w:pPr>
              <w:pStyle w:val="captiondescription"/>
            </w:pPr>
            <w:r>
              <w:t xml:space="preserve">(A) </w:t>
            </w:r>
            <w:r w:rsidRPr="000333BE">
              <w:t xml:space="preserve">Relative variable importance of predictors used in the natural regeneration model. </w:t>
            </w:r>
            <w:r w:rsidR="00295E26" w:rsidRPr="0033422E">
              <w:t>Bars represent the relative importance of each variable, calculated as the individual variable importance score divided by the sum of all variable importance scores across predictors. This normalization allows for direct comparison of each variable's contribution to model performance. PC1 to PC5 refer to the principal components derived from 19 bioclimatic variables. Other variables include measures of vegetation density (</w:t>
            </w:r>
            <w:proofErr w:type="spellStart"/>
            <w:r w:rsidR="00295E26" w:rsidRPr="0033422E">
              <w:t>veg_dens</w:t>
            </w:r>
            <w:proofErr w:type="spellEnd"/>
            <w:r w:rsidR="00295E26" w:rsidRPr="0033422E">
              <w:t>), crop density (</w:t>
            </w:r>
            <w:proofErr w:type="spellStart"/>
            <w:r w:rsidR="00295E26" w:rsidRPr="0033422E">
              <w:t>crop_dens</w:t>
            </w:r>
            <w:proofErr w:type="spellEnd"/>
            <w:r w:rsidR="00295E26" w:rsidRPr="0033422E">
              <w:t>), distances to vegetation and urban areas (</w:t>
            </w:r>
            <w:proofErr w:type="spellStart"/>
            <w:r w:rsidR="00295E26" w:rsidRPr="0033422E">
              <w:t>veg_dist</w:t>
            </w:r>
            <w:proofErr w:type="spellEnd"/>
            <w:r w:rsidR="00295E26" w:rsidRPr="0033422E">
              <w:t xml:space="preserve">, </w:t>
            </w:r>
            <w:proofErr w:type="spellStart"/>
            <w:r w:rsidR="00295E26" w:rsidRPr="0033422E">
              <w:t>urb_dist</w:t>
            </w:r>
            <w:proofErr w:type="spellEnd"/>
            <w:r w:rsidR="00295E26" w:rsidRPr="0033422E">
              <w:t>), a categorical vegetation type (</w:t>
            </w:r>
            <w:proofErr w:type="spellStart"/>
            <w:r w:rsidR="00295E26" w:rsidRPr="0033422E">
              <w:t>veg_type</w:t>
            </w:r>
            <w:proofErr w:type="spellEnd"/>
            <w:r w:rsidR="00295E26" w:rsidRPr="0033422E">
              <w:t>), soil pH (pH), and a soil organic carbon (soc).</w:t>
            </w:r>
            <w:r>
              <w:t xml:space="preserve"> (B) </w:t>
            </w:r>
            <w:r w:rsidRPr="00B1769D">
              <w:t xml:space="preserve">Receiver Operating Characteristic (ROC) curve for the </w:t>
            </w:r>
            <w:r w:rsidR="004229F4" w:rsidRPr="000333BE">
              <w:t>natural regeneration model</w:t>
            </w:r>
            <w:r w:rsidR="004229F4">
              <w:t xml:space="preserve">. </w:t>
            </w:r>
            <w:r w:rsidR="004229F4" w:rsidRPr="004229F4">
              <w:t xml:space="preserve">The ROC curve illustrates the trade-off between the True Positive Rate (sensitivity) and the False Positive Rate (1 – specificity) across all classification thresholds. The </w:t>
            </w:r>
            <w:r w:rsidR="004F764B">
              <w:t xml:space="preserve">solid </w:t>
            </w:r>
            <w:r w:rsidR="004229F4" w:rsidRPr="004229F4">
              <w:t>blue line represents the model's performance, while the dashed diagonal line indicates a random classifier (AUC = 0.5). The area under the curve (AUC) was 0.89, indicating good classification performance.</w:t>
            </w:r>
          </w:p>
        </w:tc>
      </w:tr>
    </w:tbl>
    <w:p w14:paraId="1B966580" w14:textId="77777777" w:rsidR="00295E26" w:rsidRDefault="00295E26" w:rsidP="00295E26"/>
    <w:p w14:paraId="73C096A5" w14:textId="77777777" w:rsidR="00295E26" w:rsidRDefault="00295E26" w:rsidP="00295E26">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5D0956" w14:paraId="35997018" w14:textId="77777777" w:rsidTr="000A141C">
        <w:tc>
          <w:tcPr>
            <w:tcW w:w="9026" w:type="dxa"/>
          </w:tcPr>
          <w:p w14:paraId="5E9FDACA" w14:textId="77777777" w:rsidR="005D0956" w:rsidRDefault="005D0956" w:rsidP="000A141C">
            <w:pPr>
              <w:pStyle w:val="BodyText"/>
              <w:keepNext/>
              <w:jc w:val="center"/>
            </w:pPr>
            <w:r>
              <w:rPr>
                <w:noProof/>
                <w14:ligatures w14:val="standardContextual"/>
              </w:rPr>
              <w:lastRenderedPageBreak/>
              <w:drawing>
                <wp:inline distT="0" distB="0" distL="0" distR="0" wp14:anchorId="4643B03A" wp14:editId="2DCC8673">
                  <wp:extent cx="5038354" cy="5038354"/>
                  <wp:effectExtent l="0" t="0" r="0" b="0"/>
                  <wp:docPr id="1069361368" name="Picture 1"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361368" name="Picture 1" descr="A graph of a function&#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38354" cy="5038354"/>
                          </a:xfrm>
                          <a:prstGeom prst="rect">
                            <a:avLst/>
                          </a:prstGeom>
                        </pic:spPr>
                      </pic:pic>
                    </a:graphicData>
                  </a:graphic>
                </wp:inline>
              </w:drawing>
            </w:r>
          </w:p>
        </w:tc>
      </w:tr>
      <w:tr w:rsidR="005D0956" w14:paraId="4C05D295" w14:textId="77777777" w:rsidTr="000A141C">
        <w:tc>
          <w:tcPr>
            <w:tcW w:w="9026" w:type="dxa"/>
          </w:tcPr>
          <w:p w14:paraId="5A6E1418" w14:textId="2667DA4E" w:rsidR="005D0956" w:rsidRDefault="005D0956" w:rsidP="000A141C">
            <w:pPr>
              <w:pStyle w:val="Caption"/>
            </w:pPr>
            <w:bookmarkStart w:id="34" w:name="_Ref196750997"/>
            <w:bookmarkStart w:id="35" w:name="_Ref196751012"/>
            <w:bookmarkStart w:id="36" w:name="_Toc227067486"/>
            <w:r w:rsidRPr="002C78A6">
              <w:t xml:space="preserve">Supplementary Figure </w:t>
            </w:r>
            <w:fldSimple w:instr=" SEQ Supplementary_Figure \* ARABIC ">
              <w:r w:rsidR="00622755">
                <w:rPr>
                  <w:noProof/>
                </w:rPr>
                <w:t>7</w:t>
              </w:r>
            </w:fldSimple>
            <w:bookmarkEnd w:id="34"/>
            <w:r w:rsidRPr="002C78A6">
              <w:t xml:space="preserve">. </w:t>
            </w:r>
            <w:r w:rsidRPr="00631611">
              <w:t>Discounted social cost of carbon (SCC) over time under three discount rate assumptions.</w:t>
            </w:r>
            <w:bookmarkEnd w:id="36"/>
            <w:r w:rsidRPr="00631611">
              <w:t xml:space="preserve"> </w:t>
            </w:r>
            <w:bookmarkEnd w:id="35"/>
          </w:p>
        </w:tc>
      </w:tr>
      <w:tr w:rsidR="005D0956" w14:paraId="58A82942" w14:textId="77777777" w:rsidTr="000A141C">
        <w:tc>
          <w:tcPr>
            <w:tcW w:w="9026" w:type="dxa"/>
          </w:tcPr>
          <w:p w14:paraId="166C6D42" w14:textId="0E92FBB4" w:rsidR="005D0956" w:rsidRPr="002C78A6" w:rsidRDefault="005D0956" w:rsidP="000A141C">
            <w:pPr>
              <w:pStyle w:val="captiondescription"/>
            </w:pPr>
            <w:r w:rsidRPr="0033422E">
              <w:t xml:space="preserve">Curves show the projected decline in SCC from 2021 onward under annual discount rates of 2%, 3%, and 4%. On the top panel, the left y-axis shows the discounted SCC value in USD </w:t>
            </w:r>
            <w:r w:rsidR="007A1DDF">
              <w:t>t</w:t>
            </w:r>
            <w:r w:rsidRPr="0033422E">
              <w:t xml:space="preserve"> CO₂</w:t>
            </w:r>
            <w:r w:rsidR="007A1DDF">
              <w:t>e</w:t>
            </w:r>
            <w:r w:rsidR="007A1DDF" w:rsidRPr="007A1DDF">
              <w:rPr>
                <w:vertAlign w:val="superscript"/>
              </w:rPr>
              <w:t>-1</w:t>
            </w:r>
            <w:r w:rsidRPr="0033422E">
              <w:t>, while on the bottom figure, the y-axis shows the normalized ratio between the discounted SCC at time</w:t>
            </w:r>
            <w:r w:rsidRPr="0033422E">
              <w:rPr>
                <w:rFonts w:ascii="Arial" w:hAnsi="Arial" w:cs="Arial"/>
              </w:rPr>
              <w:t> </w:t>
            </w:r>
            <w:r w:rsidRPr="0033422E">
              <w:t>t and its value in 2021.</w:t>
            </w:r>
          </w:p>
        </w:tc>
      </w:tr>
    </w:tbl>
    <w:p w14:paraId="427005EB" w14:textId="77777777" w:rsidR="005D0956" w:rsidRDefault="005D0956">
      <w:pPr>
        <w:rPr>
          <w:rFonts w:asciiTheme="majorHAnsi" w:eastAsiaTheme="majorEastAsia" w:hAnsiTheme="majorHAnsi" w:cstheme="majorBidi"/>
          <w:b/>
          <w:bCs/>
          <w:sz w:val="28"/>
          <w:szCs w:val="28"/>
        </w:rPr>
      </w:pPr>
    </w:p>
    <w:p w14:paraId="4769C43E" w14:textId="117B20D4" w:rsidR="00662DF1" w:rsidRDefault="00662DF1">
      <w:pPr>
        <w:rPr>
          <w:rFonts w:asciiTheme="majorHAnsi" w:eastAsiaTheme="majorEastAsia" w:hAnsiTheme="majorHAnsi" w:cstheme="majorBidi"/>
          <w:b/>
          <w:bCs/>
          <w:sz w:val="28"/>
          <w:szCs w:val="28"/>
        </w:rPr>
      </w:pPr>
      <w:r>
        <w:rPr>
          <w:rFonts w:asciiTheme="majorHAnsi" w:eastAsiaTheme="majorEastAsia" w:hAnsiTheme="majorHAnsi" w:cstheme="majorBidi"/>
          <w:b/>
          <w:bCs/>
          <w:sz w:val="28"/>
          <w:szCs w:val="28"/>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6D2749" w14:paraId="11DB72D3" w14:textId="77777777" w:rsidTr="004B2D32">
        <w:tc>
          <w:tcPr>
            <w:tcW w:w="9016" w:type="dxa"/>
          </w:tcPr>
          <w:p w14:paraId="6A59CB5C" w14:textId="220EF6AD" w:rsidR="006D2749" w:rsidRDefault="00543BEC" w:rsidP="003A100B">
            <w:pPr>
              <w:keepNext/>
              <w:jc w:val="center"/>
            </w:pPr>
            <w:r>
              <w:rPr>
                <w:noProof/>
              </w:rPr>
              <w:lastRenderedPageBreak/>
              <w:drawing>
                <wp:inline distT="0" distB="0" distL="0" distR="0" wp14:anchorId="331A0811" wp14:editId="28852DA6">
                  <wp:extent cx="5038354" cy="3599695"/>
                  <wp:effectExtent l="0" t="0" r="0" b="1270"/>
                  <wp:docPr id="20711017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101740" name="Picture 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38354" cy="3599695"/>
                          </a:xfrm>
                          <a:prstGeom prst="rect">
                            <a:avLst/>
                          </a:prstGeom>
                        </pic:spPr>
                      </pic:pic>
                    </a:graphicData>
                  </a:graphic>
                </wp:inline>
              </w:drawing>
            </w:r>
          </w:p>
        </w:tc>
      </w:tr>
      <w:tr w:rsidR="006D2749" w14:paraId="24669451" w14:textId="77777777" w:rsidTr="004B2D32">
        <w:tc>
          <w:tcPr>
            <w:tcW w:w="9016" w:type="dxa"/>
          </w:tcPr>
          <w:p w14:paraId="2AD0B96F" w14:textId="5236BC0B" w:rsidR="006D2749" w:rsidRDefault="003A100B" w:rsidP="005A52A7">
            <w:pPr>
              <w:pStyle w:val="Caption"/>
            </w:pPr>
            <w:bookmarkStart w:id="37" w:name="_Ref213763858"/>
            <w:bookmarkStart w:id="38" w:name="_Toc227067487"/>
            <w:r>
              <w:t xml:space="preserve">Supplementary Figure </w:t>
            </w:r>
            <w:fldSimple w:instr=" SEQ Supplementary_Figure \* ARABIC ">
              <w:r w:rsidR="00622755">
                <w:rPr>
                  <w:noProof/>
                </w:rPr>
                <w:t>8</w:t>
              </w:r>
            </w:fldSimple>
            <w:bookmarkEnd w:id="37"/>
            <w:r>
              <w:t xml:space="preserve">. </w:t>
            </w:r>
            <w:r w:rsidR="005A52A7" w:rsidRPr="005A52A7">
              <w:t xml:space="preserve">Sensitivity of </w:t>
            </w:r>
            <w:r w:rsidR="0057601B">
              <w:t>forgone-production</w:t>
            </w:r>
            <w:r w:rsidR="007B7E91">
              <w:t>-to-carbon-gained</w:t>
            </w:r>
            <w:r w:rsidR="005A52A7" w:rsidRPr="005A52A7">
              <w:t xml:space="preserve"> ratio variability to weighting of stocking rates across scales</w:t>
            </w:r>
            <w:bookmarkEnd w:id="38"/>
          </w:p>
        </w:tc>
      </w:tr>
      <w:tr w:rsidR="006D2749" w14:paraId="63B268F1" w14:textId="77777777" w:rsidTr="004B2D32">
        <w:tc>
          <w:tcPr>
            <w:tcW w:w="9016" w:type="dxa"/>
          </w:tcPr>
          <w:p w14:paraId="0E54BBB9" w14:textId="75A2BEE7" w:rsidR="006D2749" w:rsidRDefault="0024761C" w:rsidP="0024761C">
            <w:pPr>
              <w:pStyle w:val="captiondescription"/>
            </w:pPr>
            <w:r w:rsidRPr="0024761C">
              <w:t xml:space="preserve">Coefficient of variation of the </w:t>
            </w:r>
            <w:r w:rsidR="00543BEC">
              <w:t>forgone-production</w:t>
            </w:r>
            <w:r w:rsidRPr="0024761C">
              <w:t>-to-carbon</w:t>
            </w:r>
            <w:r w:rsidR="00543BEC">
              <w:t>-lost</w:t>
            </w:r>
            <w:r w:rsidRPr="0024761C">
              <w:t xml:space="preserve"> ratio when stocking rates</w:t>
            </w:r>
            <w:r w:rsidR="005B0274">
              <w:t xml:space="preserve"> (</w:t>
            </w:r>
            <w:proofErr w:type="spellStart"/>
            <w:r w:rsidR="005B0274">
              <w:t>sr</w:t>
            </w:r>
            <w:proofErr w:type="spellEnd"/>
            <w:r w:rsidR="005B0274">
              <w:t>)</w:t>
            </w:r>
            <w:r w:rsidRPr="0024761C">
              <w:t xml:space="preserve"> are weighted (black) versus non-weighted (grey) across the scales adopted for leakage and mitigation: country, biome (Amazon, Atlantic Forest), and local domains. </w:t>
            </w:r>
            <w:r w:rsidR="00092F4C">
              <w:t xml:space="preserve">See </w:t>
            </w:r>
            <w:r w:rsidR="00DD194F">
              <w:t>“</w:t>
            </w:r>
            <w:r w:rsidR="00092F4C" w:rsidRPr="001A2985">
              <w:rPr>
                <w:i/>
                <w:iCs/>
              </w:rPr>
              <w:t>Estimating stocking rates and animal performance</w:t>
            </w:r>
            <w:r w:rsidR="00DD194F">
              <w:rPr>
                <w:i/>
                <w:iCs/>
              </w:rPr>
              <w:t xml:space="preserve">” </w:t>
            </w:r>
            <w:r w:rsidR="00DD194F" w:rsidRPr="001A2985">
              <w:t xml:space="preserve">section </w:t>
            </w:r>
            <w:r w:rsidR="00DD194F">
              <w:t>on the Supp</w:t>
            </w:r>
            <w:r w:rsidR="00990A95">
              <w:t>lementary</w:t>
            </w:r>
            <w:r w:rsidR="00DD194F">
              <w:t xml:space="preserve"> Metho</w:t>
            </w:r>
            <w:r w:rsidR="00724D48">
              <w:t>d</w:t>
            </w:r>
            <w:r w:rsidR="00DD194F">
              <w:t xml:space="preserve">s </w:t>
            </w:r>
            <w:r w:rsidR="00DD194F" w:rsidRPr="001A2985">
              <w:t>for an explanation on the weights on stocking rates</w:t>
            </w:r>
            <w:r w:rsidR="00DD194F">
              <w:rPr>
                <w:i/>
                <w:iCs/>
              </w:rPr>
              <w:t xml:space="preserve">. </w:t>
            </w:r>
            <w:r w:rsidR="00092F4C" w:rsidRPr="00092F4C">
              <w:t xml:space="preserve"> </w:t>
            </w:r>
            <w:r w:rsidRPr="0024761C">
              <w:t>Error bars indicate 95% confidence intervals.</w:t>
            </w:r>
          </w:p>
        </w:tc>
      </w:tr>
    </w:tbl>
    <w:p w14:paraId="06E51D6F" w14:textId="77777777" w:rsidR="00EE3B2F" w:rsidRDefault="00EE3B2F"/>
    <w:p w14:paraId="6E1912A7" w14:textId="6A56A3EE" w:rsidR="00E04DFB" w:rsidRDefault="00E04DFB">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04DFB" w14:paraId="29606A15" w14:textId="77777777" w:rsidTr="000A54F0">
        <w:tc>
          <w:tcPr>
            <w:tcW w:w="9016" w:type="dxa"/>
          </w:tcPr>
          <w:p w14:paraId="6FC666BE" w14:textId="022C176F" w:rsidR="00E04DFB" w:rsidRDefault="00A6523B" w:rsidP="00622755">
            <w:pPr>
              <w:keepNext/>
              <w:jc w:val="center"/>
            </w:pPr>
            <w:r>
              <w:rPr>
                <w:noProof/>
              </w:rPr>
              <w:lastRenderedPageBreak/>
              <w:drawing>
                <wp:inline distT="0" distB="0" distL="0" distR="0" wp14:anchorId="3883BBF4" wp14:editId="6D64CE1D">
                  <wp:extent cx="5398019" cy="6117348"/>
                  <wp:effectExtent l="0" t="0" r="0" b="0"/>
                  <wp:docPr id="997917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917687"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98019" cy="6117348"/>
                          </a:xfrm>
                          <a:prstGeom prst="rect">
                            <a:avLst/>
                          </a:prstGeom>
                        </pic:spPr>
                      </pic:pic>
                    </a:graphicData>
                  </a:graphic>
                </wp:inline>
              </w:drawing>
            </w:r>
          </w:p>
        </w:tc>
      </w:tr>
      <w:tr w:rsidR="00E04DFB" w14:paraId="0BC163B1" w14:textId="77777777" w:rsidTr="000A54F0">
        <w:tc>
          <w:tcPr>
            <w:tcW w:w="9016" w:type="dxa"/>
          </w:tcPr>
          <w:p w14:paraId="72D26032" w14:textId="0F77D70D" w:rsidR="00E04DFB" w:rsidRDefault="00622755" w:rsidP="00655BED">
            <w:pPr>
              <w:pStyle w:val="Caption"/>
              <w:jc w:val="left"/>
            </w:pPr>
            <w:bookmarkStart w:id="39" w:name="_Ref221109141"/>
            <w:bookmarkStart w:id="40" w:name="_Toc227067488"/>
            <w:r>
              <w:t xml:space="preserve">Supplementary Figure </w:t>
            </w:r>
            <w:fldSimple w:instr=" SEQ Supplementary_Figure \* ARABIC ">
              <w:r>
                <w:rPr>
                  <w:noProof/>
                </w:rPr>
                <w:t>9</w:t>
              </w:r>
            </w:fldSimple>
            <w:bookmarkEnd w:id="39"/>
            <w:r>
              <w:t xml:space="preserve">. </w:t>
            </w:r>
            <w:r w:rsidR="00655BED" w:rsidRPr="00655BED">
              <w:t>Carbon cost outcomes under alternative beef-intensification cost assumptions.</w:t>
            </w:r>
            <w:bookmarkEnd w:id="40"/>
          </w:p>
        </w:tc>
      </w:tr>
      <w:tr w:rsidR="00E04DFB" w14:paraId="270228A9" w14:textId="77777777" w:rsidTr="000A54F0">
        <w:tc>
          <w:tcPr>
            <w:tcW w:w="9016" w:type="dxa"/>
          </w:tcPr>
          <w:p w14:paraId="151A24CA" w14:textId="5F4F3529" w:rsidR="00E04DFB" w:rsidRDefault="00160CFC" w:rsidP="004F09FD">
            <w:pPr>
              <w:pStyle w:val="captiondescription"/>
            </w:pPr>
            <w:r w:rsidRPr="00160CFC">
              <w:t xml:space="preserve">Distribution of total cost per tonne of </w:t>
            </w:r>
            <w:proofErr w:type="spellStart"/>
            <w:r w:rsidRPr="00160CFC">
              <w:t>CO₂e</w:t>
            </w:r>
            <w:proofErr w:type="spellEnd"/>
            <w:r w:rsidRPr="00160CFC">
              <w:t xml:space="preserve"> (USD) for restoration projects in the Brazilian Atlantic Forest and Amazon, shown separately for high-leakage and low-leakage projects. Results compare outcomes obtained using two alternative sources of beef intensification costs (Carlos et al.</w:t>
            </w:r>
            <w:r w:rsidR="003A6E25">
              <w:fldChar w:fldCharType="begin"/>
            </w:r>
            <w:r w:rsidR="003A6E25">
              <w:instrText xml:space="preserve"> ADDIN ZOTERO_ITEM CSL_CITATION {"citationID":"mRlJjhrV","properties":{"formattedCitation":"\\super 5\\nosupersub{}","plainCitation":"5","noteIndex":0},"citationItems":[{"id":6320,"uris":["http://zotero.org/users/3309187/items/89BS6WRQ"],"itemData":{"id":6320,"type":"report","language":"en","publisher":"Observatório de Conhecimento e Inovação em Bioeconomia, Fundação Getúlio Vargas","publisher-place":"FGV-EESP, São Paulo, SP, Brasil.","source":"Zotero","title":"Costs of recovering degraded pastures in the brazilian states and biomes","URL":"https://agro.fgv.br/sites/default/files/2023-02/costs_of_recovering_degraded_pastures_in_the_brazilian_states_and_biomes_0.pdf","author":[{"family":"Carlos","given":"Sabrina De Matos"},{"family":"Assad","given":"Eduardo Delgado"},{"family":"Estevam","given":"Camila Genaro"},{"family":"Lima","given":"Cicero Zanetti De"},{"family":"Pavão","given":"Eduardo De Moraes"},{"family":"Pinto","given":"Talita Priscila"}],"issued":{"date-parts":[["2022"]]}}}],"schema":"https://github.com/citation-style-language/schema/raw/master/csl-citation.json"} </w:instrText>
            </w:r>
            <w:r w:rsidR="003A6E25">
              <w:fldChar w:fldCharType="separate"/>
            </w:r>
            <w:r w:rsidR="003A6E25" w:rsidRPr="003A6E25">
              <w:rPr>
                <w:rFonts w:ascii="Aptos" w:hAnsi="Aptos" w:cs="Times New Roman"/>
                <w:kern w:val="0"/>
                <w:vertAlign w:val="superscript"/>
              </w:rPr>
              <w:t>5</w:t>
            </w:r>
            <w:r w:rsidR="003A6E25">
              <w:fldChar w:fldCharType="end"/>
            </w:r>
            <w:r w:rsidRPr="00160CFC">
              <w:t xml:space="preserve"> and</w:t>
            </w:r>
            <w:r w:rsidR="00C361AC">
              <w:t xml:space="preserve"> </w:t>
            </w:r>
            <w:proofErr w:type="spellStart"/>
            <w:r w:rsidR="00C361AC">
              <w:t>Wirsenius</w:t>
            </w:r>
            <w:proofErr w:type="spellEnd"/>
            <w:r w:rsidR="00C361AC">
              <w:t xml:space="preserve"> &amp; d’Albertas</w:t>
            </w:r>
            <w:r w:rsidR="00DB1FF3">
              <w:fldChar w:fldCharType="begin"/>
            </w:r>
            <w:r w:rsidR="00DB1FF3">
              <w:instrText xml:space="preserve"> ADDIN ZOTERO_ITEM CSL_CITATION {"citationID":"mJ8kJsTn","properties":{"formattedCitation":"\\super 12\\nosupersub{}","plainCitation":"12","noteIndex":0},"citationItems":[{"id":7706,"uris":["http://zotero.org/users/3309187/items/SNRWVMAI"],"itemData":{"id":7706,"type":"report","abstract":"This report documents BeefSC (Beef Stocking-rate and Cost model), a spatially explicit framework for estimating optimal cattle stocking rates, beef yields, and production costs across Brazil under four stylized beef production systems spanning extensive to semi-intensive management. It combines a biophysical stocking-rate optimization module with an enterprise cost module to translate pasture growth, herd dynamics, supplementation, and feedlot finishing into pixel-level cost and output estimates. The document includes full model description, equations and parameters, input datasets, and results from the Brazilian application.","DOI":"10.5281/zenodo.18845417","publisher":"Zenodo","source":"Zenodo","title":"BeefSC: A model for calculating optimal stocking rates and costs of beef. Description of model (v. 1.0) and input data for application on Brazilian beef production","title-short":"BeefSC","URL":"https://zenodo.org/records/18845417","author":[{"family":"Wirsenius","given":"Stefan"},{"family":"Gomes de Carvalho","given":"Francisco","non-dropping-particle":"d'Albertas"}],"accessed":{"date-parts":[["2026",3,3]]},"issued":{"date-parts":[["2026",3,3]]}}}],"schema":"https://github.com/citation-style-language/schema/raw/master/csl-citation.json"} </w:instrText>
            </w:r>
            <w:r w:rsidR="00DB1FF3">
              <w:fldChar w:fldCharType="separate"/>
            </w:r>
            <w:r w:rsidR="00DB1FF3" w:rsidRPr="00DB1FF3">
              <w:rPr>
                <w:rFonts w:ascii="Aptos" w:hAnsi="Aptos" w:cs="Times New Roman"/>
                <w:kern w:val="0"/>
                <w:vertAlign w:val="superscript"/>
              </w:rPr>
              <w:t>12</w:t>
            </w:r>
            <w:r w:rsidR="00DB1FF3">
              <w:fldChar w:fldCharType="end"/>
            </w:r>
            <w:r w:rsidRPr="00160CFC">
              <w:t xml:space="preserve">), with total costs including restoration, land, and leakage-mitigation costs, assuming full compensation of forgone production through intensified beef production elsewhere. </w:t>
            </w:r>
            <w:r w:rsidR="00F533FF" w:rsidRPr="00952AAD">
              <w:t xml:space="preserve">All results assume that 100% of forgone beef production is displaced </w:t>
            </w:r>
            <w:r w:rsidR="00F533FF">
              <w:t>across the country</w:t>
            </w:r>
            <w:r w:rsidR="00F533FF" w:rsidRPr="00952AAD">
              <w:t xml:space="preserve">, and that mitigation </w:t>
            </w:r>
            <w:r w:rsidR="00F533FF" w:rsidRPr="003A34D4">
              <w:t xml:space="preserve">actions are also </w:t>
            </w:r>
            <w:r w:rsidR="00F533FF">
              <w:t>undertaken at the country domain</w:t>
            </w:r>
            <w:r w:rsidR="00F533FF" w:rsidRPr="00160CFC">
              <w:t xml:space="preserve"> </w:t>
            </w:r>
            <w:r w:rsidR="00882BA1">
              <w:t>.</w:t>
            </w:r>
            <w:r w:rsidRPr="00160CFC">
              <w:t>Boxplots summarize the distribution across projects, with boxes indicating the interquartile range, horizontal lines the median, and whiskers extending to 1.5× the interquartile range. Semi-transparent points show individual project outcomes, and numbers inside boxes indicate median costs.</w:t>
            </w:r>
          </w:p>
        </w:tc>
      </w:tr>
    </w:tbl>
    <w:p w14:paraId="18DBC87D" w14:textId="77777777" w:rsidR="001B774E" w:rsidRDefault="001B774E"/>
    <w:p w14:paraId="120C378A" w14:textId="1691941E" w:rsidR="00EE3B2F" w:rsidRDefault="00EE3B2F">
      <w:r>
        <w:br w:type="page"/>
      </w:r>
    </w:p>
    <w:p w14:paraId="2B5385AE" w14:textId="77777777" w:rsidR="00DC484C" w:rsidRDefault="00431016" w:rsidP="00431016">
      <w:pPr>
        <w:pStyle w:val="Heading1"/>
      </w:pPr>
      <w:bookmarkStart w:id="41" w:name="_Toc225254935"/>
      <w:r>
        <w:lastRenderedPageBreak/>
        <w:t>Supplementary Tables</w:t>
      </w:r>
      <w:bookmarkEnd w:id="41"/>
    </w:p>
    <w:p w14:paraId="54B462FA" w14:textId="212F9120" w:rsidR="00D4725C" w:rsidRPr="00D4725C" w:rsidRDefault="001262CC" w:rsidP="00D4725C">
      <w:pPr>
        <w:pStyle w:val="Caption"/>
      </w:pPr>
      <w:bookmarkStart w:id="42" w:name="_Ref196468663"/>
      <w:bookmarkStart w:id="43" w:name="_Toc221109373"/>
      <w:bookmarkStart w:id="44" w:name="_Ref196468574"/>
      <w:r w:rsidRPr="00D4725C">
        <w:t xml:space="preserve">Supplementary Table </w:t>
      </w:r>
      <w:fldSimple w:instr=" SEQ Supplementary_Table \* ARABIC ">
        <w:r w:rsidR="00584816">
          <w:rPr>
            <w:noProof/>
          </w:rPr>
          <w:t>1</w:t>
        </w:r>
      </w:fldSimple>
      <w:bookmarkEnd w:id="42"/>
      <w:r w:rsidR="00DC484C" w:rsidRPr="00D4725C">
        <w:t>. Property size classes used in the 2017 Brazilian Agricultural Census.</w:t>
      </w:r>
      <w:bookmarkEnd w:id="43"/>
      <w:r w:rsidR="00DC484C" w:rsidRPr="00D4725C">
        <w:t xml:space="preserve"> </w:t>
      </w:r>
    </w:p>
    <w:p w14:paraId="3E3C38E1" w14:textId="0EF128BC" w:rsidR="00DC484C" w:rsidRPr="001262CC" w:rsidRDefault="00DC484C" w:rsidP="00D4725C">
      <w:pPr>
        <w:pStyle w:val="captiondescription"/>
        <w:rPr>
          <w:b/>
          <w:bCs/>
        </w:rPr>
      </w:pPr>
      <w:r w:rsidRPr="001262CC">
        <w:t>Each row represents a property size class as defined by the Brazilian Institute of Geography and Statistics (IBGE). The "Size interval (ha)" column refers to the range of values of each class in hectares. The "Mid-point area (ha)" column indicates the arithmetic midpoint of each interval, used as a representative value for analysis.</w:t>
      </w:r>
      <w:bookmarkEnd w:id="44"/>
    </w:p>
    <w:p w14:paraId="60286F4E" w14:textId="639B344B" w:rsidR="001262CC" w:rsidRDefault="001262CC" w:rsidP="001262CC">
      <w:pPr>
        <w:pStyle w:val="Caption"/>
        <w:keepNext/>
      </w:pPr>
    </w:p>
    <w:tbl>
      <w:tblPr>
        <w:tblW w:w="5671" w:type="dxa"/>
        <w:jc w:val="center"/>
        <w:tblLook w:val="04A0" w:firstRow="1" w:lastRow="0" w:firstColumn="1" w:lastColumn="0" w:noHBand="0" w:noVBand="1"/>
      </w:tblPr>
      <w:tblGrid>
        <w:gridCol w:w="3951"/>
        <w:gridCol w:w="1120"/>
        <w:gridCol w:w="600"/>
      </w:tblGrid>
      <w:tr w:rsidR="00DC484C" w:rsidRPr="007311FC" w14:paraId="7AF9FBDC" w14:textId="77777777" w:rsidTr="00016B36">
        <w:trPr>
          <w:trHeight w:val="290"/>
          <w:jc w:val="center"/>
        </w:trPr>
        <w:tc>
          <w:tcPr>
            <w:tcW w:w="3951" w:type="dxa"/>
            <w:tcBorders>
              <w:top w:val="single" w:sz="4" w:space="0" w:color="auto"/>
              <w:left w:val="nil"/>
              <w:bottom w:val="single" w:sz="4" w:space="0" w:color="auto"/>
              <w:right w:val="nil"/>
            </w:tcBorders>
            <w:noWrap/>
            <w:vAlign w:val="bottom"/>
            <w:hideMark/>
          </w:tcPr>
          <w:p w14:paraId="275EF352" w14:textId="77777777" w:rsidR="00DC484C" w:rsidRPr="007311FC" w:rsidRDefault="00DC484C" w:rsidP="00016B36">
            <w:pPr>
              <w:spacing w:after="0"/>
              <w:rPr>
                <w:rFonts w:ascii="Aptos Narrow" w:eastAsia="Times New Roman" w:hAnsi="Aptos Narrow" w:cs="Times New Roman"/>
                <w:b/>
                <w:bCs/>
                <w:color w:val="000000"/>
                <w:sz w:val="22"/>
                <w:szCs w:val="22"/>
                <w:lang w:eastAsia="en-GB"/>
              </w:rPr>
            </w:pPr>
            <w:r>
              <w:rPr>
                <w:rFonts w:ascii="Aptos Narrow" w:eastAsia="Times New Roman" w:hAnsi="Aptos Narrow" w:cs="Times New Roman"/>
                <w:b/>
                <w:bCs/>
                <w:color w:val="000000"/>
                <w:sz w:val="22"/>
                <w:szCs w:val="22"/>
                <w:lang w:eastAsia="en-GB"/>
              </w:rPr>
              <w:t xml:space="preserve">Size </w:t>
            </w:r>
            <w:r w:rsidRPr="007311FC">
              <w:rPr>
                <w:rFonts w:ascii="Aptos Narrow" w:eastAsia="Times New Roman" w:hAnsi="Aptos Narrow" w:cs="Times New Roman"/>
                <w:b/>
                <w:bCs/>
                <w:color w:val="000000"/>
                <w:sz w:val="22"/>
                <w:szCs w:val="22"/>
                <w:lang w:eastAsia="en-GB"/>
              </w:rPr>
              <w:t>Interval</w:t>
            </w:r>
          </w:p>
        </w:tc>
        <w:tc>
          <w:tcPr>
            <w:tcW w:w="1720" w:type="dxa"/>
            <w:gridSpan w:val="2"/>
            <w:tcBorders>
              <w:top w:val="single" w:sz="4" w:space="0" w:color="auto"/>
              <w:left w:val="nil"/>
              <w:bottom w:val="single" w:sz="4" w:space="0" w:color="auto"/>
              <w:right w:val="nil"/>
            </w:tcBorders>
            <w:noWrap/>
            <w:vAlign w:val="bottom"/>
            <w:hideMark/>
          </w:tcPr>
          <w:p w14:paraId="00A953A1" w14:textId="77777777" w:rsidR="00DC484C" w:rsidRPr="007311FC" w:rsidRDefault="00DC484C" w:rsidP="00016B36">
            <w:pPr>
              <w:spacing w:after="0"/>
              <w:rPr>
                <w:rFonts w:ascii="Aptos Narrow" w:eastAsia="Times New Roman" w:hAnsi="Aptos Narrow" w:cs="Times New Roman"/>
                <w:b/>
                <w:bCs/>
                <w:color w:val="000000"/>
                <w:sz w:val="22"/>
                <w:szCs w:val="22"/>
                <w:lang w:eastAsia="en-GB"/>
              </w:rPr>
            </w:pPr>
            <w:r w:rsidRPr="007311FC">
              <w:rPr>
                <w:rFonts w:ascii="Aptos Narrow" w:eastAsia="Times New Roman" w:hAnsi="Aptos Narrow" w:cs="Times New Roman"/>
                <w:b/>
                <w:bCs/>
                <w:color w:val="000000"/>
                <w:sz w:val="22"/>
                <w:szCs w:val="22"/>
                <w:lang w:eastAsia="en-GB"/>
              </w:rPr>
              <w:t>M</w:t>
            </w:r>
            <w:r>
              <w:rPr>
                <w:rFonts w:ascii="Aptos Narrow" w:eastAsia="Times New Roman" w:hAnsi="Aptos Narrow" w:cs="Times New Roman"/>
                <w:b/>
                <w:bCs/>
                <w:color w:val="000000"/>
                <w:sz w:val="22"/>
                <w:szCs w:val="22"/>
                <w:lang w:eastAsia="en-GB"/>
              </w:rPr>
              <w:t>id-point</w:t>
            </w:r>
          </w:p>
        </w:tc>
      </w:tr>
      <w:tr w:rsidR="00DC484C" w:rsidRPr="007311FC" w14:paraId="200388F2" w14:textId="77777777" w:rsidTr="00016B36">
        <w:trPr>
          <w:gridAfter w:val="1"/>
          <w:wAfter w:w="600" w:type="dxa"/>
          <w:trHeight w:val="290"/>
          <w:jc w:val="center"/>
        </w:trPr>
        <w:tc>
          <w:tcPr>
            <w:tcW w:w="3951" w:type="dxa"/>
            <w:tcBorders>
              <w:top w:val="single" w:sz="4" w:space="0" w:color="auto"/>
              <w:left w:val="nil"/>
              <w:bottom w:val="nil"/>
              <w:right w:val="nil"/>
            </w:tcBorders>
            <w:noWrap/>
            <w:vAlign w:val="bottom"/>
            <w:hideMark/>
          </w:tcPr>
          <w:p w14:paraId="634025DA" w14:textId="77777777" w:rsidR="00DC484C" w:rsidRPr="007311FC" w:rsidRDefault="00DC484C" w:rsidP="00016B36">
            <w:pPr>
              <w:spacing w:after="0"/>
              <w:rPr>
                <w:rFonts w:ascii="Aptos Narrow" w:eastAsia="Times New Roman" w:hAnsi="Aptos Narrow" w:cs="Times New Roman"/>
                <w:color w:val="000000"/>
                <w:sz w:val="22"/>
                <w:szCs w:val="22"/>
                <w:lang w:eastAsia="en-GB"/>
              </w:rPr>
            </w:pPr>
            <w:r w:rsidRPr="007311FC">
              <w:rPr>
                <w:rFonts w:ascii="Aptos Narrow" w:eastAsia="Times New Roman" w:hAnsi="Aptos Narrow" w:cs="Times New Roman"/>
                <w:color w:val="000000"/>
                <w:sz w:val="22"/>
                <w:szCs w:val="22"/>
                <w:lang w:eastAsia="en-GB"/>
              </w:rPr>
              <w:t>More than 0 to less than 0.1 ha</w:t>
            </w:r>
          </w:p>
        </w:tc>
        <w:tc>
          <w:tcPr>
            <w:tcW w:w="1120" w:type="dxa"/>
            <w:tcBorders>
              <w:top w:val="single" w:sz="4" w:space="0" w:color="auto"/>
              <w:left w:val="nil"/>
              <w:bottom w:val="nil"/>
              <w:right w:val="nil"/>
            </w:tcBorders>
            <w:noWrap/>
            <w:vAlign w:val="bottom"/>
            <w:hideMark/>
          </w:tcPr>
          <w:p w14:paraId="2EF8F609" w14:textId="77777777" w:rsidR="00DC484C" w:rsidRPr="007311FC" w:rsidRDefault="00DC484C" w:rsidP="00016B36">
            <w:pPr>
              <w:spacing w:after="0"/>
              <w:jc w:val="right"/>
              <w:rPr>
                <w:rFonts w:ascii="Aptos Narrow" w:eastAsia="Times New Roman" w:hAnsi="Aptos Narrow" w:cs="Times New Roman"/>
                <w:color w:val="000000"/>
                <w:sz w:val="22"/>
                <w:szCs w:val="22"/>
                <w:lang w:eastAsia="en-GB"/>
              </w:rPr>
            </w:pPr>
            <w:r w:rsidRPr="007311FC">
              <w:rPr>
                <w:rFonts w:ascii="Aptos Narrow" w:eastAsia="Times New Roman" w:hAnsi="Aptos Narrow" w:cs="Times New Roman"/>
                <w:color w:val="000000"/>
                <w:sz w:val="22"/>
                <w:szCs w:val="22"/>
                <w:lang w:eastAsia="en-GB"/>
              </w:rPr>
              <w:t>0.05</w:t>
            </w:r>
          </w:p>
        </w:tc>
      </w:tr>
      <w:tr w:rsidR="00DC484C" w:rsidRPr="007311FC" w14:paraId="4232CB0C" w14:textId="77777777" w:rsidTr="00016B36">
        <w:trPr>
          <w:gridAfter w:val="1"/>
          <w:wAfter w:w="600" w:type="dxa"/>
          <w:trHeight w:val="290"/>
          <w:jc w:val="center"/>
        </w:trPr>
        <w:tc>
          <w:tcPr>
            <w:tcW w:w="3951" w:type="dxa"/>
            <w:tcBorders>
              <w:top w:val="nil"/>
              <w:left w:val="nil"/>
              <w:bottom w:val="nil"/>
              <w:right w:val="nil"/>
            </w:tcBorders>
            <w:noWrap/>
            <w:vAlign w:val="bottom"/>
            <w:hideMark/>
          </w:tcPr>
          <w:p w14:paraId="42A95EF1" w14:textId="77777777" w:rsidR="00DC484C" w:rsidRPr="007311FC" w:rsidRDefault="00DC484C" w:rsidP="00016B36">
            <w:pPr>
              <w:spacing w:after="0"/>
              <w:rPr>
                <w:rFonts w:ascii="Aptos Narrow" w:eastAsia="Times New Roman" w:hAnsi="Aptos Narrow" w:cs="Times New Roman"/>
                <w:color w:val="000000"/>
                <w:sz w:val="22"/>
                <w:szCs w:val="22"/>
                <w:lang w:eastAsia="en-GB"/>
              </w:rPr>
            </w:pPr>
            <w:r w:rsidRPr="007311FC">
              <w:rPr>
                <w:rFonts w:ascii="Aptos Narrow" w:eastAsia="Times New Roman" w:hAnsi="Aptos Narrow" w:cs="Times New Roman"/>
                <w:color w:val="000000"/>
                <w:sz w:val="22"/>
                <w:szCs w:val="22"/>
                <w:lang w:eastAsia="en-GB"/>
              </w:rPr>
              <w:t>From 0.1 to less than 0.2 ha</w:t>
            </w:r>
          </w:p>
        </w:tc>
        <w:tc>
          <w:tcPr>
            <w:tcW w:w="1120" w:type="dxa"/>
            <w:tcBorders>
              <w:top w:val="nil"/>
              <w:left w:val="nil"/>
              <w:bottom w:val="nil"/>
              <w:right w:val="nil"/>
            </w:tcBorders>
            <w:noWrap/>
            <w:vAlign w:val="bottom"/>
            <w:hideMark/>
          </w:tcPr>
          <w:p w14:paraId="76AC11C6" w14:textId="77777777" w:rsidR="00DC484C" w:rsidRPr="007311FC" w:rsidRDefault="00DC484C" w:rsidP="00016B36">
            <w:pPr>
              <w:spacing w:after="0"/>
              <w:jc w:val="right"/>
              <w:rPr>
                <w:rFonts w:ascii="Aptos Narrow" w:eastAsia="Times New Roman" w:hAnsi="Aptos Narrow" w:cs="Times New Roman"/>
                <w:color w:val="000000"/>
                <w:sz w:val="22"/>
                <w:szCs w:val="22"/>
                <w:lang w:eastAsia="en-GB"/>
              </w:rPr>
            </w:pPr>
            <w:r w:rsidRPr="007311FC">
              <w:rPr>
                <w:rFonts w:ascii="Aptos Narrow" w:eastAsia="Times New Roman" w:hAnsi="Aptos Narrow" w:cs="Times New Roman"/>
                <w:color w:val="000000"/>
                <w:sz w:val="22"/>
                <w:szCs w:val="22"/>
                <w:lang w:eastAsia="en-GB"/>
              </w:rPr>
              <w:t>0.15</w:t>
            </w:r>
          </w:p>
        </w:tc>
      </w:tr>
      <w:tr w:rsidR="00DC484C" w:rsidRPr="007311FC" w14:paraId="6C0F8D08" w14:textId="77777777" w:rsidTr="00016B36">
        <w:trPr>
          <w:gridAfter w:val="1"/>
          <w:wAfter w:w="600" w:type="dxa"/>
          <w:trHeight w:val="290"/>
          <w:jc w:val="center"/>
        </w:trPr>
        <w:tc>
          <w:tcPr>
            <w:tcW w:w="3951" w:type="dxa"/>
            <w:tcBorders>
              <w:top w:val="nil"/>
              <w:left w:val="nil"/>
              <w:bottom w:val="nil"/>
              <w:right w:val="nil"/>
            </w:tcBorders>
            <w:noWrap/>
            <w:vAlign w:val="bottom"/>
            <w:hideMark/>
          </w:tcPr>
          <w:p w14:paraId="31A4576A" w14:textId="77777777" w:rsidR="00DC484C" w:rsidRPr="007311FC" w:rsidRDefault="00DC484C" w:rsidP="00016B36">
            <w:pPr>
              <w:spacing w:after="0"/>
              <w:rPr>
                <w:rFonts w:ascii="Aptos Narrow" w:eastAsia="Times New Roman" w:hAnsi="Aptos Narrow" w:cs="Times New Roman"/>
                <w:color w:val="000000"/>
                <w:sz w:val="22"/>
                <w:szCs w:val="22"/>
                <w:lang w:eastAsia="en-GB"/>
              </w:rPr>
            </w:pPr>
            <w:r w:rsidRPr="007311FC">
              <w:rPr>
                <w:rFonts w:ascii="Aptos Narrow" w:eastAsia="Times New Roman" w:hAnsi="Aptos Narrow" w:cs="Times New Roman"/>
                <w:color w:val="000000"/>
                <w:sz w:val="22"/>
                <w:szCs w:val="22"/>
                <w:lang w:eastAsia="en-GB"/>
              </w:rPr>
              <w:t>From 0.2 to less than 0.5 ha</w:t>
            </w:r>
          </w:p>
        </w:tc>
        <w:tc>
          <w:tcPr>
            <w:tcW w:w="1120" w:type="dxa"/>
            <w:tcBorders>
              <w:top w:val="nil"/>
              <w:left w:val="nil"/>
              <w:bottom w:val="nil"/>
              <w:right w:val="nil"/>
            </w:tcBorders>
            <w:noWrap/>
            <w:vAlign w:val="bottom"/>
            <w:hideMark/>
          </w:tcPr>
          <w:p w14:paraId="08BA3F00" w14:textId="77777777" w:rsidR="00DC484C" w:rsidRPr="007311FC" w:rsidRDefault="00DC484C" w:rsidP="00016B36">
            <w:pPr>
              <w:spacing w:after="0"/>
              <w:jc w:val="right"/>
              <w:rPr>
                <w:rFonts w:ascii="Aptos Narrow" w:eastAsia="Times New Roman" w:hAnsi="Aptos Narrow" w:cs="Times New Roman"/>
                <w:color w:val="000000"/>
                <w:sz w:val="22"/>
                <w:szCs w:val="22"/>
                <w:lang w:eastAsia="en-GB"/>
              </w:rPr>
            </w:pPr>
            <w:r w:rsidRPr="007311FC">
              <w:rPr>
                <w:rFonts w:ascii="Aptos Narrow" w:eastAsia="Times New Roman" w:hAnsi="Aptos Narrow" w:cs="Times New Roman"/>
                <w:color w:val="000000"/>
                <w:sz w:val="22"/>
                <w:szCs w:val="22"/>
                <w:lang w:eastAsia="en-GB"/>
              </w:rPr>
              <w:t>0.35</w:t>
            </w:r>
          </w:p>
        </w:tc>
      </w:tr>
      <w:tr w:rsidR="00DC484C" w:rsidRPr="007311FC" w14:paraId="3F09026F" w14:textId="77777777" w:rsidTr="00016B36">
        <w:trPr>
          <w:gridAfter w:val="1"/>
          <w:wAfter w:w="600" w:type="dxa"/>
          <w:trHeight w:val="290"/>
          <w:jc w:val="center"/>
        </w:trPr>
        <w:tc>
          <w:tcPr>
            <w:tcW w:w="3951" w:type="dxa"/>
            <w:tcBorders>
              <w:top w:val="nil"/>
              <w:left w:val="nil"/>
              <w:bottom w:val="nil"/>
              <w:right w:val="nil"/>
            </w:tcBorders>
            <w:noWrap/>
            <w:vAlign w:val="bottom"/>
            <w:hideMark/>
          </w:tcPr>
          <w:p w14:paraId="2BA2684A" w14:textId="77777777" w:rsidR="00DC484C" w:rsidRPr="007311FC" w:rsidRDefault="00DC484C" w:rsidP="00016B36">
            <w:pPr>
              <w:spacing w:after="0"/>
              <w:rPr>
                <w:rFonts w:ascii="Aptos Narrow" w:eastAsia="Times New Roman" w:hAnsi="Aptos Narrow" w:cs="Times New Roman"/>
                <w:color w:val="000000"/>
                <w:sz w:val="22"/>
                <w:szCs w:val="22"/>
                <w:lang w:eastAsia="en-GB"/>
              </w:rPr>
            </w:pPr>
            <w:r w:rsidRPr="007311FC">
              <w:rPr>
                <w:rFonts w:ascii="Aptos Narrow" w:eastAsia="Times New Roman" w:hAnsi="Aptos Narrow" w:cs="Times New Roman"/>
                <w:color w:val="000000"/>
                <w:sz w:val="22"/>
                <w:szCs w:val="22"/>
                <w:lang w:eastAsia="en-GB"/>
              </w:rPr>
              <w:t>From 0.5 to less than 1 ha</w:t>
            </w:r>
          </w:p>
        </w:tc>
        <w:tc>
          <w:tcPr>
            <w:tcW w:w="1120" w:type="dxa"/>
            <w:tcBorders>
              <w:top w:val="nil"/>
              <w:left w:val="nil"/>
              <w:bottom w:val="nil"/>
              <w:right w:val="nil"/>
            </w:tcBorders>
            <w:noWrap/>
            <w:vAlign w:val="bottom"/>
            <w:hideMark/>
          </w:tcPr>
          <w:p w14:paraId="1087A671" w14:textId="77777777" w:rsidR="00DC484C" w:rsidRPr="007311FC" w:rsidRDefault="00DC484C" w:rsidP="00016B36">
            <w:pPr>
              <w:spacing w:after="0"/>
              <w:jc w:val="right"/>
              <w:rPr>
                <w:rFonts w:ascii="Aptos Narrow" w:eastAsia="Times New Roman" w:hAnsi="Aptos Narrow" w:cs="Times New Roman"/>
                <w:color w:val="000000"/>
                <w:sz w:val="22"/>
                <w:szCs w:val="22"/>
                <w:lang w:eastAsia="en-GB"/>
              </w:rPr>
            </w:pPr>
            <w:r w:rsidRPr="007311FC">
              <w:rPr>
                <w:rFonts w:ascii="Aptos Narrow" w:eastAsia="Times New Roman" w:hAnsi="Aptos Narrow" w:cs="Times New Roman"/>
                <w:color w:val="000000"/>
                <w:sz w:val="22"/>
                <w:szCs w:val="22"/>
                <w:lang w:eastAsia="en-GB"/>
              </w:rPr>
              <w:t>0.75</w:t>
            </w:r>
          </w:p>
        </w:tc>
      </w:tr>
      <w:tr w:rsidR="00DC484C" w:rsidRPr="007311FC" w14:paraId="34C746B3" w14:textId="77777777" w:rsidTr="00016B36">
        <w:trPr>
          <w:gridAfter w:val="1"/>
          <w:wAfter w:w="600" w:type="dxa"/>
          <w:trHeight w:val="290"/>
          <w:jc w:val="center"/>
        </w:trPr>
        <w:tc>
          <w:tcPr>
            <w:tcW w:w="3951" w:type="dxa"/>
            <w:tcBorders>
              <w:top w:val="nil"/>
              <w:left w:val="nil"/>
              <w:bottom w:val="nil"/>
              <w:right w:val="nil"/>
            </w:tcBorders>
            <w:noWrap/>
            <w:vAlign w:val="bottom"/>
            <w:hideMark/>
          </w:tcPr>
          <w:p w14:paraId="57AF3DCE" w14:textId="77777777" w:rsidR="00DC484C" w:rsidRPr="007311FC" w:rsidRDefault="00DC484C" w:rsidP="00016B36">
            <w:pPr>
              <w:spacing w:after="0"/>
              <w:rPr>
                <w:rFonts w:ascii="Aptos Narrow" w:eastAsia="Times New Roman" w:hAnsi="Aptos Narrow" w:cs="Times New Roman"/>
                <w:color w:val="000000"/>
                <w:sz w:val="22"/>
                <w:szCs w:val="22"/>
                <w:lang w:eastAsia="en-GB"/>
              </w:rPr>
            </w:pPr>
            <w:r w:rsidRPr="007311FC">
              <w:rPr>
                <w:rFonts w:ascii="Aptos Narrow" w:eastAsia="Times New Roman" w:hAnsi="Aptos Narrow" w:cs="Times New Roman"/>
                <w:color w:val="000000"/>
                <w:sz w:val="22"/>
                <w:szCs w:val="22"/>
                <w:lang w:eastAsia="en-GB"/>
              </w:rPr>
              <w:t>From 1 to less than 2 ha</w:t>
            </w:r>
          </w:p>
        </w:tc>
        <w:tc>
          <w:tcPr>
            <w:tcW w:w="1120" w:type="dxa"/>
            <w:tcBorders>
              <w:top w:val="nil"/>
              <w:left w:val="nil"/>
              <w:bottom w:val="nil"/>
              <w:right w:val="nil"/>
            </w:tcBorders>
            <w:noWrap/>
            <w:vAlign w:val="bottom"/>
            <w:hideMark/>
          </w:tcPr>
          <w:p w14:paraId="78E2EDBC" w14:textId="77777777" w:rsidR="00DC484C" w:rsidRPr="007311FC" w:rsidRDefault="00DC484C" w:rsidP="00016B36">
            <w:pPr>
              <w:spacing w:after="0"/>
              <w:jc w:val="right"/>
              <w:rPr>
                <w:rFonts w:ascii="Aptos Narrow" w:eastAsia="Times New Roman" w:hAnsi="Aptos Narrow" w:cs="Times New Roman"/>
                <w:color w:val="000000"/>
                <w:sz w:val="22"/>
                <w:szCs w:val="22"/>
                <w:lang w:eastAsia="en-GB"/>
              </w:rPr>
            </w:pPr>
            <w:r w:rsidRPr="007311FC">
              <w:rPr>
                <w:rFonts w:ascii="Aptos Narrow" w:eastAsia="Times New Roman" w:hAnsi="Aptos Narrow" w:cs="Times New Roman"/>
                <w:color w:val="000000"/>
                <w:sz w:val="22"/>
                <w:szCs w:val="22"/>
                <w:lang w:eastAsia="en-GB"/>
              </w:rPr>
              <w:t>1.5</w:t>
            </w:r>
          </w:p>
        </w:tc>
      </w:tr>
      <w:tr w:rsidR="00DC484C" w:rsidRPr="007311FC" w14:paraId="77E9043B" w14:textId="77777777" w:rsidTr="00016B36">
        <w:trPr>
          <w:gridAfter w:val="1"/>
          <w:wAfter w:w="600" w:type="dxa"/>
          <w:trHeight w:val="290"/>
          <w:jc w:val="center"/>
        </w:trPr>
        <w:tc>
          <w:tcPr>
            <w:tcW w:w="3951" w:type="dxa"/>
            <w:tcBorders>
              <w:top w:val="nil"/>
              <w:left w:val="nil"/>
              <w:bottom w:val="nil"/>
              <w:right w:val="nil"/>
            </w:tcBorders>
            <w:noWrap/>
            <w:vAlign w:val="bottom"/>
            <w:hideMark/>
          </w:tcPr>
          <w:p w14:paraId="5BF00F2D" w14:textId="77777777" w:rsidR="00DC484C" w:rsidRPr="007311FC" w:rsidRDefault="00DC484C" w:rsidP="00016B36">
            <w:pPr>
              <w:spacing w:after="0"/>
              <w:rPr>
                <w:rFonts w:ascii="Aptos Narrow" w:eastAsia="Times New Roman" w:hAnsi="Aptos Narrow" w:cs="Times New Roman"/>
                <w:color w:val="000000"/>
                <w:sz w:val="22"/>
                <w:szCs w:val="22"/>
                <w:lang w:eastAsia="en-GB"/>
              </w:rPr>
            </w:pPr>
            <w:r w:rsidRPr="007311FC">
              <w:rPr>
                <w:rFonts w:ascii="Aptos Narrow" w:eastAsia="Times New Roman" w:hAnsi="Aptos Narrow" w:cs="Times New Roman"/>
                <w:color w:val="000000"/>
                <w:sz w:val="22"/>
                <w:szCs w:val="22"/>
                <w:lang w:eastAsia="en-GB"/>
              </w:rPr>
              <w:t>From 2 to less than 3 ha</w:t>
            </w:r>
          </w:p>
        </w:tc>
        <w:tc>
          <w:tcPr>
            <w:tcW w:w="1120" w:type="dxa"/>
            <w:tcBorders>
              <w:top w:val="nil"/>
              <w:left w:val="nil"/>
              <w:bottom w:val="nil"/>
              <w:right w:val="nil"/>
            </w:tcBorders>
            <w:noWrap/>
            <w:vAlign w:val="bottom"/>
            <w:hideMark/>
          </w:tcPr>
          <w:p w14:paraId="23831C7F" w14:textId="77777777" w:rsidR="00DC484C" w:rsidRPr="007311FC" w:rsidRDefault="00DC484C" w:rsidP="00016B36">
            <w:pPr>
              <w:spacing w:after="0"/>
              <w:jc w:val="right"/>
              <w:rPr>
                <w:rFonts w:ascii="Aptos Narrow" w:eastAsia="Times New Roman" w:hAnsi="Aptos Narrow" w:cs="Times New Roman"/>
                <w:color w:val="000000"/>
                <w:sz w:val="22"/>
                <w:szCs w:val="22"/>
                <w:lang w:eastAsia="en-GB"/>
              </w:rPr>
            </w:pPr>
            <w:r w:rsidRPr="007311FC">
              <w:rPr>
                <w:rFonts w:ascii="Aptos Narrow" w:eastAsia="Times New Roman" w:hAnsi="Aptos Narrow" w:cs="Times New Roman"/>
                <w:color w:val="000000"/>
                <w:sz w:val="22"/>
                <w:szCs w:val="22"/>
                <w:lang w:eastAsia="en-GB"/>
              </w:rPr>
              <w:t>2.5</w:t>
            </w:r>
          </w:p>
        </w:tc>
      </w:tr>
      <w:tr w:rsidR="00DC484C" w:rsidRPr="007311FC" w14:paraId="50F3171F" w14:textId="77777777" w:rsidTr="00016B36">
        <w:trPr>
          <w:gridAfter w:val="1"/>
          <w:wAfter w:w="600" w:type="dxa"/>
          <w:trHeight w:val="290"/>
          <w:jc w:val="center"/>
        </w:trPr>
        <w:tc>
          <w:tcPr>
            <w:tcW w:w="3951" w:type="dxa"/>
            <w:tcBorders>
              <w:top w:val="nil"/>
              <w:left w:val="nil"/>
              <w:bottom w:val="nil"/>
              <w:right w:val="nil"/>
            </w:tcBorders>
            <w:noWrap/>
            <w:vAlign w:val="bottom"/>
            <w:hideMark/>
          </w:tcPr>
          <w:p w14:paraId="4154524E" w14:textId="77777777" w:rsidR="00DC484C" w:rsidRPr="007311FC" w:rsidRDefault="00DC484C" w:rsidP="00016B36">
            <w:pPr>
              <w:spacing w:after="0"/>
              <w:rPr>
                <w:rFonts w:ascii="Aptos Narrow" w:eastAsia="Times New Roman" w:hAnsi="Aptos Narrow" w:cs="Times New Roman"/>
                <w:color w:val="000000"/>
                <w:sz w:val="22"/>
                <w:szCs w:val="22"/>
                <w:lang w:eastAsia="en-GB"/>
              </w:rPr>
            </w:pPr>
            <w:r w:rsidRPr="007311FC">
              <w:rPr>
                <w:rFonts w:ascii="Aptos Narrow" w:eastAsia="Times New Roman" w:hAnsi="Aptos Narrow" w:cs="Times New Roman"/>
                <w:color w:val="000000"/>
                <w:sz w:val="22"/>
                <w:szCs w:val="22"/>
                <w:lang w:eastAsia="en-GB"/>
              </w:rPr>
              <w:t>From 3 to less than 4 ha</w:t>
            </w:r>
          </w:p>
        </w:tc>
        <w:tc>
          <w:tcPr>
            <w:tcW w:w="1120" w:type="dxa"/>
            <w:tcBorders>
              <w:top w:val="nil"/>
              <w:left w:val="nil"/>
              <w:bottom w:val="nil"/>
              <w:right w:val="nil"/>
            </w:tcBorders>
            <w:noWrap/>
            <w:vAlign w:val="bottom"/>
            <w:hideMark/>
          </w:tcPr>
          <w:p w14:paraId="5AE65260" w14:textId="77777777" w:rsidR="00DC484C" w:rsidRPr="007311FC" w:rsidRDefault="00DC484C" w:rsidP="00016B36">
            <w:pPr>
              <w:spacing w:after="0"/>
              <w:jc w:val="right"/>
              <w:rPr>
                <w:rFonts w:ascii="Aptos Narrow" w:eastAsia="Times New Roman" w:hAnsi="Aptos Narrow" w:cs="Times New Roman"/>
                <w:color w:val="000000"/>
                <w:sz w:val="22"/>
                <w:szCs w:val="22"/>
                <w:lang w:eastAsia="en-GB"/>
              </w:rPr>
            </w:pPr>
            <w:r w:rsidRPr="007311FC">
              <w:rPr>
                <w:rFonts w:ascii="Aptos Narrow" w:eastAsia="Times New Roman" w:hAnsi="Aptos Narrow" w:cs="Times New Roman"/>
                <w:color w:val="000000"/>
                <w:sz w:val="22"/>
                <w:szCs w:val="22"/>
                <w:lang w:eastAsia="en-GB"/>
              </w:rPr>
              <w:t>3.5</w:t>
            </w:r>
          </w:p>
        </w:tc>
      </w:tr>
      <w:tr w:rsidR="00DC484C" w:rsidRPr="007311FC" w14:paraId="3748F195" w14:textId="77777777" w:rsidTr="00016B36">
        <w:trPr>
          <w:gridAfter w:val="1"/>
          <w:wAfter w:w="600" w:type="dxa"/>
          <w:trHeight w:val="290"/>
          <w:jc w:val="center"/>
        </w:trPr>
        <w:tc>
          <w:tcPr>
            <w:tcW w:w="3951" w:type="dxa"/>
            <w:tcBorders>
              <w:top w:val="nil"/>
              <w:left w:val="nil"/>
              <w:bottom w:val="nil"/>
              <w:right w:val="nil"/>
            </w:tcBorders>
            <w:noWrap/>
            <w:vAlign w:val="bottom"/>
            <w:hideMark/>
          </w:tcPr>
          <w:p w14:paraId="18CAEFD5" w14:textId="77777777" w:rsidR="00DC484C" w:rsidRPr="007311FC" w:rsidRDefault="00DC484C" w:rsidP="00016B36">
            <w:pPr>
              <w:spacing w:after="0"/>
              <w:rPr>
                <w:rFonts w:ascii="Aptos Narrow" w:eastAsia="Times New Roman" w:hAnsi="Aptos Narrow" w:cs="Times New Roman"/>
                <w:color w:val="000000"/>
                <w:sz w:val="22"/>
                <w:szCs w:val="22"/>
                <w:lang w:eastAsia="en-GB"/>
              </w:rPr>
            </w:pPr>
            <w:r w:rsidRPr="007311FC">
              <w:rPr>
                <w:rFonts w:ascii="Aptos Narrow" w:eastAsia="Times New Roman" w:hAnsi="Aptos Narrow" w:cs="Times New Roman"/>
                <w:color w:val="000000"/>
                <w:sz w:val="22"/>
                <w:szCs w:val="22"/>
                <w:lang w:eastAsia="en-GB"/>
              </w:rPr>
              <w:t>From 4 to less than 5 ha</w:t>
            </w:r>
          </w:p>
        </w:tc>
        <w:tc>
          <w:tcPr>
            <w:tcW w:w="1120" w:type="dxa"/>
            <w:tcBorders>
              <w:top w:val="nil"/>
              <w:left w:val="nil"/>
              <w:bottom w:val="nil"/>
              <w:right w:val="nil"/>
            </w:tcBorders>
            <w:noWrap/>
            <w:vAlign w:val="bottom"/>
            <w:hideMark/>
          </w:tcPr>
          <w:p w14:paraId="3C5F839D" w14:textId="77777777" w:rsidR="00DC484C" w:rsidRPr="007311FC" w:rsidRDefault="00DC484C" w:rsidP="00016B36">
            <w:pPr>
              <w:spacing w:after="0"/>
              <w:jc w:val="right"/>
              <w:rPr>
                <w:rFonts w:ascii="Aptos Narrow" w:eastAsia="Times New Roman" w:hAnsi="Aptos Narrow" w:cs="Times New Roman"/>
                <w:color w:val="000000"/>
                <w:sz w:val="22"/>
                <w:szCs w:val="22"/>
                <w:lang w:eastAsia="en-GB"/>
              </w:rPr>
            </w:pPr>
            <w:r w:rsidRPr="007311FC">
              <w:rPr>
                <w:rFonts w:ascii="Aptos Narrow" w:eastAsia="Times New Roman" w:hAnsi="Aptos Narrow" w:cs="Times New Roman"/>
                <w:color w:val="000000"/>
                <w:sz w:val="22"/>
                <w:szCs w:val="22"/>
                <w:lang w:eastAsia="en-GB"/>
              </w:rPr>
              <w:t>4.5</w:t>
            </w:r>
          </w:p>
        </w:tc>
      </w:tr>
      <w:tr w:rsidR="00DC484C" w:rsidRPr="007311FC" w14:paraId="24D6C1F2" w14:textId="77777777" w:rsidTr="00016B36">
        <w:trPr>
          <w:gridAfter w:val="1"/>
          <w:wAfter w:w="600" w:type="dxa"/>
          <w:trHeight w:val="290"/>
          <w:jc w:val="center"/>
        </w:trPr>
        <w:tc>
          <w:tcPr>
            <w:tcW w:w="3951" w:type="dxa"/>
            <w:tcBorders>
              <w:top w:val="nil"/>
              <w:left w:val="nil"/>
              <w:bottom w:val="nil"/>
              <w:right w:val="nil"/>
            </w:tcBorders>
            <w:noWrap/>
            <w:vAlign w:val="bottom"/>
            <w:hideMark/>
          </w:tcPr>
          <w:p w14:paraId="0468A8EA" w14:textId="77777777" w:rsidR="00DC484C" w:rsidRPr="007311FC" w:rsidRDefault="00DC484C" w:rsidP="00016B36">
            <w:pPr>
              <w:spacing w:after="0"/>
              <w:rPr>
                <w:rFonts w:ascii="Aptos Narrow" w:eastAsia="Times New Roman" w:hAnsi="Aptos Narrow" w:cs="Times New Roman"/>
                <w:color w:val="000000"/>
                <w:sz w:val="22"/>
                <w:szCs w:val="22"/>
                <w:lang w:eastAsia="en-GB"/>
              </w:rPr>
            </w:pPr>
            <w:r w:rsidRPr="007311FC">
              <w:rPr>
                <w:rFonts w:ascii="Aptos Narrow" w:eastAsia="Times New Roman" w:hAnsi="Aptos Narrow" w:cs="Times New Roman"/>
                <w:color w:val="000000"/>
                <w:sz w:val="22"/>
                <w:szCs w:val="22"/>
                <w:lang w:eastAsia="en-GB"/>
              </w:rPr>
              <w:t>From 5 to less than 10 ha</w:t>
            </w:r>
          </w:p>
        </w:tc>
        <w:tc>
          <w:tcPr>
            <w:tcW w:w="1120" w:type="dxa"/>
            <w:tcBorders>
              <w:top w:val="nil"/>
              <w:left w:val="nil"/>
              <w:bottom w:val="nil"/>
              <w:right w:val="nil"/>
            </w:tcBorders>
            <w:noWrap/>
            <w:vAlign w:val="bottom"/>
            <w:hideMark/>
          </w:tcPr>
          <w:p w14:paraId="3E24CCEF" w14:textId="77777777" w:rsidR="00DC484C" w:rsidRPr="007311FC" w:rsidRDefault="00DC484C" w:rsidP="00016B36">
            <w:pPr>
              <w:spacing w:after="0"/>
              <w:jc w:val="right"/>
              <w:rPr>
                <w:rFonts w:ascii="Aptos Narrow" w:eastAsia="Times New Roman" w:hAnsi="Aptos Narrow" w:cs="Times New Roman"/>
                <w:color w:val="000000"/>
                <w:sz w:val="22"/>
                <w:szCs w:val="22"/>
                <w:lang w:eastAsia="en-GB"/>
              </w:rPr>
            </w:pPr>
            <w:r w:rsidRPr="007311FC">
              <w:rPr>
                <w:rFonts w:ascii="Aptos Narrow" w:eastAsia="Times New Roman" w:hAnsi="Aptos Narrow" w:cs="Times New Roman"/>
                <w:color w:val="000000"/>
                <w:sz w:val="22"/>
                <w:szCs w:val="22"/>
                <w:lang w:eastAsia="en-GB"/>
              </w:rPr>
              <w:t>7.5</w:t>
            </w:r>
          </w:p>
        </w:tc>
      </w:tr>
      <w:tr w:rsidR="00DC484C" w:rsidRPr="007311FC" w14:paraId="3FEA3026" w14:textId="77777777" w:rsidTr="00016B36">
        <w:trPr>
          <w:gridAfter w:val="1"/>
          <w:wAfter w:w="600" w:type="dxa"/>
          <w:trHeight w:val="290"/>
          <w:jc w:val="center"/>
        </w:trPr>
        <w:tc>
          <w:tcPr>
            <w:tcW w:w="3951" w:type="dxa"/>
            <w:tcBorders>
              <w:top w:val="nil"/>
              <w:left w:val="nil"/>
              <w:bottom w:val="nil"/>
              <w:right w:val="nil"/>
            </w:tcBorders>
            <w:noWrap/>
            <w:vAlign w:val="bottom"/>
            <w:hideMark/>
          </w:tcPr>
          <w:p w14:paraId="5DDB2193" w14:textId="77777777" w:rsidR="00DC484C" w:rsidRPr="007311FC" w:rsidRDefault="00DC484C" w:rsidP="00016B36">
            <w:pPr>
              <w:spacing w:after="0"/>
              <w:rPr>
                <w:rFonts w:ascii="Aptos Narrow" w:eastAsia="Times New Roman" w:hAnsi="Aptos Narrow" w:cs="Times New Roman"/>
                <w:color w:val="000000"/>
                <w:sz w:val="22"/>
                <w:szCs w:val="22"/>
                <w:lang w:eastAsia="en-GB"/>
              </w:rPr>
            </w:pPr>
            <w:r w:rsidRPr="007311FC">
              <w:rPr>
                <w:rFonts w:ascii="Aptos Narrow" w:eastAsia="Times New Roman" w:hAnsi="Aptos Narrow" w:cs="Times New Roman"/>
                <w:color w:val="000000"/>
                <w:sz w:val="22"/>
                <w:szCs w:val="22"/>
                <w:lang w:eastAsia="en-GB"/>
              </w:rPr>
              <w:t>From 10 to less than 20 ha</w:t>
            </w:r>
          </w:p>
        </w:tc>
        <w:tc>
          <w:tcPr>
            <w:tcW w:w="1120" w:type="dxa"/>
            <w:tcBorders>
              <w:top w:val="nil"/>
              <w:left w:val="nil"/>
              <w:bottom w:val="nil"/>
              <w:right w:val="nil"/>
            </w:tcBorders>
            <w:noWrap/>
            <w:vAlign w:val="bottom"/>
            <w:hideMark/>
          </w:tcPr>
          <w:p w14:paraId="3AA3FB3D" w14:textId="77777777" w:rsidR="00DC484C" w:rsidRPr="007311FC" w:rsidRDefault="00DC484C" w:rsidP="00016B36">
            <w:pPr>
              <w:spacing w:after="0"/>
              <w:jc w:val="right"/>
              <w:rPr>
                <w:rFonts w:ascii="Aptos Narrow" w:eastAsia="Times New Roman" w:hAnsi="Aptos Narrow" w:cs="Times New Roman"/>
                <w:color w:val="000000"/>
                <w:sz w:val="22"/>
                <w:szCs w:val="22"/>
                <w:lang w:eastAsia="en-GB"/>
              </w:rPr>
            </w:pPr>
            <w:r w:rsidRPr="007311FC">
              <w:rPr>
                <w:rFonts w:ascii="Aptos Narrow" w:eastAsia="Times New Roman" w:hAnsi="Aptos Narrow" w:cs="Times New Roman"/>
                <w:color w:val="000000"/>
                <w:sz w:val="22"/>
                <w:szCs w:val="22"/>
                <w:lang w:eastAsia="en-GB"/>
              </w:rPr>
              <w:t>15</w:t>
            </w:r>
          </w:p>
        </w:tc>
      </w:tr>
      <w:tr w:rsidR="00DC484C" w:rsidRPr="007311FC" w14:paraId="2A6D451E" w14:textId="77777777" w:rsidTr="00016B36">
        <w:trPr>
          <w:gridAfter w:val="1"/>
          <w:wAfter w:w="600" w:type="dxa"/>
          <w:trHeight w:val="290"/>
          <w:jc w:val="center"/>
        </w:trPr>
        <w:tc>
          <w:tcPr>
            <w:tcW w:w="3951" w:type="dxa"/>
            <w:tcBorders>
              <w:top w:val="nil"/>
              <w:left w:val="nil"/>
              <w:bottom w:val="nil"/>
              <w:right w:val="nil"/>
            </w:tcBorders>
            <w:noWrap/>
            <w:vAlign w:val="bottom"/>
            <w:hideMark/>
          </w:tcPr>
          <w:p w14:paraId="1645E53E" w14:textId="77777777" w:rsidR="00DC484C" w:rsidRPr="007311FC" w:rsidRDefault="00DC484C" w:rsidP="00016B36">
            <w:pPr>
              <w:spacing w:after="0"/>
              <w:rPr>
                <w:rFonts w:ascii="Aptos Narrow" w:eastAsia="Times New Roman" w:hAnsi="Aptos Narrow" w:cs="Times New Roman"/>
                <w:color w:val="000000"/>
                <w:sz w:val="22"/>
                <w:szCs w:val="22"/>
                <w:lang w:eastAsia="en-GB"/>
              </w:rPr>
            </w:pPr>
            <w:r w:rsidRPr="007311FC">
              <w:rPr>
                <w:rFonts w:ascii="Aptos Narrow" w:eastAsia="Times New Roman" w:hAnsi="Aptos Narrow" w:cs="Times New Roman"/>
                <w:color w:val="000000"/>
                <w:sz w:val="22"/>
                <w:szCs w:val="22"/>
                <w:lang w:eastAsia="en-GB"/>
              </w:rPr>
              <w:t>From 20 to less than 50 ha</w:t>
            </w:r>
          </w:p>
        </w:tc>
        <w:tc>
          <w:tcPr>
            <w:tcW w:w="1120" w:type="dxa"/>
            <w:tcBorders>
              <w:top w:val="nil"/>
              <w:left w:val="nil"/>
              <w:bottom w:val="nil"/>
              <w:right w:val="nil"/>
            </w:tcBorders>
            <w:noWrap/>
            <w:vAlign w:val="bottom"/>
            <w:hideMark/>
          </w:tcPr>
          <w:p w14:paraId="12784149" w14:textId="77777777" w:rsidR="00DC484C" w:rsidRPr="007311FC" w:rsidRDefault="00DC484C" w:rsidP="00016B36">
            <w:pPr>
              <w:spacing w:after="0"/>
              <w:jc w:val="right"/>
              <w:rPr>
                <w:rFonts w:ascii="Aptos Narrow" w:eastAsia="Times New Roman" w:hAnsi="Aptos Narrow" w:cs="Times New Roman"/>
                <w:color w:val="000000"/>
                <w:sz w:val="22"/>
                <w:szCs w:val="22"/>
                <w:lang w:eastAsia="en-GB"/>
              </w:rPr>
            </w:pPr>
            <w:r w:rsidRPr="007311FC">
              <w:rPr>
                <w:rFonts w:ascii="Aptos Narrow" w:eastAsia="Times New Roman" w:hAnsi="Aptos Narrow" w:cs="Times New Roman"/>
                <w:color w:val="000000"/>
                <w:sz w:val="22"/>
                <w:szCs w:val="22"/>
                <w:lang w:eastAsia="en-GB"/>
              </w:rPr>
              <w:t>35</w:t>
            </w:r>
          </w:p>
        </w:tc>
      </w:tr>
      <w:tr w:rsidR="00DC484C" w:rsidRPr="007311FC" w14:paraId="40A8F3BC" w14:textId="77777777" w:rsidTr="00016B36">
        <w:trPr>
          <w:gridAfter w:val="1"/>
          <w:wAfter w:w="600" w:type="dxa"/>
          <w:trHeight w:val="290"/>
          <w:jc w:val="center"/>
        </w:trPr>
        <w:tc>
          <w:tcPr>
            <w:tcW w:w="3951" w:type="dxa"/>
            <w:tcBorders>
              <w:top w:val="nil"/>
              <w:left w:val="nil"/>
              <w:bottom w:val="nil"/>
              <w:right w:val="nil"/>
            </w:tcBorders>
            <w:noWrap/>
            <w:vAlign w:val="bottom"/>
            <w:hideMark/>
          </w:tcPr>
          <w:p w14:paraId="3D016132" w14:textId="77777777" w:rsidR="00DC484C" w:rsidRPr="007311FC" w:rsidRDefault="00DC484C" w:rsidP="00016B36">
            <w:pPr>
              <w:spacing w:after="0"/>
              <w:rPr>
                <w:rFonts w:ascii="Aptos Narrow" w:eastAsia="Times New Roman" w:hAnsi="Aptos Narrow" w:cs="Times New Roman"/>
                <w:color w:val="000000"/>
                <w:sz w:val="22"/>
                <w:szCs w:val="22"/>
                <w:lang w:eastAsia="en-GB"/>
              </w:rPr>
            </w:pPr>
            <w:r w:rsidRPr="007311FC">
              <w:rPr>
                <w:rFonts w:ascii="Aptos Narrow" w:eastAsia="Times New Roman" w:hAnsi="Aptos Narrow" w:cs="Times New Roman"/>
                <w:color w:val="000000"/>
                <w:sz w:val="22"/>
                <w:szCs w:val="22"/>
                <w:lang w:eastAsia="en-GB"/>
              </w:rPr>
              <w:t>From 50 to less than 100 ha</w:t>
            </w:r>
          </w:p>
        </w:tc>
        <w:tc>
          <w:tcPr>
            <w:tcW w:w="1120" w:type="dxa"/>
            <w:tcBorders>
              <w:top w:val="nil"/>
              <w:left w:val="nil"/>
              <w:bottom w:val="nil"/>
              <w:right w:val="nil"/>
            </w:tcBorders>
            <w:noWrap/>
            <w:vAlign w:val="bottom"/>
            <w:hideMark/>
          </w:tcPr>
          <w:p w14:paraId="78FA9812" w14:textId="77777777" w:rsidR="00DC484C" w:rsidRPr="007311FC" w:rsidRDefault="00DC484C" w:rsidP="00016B36">
            <w:pPr>
              <w:spacing w:after="0"/>
              <w:jc w:val="right"/>
              <w:rPr>
                <w:rFonts w:ascii="Aptos Narrow" w:eastAsia="Times New Roman" w:hAnsi="Aptos Narrow" w:cs="Times New Roman"/>
                <w:color w:val="000000"/>
                <w:sz w:val="22"/>
                <w:szCs w:val="22"/>
                <w:lang w:eastAsia="en-GB"/>
              </w:rPr>
            </w:pPr>
            <w:r w:rsidRPr="007311FC">
              <w:rPr>
                <w:rFonts w:ascii="Aptos Narrow" w:eastAsia="Times New Roman" w:hAnsi="Aptos Narrow" w:cs="Times New Roman"/>
                <w:color w:val="000000"/>
                <w:sz w:val="22"/>
                <w:szCs w:val="22"/>
                <w:lang w:eastAsia="en-GB"/>
              </w:rPr>
              <w:t>75</w:t>
            </w:r>
          </w:p>
        </w:tc>
      </w:tr>
      <w:tr w:rsidR="00DC484C" w:rsidRPr="007311FC" w14:paraId="6D844388" w14:textId="77777777" w:rsidTr="00016B36">
        <w:trPr>
          <w:gridAfter w:val="1"/>
          <w:wAfter w:w="600" w:type="dxa"/>
          <w:trHeight w:val="290"/>
          <w:jc w:val="center"/>
        </w:trPr>
        <w:tc>
          <w:tcPr>
            <w:tcW w:w="3951" w:type="dxa"/>
            <w:tcBorders>
              <w:top w:val="nil"/>
              <w:left w:val="nil"/>
              <w:bottom w:val="nil"/>
              <w:right w:val="nil"/>
            </w:tcBorders>
            <w:noWrap/>
            <w:vAlign w:val="bottom"/>
            <w:hideMark/>
          </w:tcPr>
          <w:p w14:paraId="2C9B3D41" w14:textId="77777777" w:rsidR="00DC484C" w:rsidRPr="007311FC" w:rsidRDefault="00DC484C" w:rsidP="00016B36">
            <w:pPr>
              <w:spacing w:after="0"/>
              <w:rPr>
                <w:rFonts w:ascii="Aptos Narrow" w:eastAsia="Times New Roman" w:hAnsi="Aptos Narrow" w:cs="Times New Roman"/>
                <w:color w:val="000000"/>
                <w:sz w:val="22"/>
                <w:szCs w:val="22"/>
                <w:lang w:eastAsia="en-GB"/>
              </w:rPr>
            </w:pPr>
            <w:r w:rsidRPr="007311FC">
              <w:rPr>
                <w:rFonts w:ascii="Aptos Narrow" w:eastAsia="Times New Roman" w:hAnsi="Aptos Narrow" w:cs="Times New Roman"/>
                <w:color w:val="000000"/>
                <w:sz w:val="22"/>
                <w:szCs w:val="22"/>
                <w:lang w:eastAsia="en-GB"/>
              </w:rPr>
              <w:t>From 100 to less than 200 ha</w:t>
            </w:r>
          </w:p>
        </w:tc>
        <w:tc>
          <w:tcPr>
            <w:tcW w:w="1120" w:type="dxa"/>
            <w:tcBorders>
              <w:top w:val="nil"/>
              <w:left w:val="nil"/>
              <w:bottom w:val="nil"/>
              <w:right w:val="nil"/>
            </w:tcBorders>
            <w:noWrap/>
            <w:vAlign w:val="bottom"/>
            <w:hideMark/>
          </w:tcPr>
          <w:p w14:paraId="5A89A4CD" w14:textId="77777777" w:rsidR="00DC484C" w:rsidRPr="007311FC" w:rsidRDefault="00DC484C" w:rsidP="00016B36">
            <w:pPr>
              <w:spacing w:after="0"/>
              <w:jc w:val="right"/>
              <w:rPr>
                <w:rFonts w:ascii="Aptos Narrow" w:eastAsia="Times New Roman" w:hAnsi="Aptos Narrow" w:cs="Times New Roman"/>
                <w:color w:val="000000"/>
                <w:sz w:val="22"/>
                <w:szCs w:val="22"/>
                <w:lang w:eastAsia="en-GB"/>
              </w:rPr>
            </w:pPr>
            <w:r w:rsidRPr="007311FC">
              <w:rPr>
                <w:rFonts w:ascii="Aptos Narrow" w:eastAsia="Times New Roman" w:hAnsi="Aptos Narrow" w:cs="Times New Roman"/>
                <w:color w:val="000000"/>
                <w:sz w:val="22"/>
                <w:szCs w:val="22"/>
                <w:lang w:eastAsia="en-GB"/>
              </w:rPr>
              <w:t>150</w:t>
            </w:r>
          </w:p>
        </w:tc>
      </w:tr>
      <w:tr w:rsidR="00DC484C" w:rsidRPr="007311FC" w14:paraId="11E2AA3F" w14:textId="77777777" w:rsidTr="00016B36">
        <w:trPr>
          <w:gridAfter w:val="1"/>
          <w:wAfter w:w="600" w:type="dxa"/>
          <w:trHeight w:val="290"/>
          <w:jc w:val="center"/>
        </w:trPr>
        <w:tc>
          <w:tcPr>
            <w:tcW w:w="3951" w:type="dxa"/>
            <w:tcBorders>
              <w:top w:val="nil"/>
              <w:left w:val="nil"/>
              <w:bottom w:val="nil"/>
              <w:right w:val="nil"/>
            </w:tcBorders>
            <w:noWrap/>
            <w:vAlign w:val="bottom"/>
            <w:hideMark/>
          </w:tcPr>
          <w:p w14:paraId="061FAA4D" w14:textId="77777777" w:rsidR="00DC484C" w:rsidRPr="007311FC" w:rsidRDefault="00DC484C" w:rsidP="00016B36">
            <w:pPr>
              <w:spacing w:after="0"/>
              <w:rPr>
                <w:rFonts w:ascii="Aptos Narrow" w:eastAsia="Times New Roman" w:hAnsi="Aptos Narrow" w:cs="Times New Roman"/>
                <w:color w:val="000000"/>
                <w:sz w:val="22"/>
                <w:szCs w:val="22"/>
                <w:lang w:eastAsia="en-GB"/>
              </w:rPr>
            </w:pPr>
            <w:r w:rsidRPr="007311FC">
              <w:rPr>
                <w:rFonts w:ascii="Aptos Narrow" w:eastAsia="Times New Roman" w:hAnsi="Aptos Narrow" w:cs="Times New Roman"/>
                <w:color w:val="000000"/>
                <w:sz w:val="22"/>
                <w:szCs w:val="22"/>
                <w:lang w:eastAsia="en-GB"/>
              </w:rPr>
              <w:t>From 200 to less than 500 ha</w:t>
            </w:r>
          </w:p>
        </w:tc>
        <w:tc>
          <w:tcPr>
            <w:tcW w:w="1120" w:type="dxa"/>
            <w:tcBorders>
              <w:top w:val="nil"/>
              <w:left w:val="nil"/>
              <w:bottom w:val="nil"/>
              <w:right w:val="nil"/>
            </w:tcBorders>
            <w:noWrap/>
            <w:vAlign w:val="bottom"/>
            <w:hideMark/>
          </w:tcPr>
          <w:p w14:paraId="07D5030C" w14:textId="77777777" w:rsidR="00DC484C" w:rsidRPr="007311FC" w:rsidRDefault="00DC484C" w:rsidP="00016B36">
            <w:pPr>
              <w:spacing w:after="0"/>
              <w:jc w:val="right"/>
              <w:rPr>
                <w:rFonts w:ascii="Aptos Narrow" w:eastAsia="Times New Roman" w:hAnsi="Aptos Narrow" w:cs="Times New Roman"/>
                <w:color w:val="000000"/>
                <w:sz w:val="22"/>
                <w:szCs w:val="22"/>
                <w:lang w:eastAsia="en-GB"/>
              </w:rPr>
            </w:pPr>
            <w:r w:rsidRPr="007311FC">
              <w:rPr>
                <w:rFonts w:ascii="Aptos Narrow" w:eastAsia="Times New Roman" w:hAnsi="Aptos Narrow" w:cs="Times New Roman"/>
                <w:color w:val="000000"/>
                <w:sz w:val="22"/>
                <w:szCs w:val="22"/>
                <w:lang w:eastAsia="en-GB"/>
              </w:rPr>
              <w:t>350</w:t>
            </w:r>
          </w:p>
        </w:tc>
      </w:tr>
      <w:tr w:rsidR="00DC484C" w:rsidRPr="007311FC" w14:paraId="6608824B" w14:textId="77777777" w:rsidTr="00016B36">
        <w:trPr>
          <w:gridAfter w:val="1"/>
          <w:wAfter w:w="600" w:type="dxa"/>
          <w:trHeight w:val="290"/>
          <w:jc w:val="center"/>
        </w:trPr>
        <w:tc>
          <w:tcPr>
            <w:tcW w:w="3951" w:type="dxa"/>
            <w:tcBorders>
              <w:top w:val="nil"/>
              <w:left w:val="nil"/>
              <w:bottom w:val="nil"/>
              <w:right w:val="nil"/>
            </w:tcBorders>
            <w:noWrap/>
            <w:vAlign w:val="bottom"/>
            <w:hideMark/>
          </w:tcPr>
          <w:p w14:paraId="3FA9DFEB" w14:textId="77777777" w:rsidR="00DC484C" w:rsidRPr="007311FC" w:rsidRDefault="00DC484C" w:rsidP="00016B36">
            <w:pPr>
              <w:spacing w:after="0"/>
              <w:rPr>
                <w:rFonts w:ascii="Aptos Narrow" w:eastAsia="Times New Roman" w:hAnsi="Aptos Narrow" w:cs="Times New Roman"/>
                <w:color w:val="000000"/>
                <w:sz w:val="22"/>
                <w:szCs w:val="22"/>
                <w:lang w:eastAsia="en-GB"/>
              </w:rPr>
            </w:pPr>
            <w:r w:rsidRPr="007311FC">
              <w:rPr>
                <w:rFonts w:ascii="Aptos Narrow" w:eastAsia="Times New Roman" w:hAnsi="Aptos Narrow" w:cs="Times New Roman"/>
                <w:color w:val="000000"/>
                <w:sz w:val="22"/>
                <w:szCs w:val="22"/>
                <w:lang w:eastAsia="en-GB"/>
              </w:rPr>
              <w:t>From 500 to less than 1,000 ha</w:t>
            </w:r>
          </w:p>
        </w:tc>
        <w:tc>
          <w:tcPr>
            <w:tcW w:w="1120" w:type="dxa"/>
            <w:tcBorders>
              <w:top w:val="nil"/>
              <w:left w:val="nil"/>
              <w:bottom w:val="nil"/>
              <w:right w:val="nil"/>
            </w:tcBorders>
            <w:noWrap/>
            <w:vAlign w:val="bottom"/>
            <w:hideMark/>
          </w:tcPr>
          <w:p w14:paraId="73001A94" w14:textId="77777777" w:rsidR="00DC484C" w:rsidRPr="007311FC" w:rsidRDefault="00DC484C" w:rsidP="00016B36">
            <w:pPr>
              <w:spacing w:after="0"/>
              <w:jc w:val="right"/>
              <w:rPr>
                <w:rFonts w:ascii="Aptos Narrow" w:eastAsia="Times New Roman" w:hAnsi="Aptos Narrow" w:cs="Times New Roman"/>
                <w:color w:val="000000"/>
                <w:sz w:val="22"/>
                <w:szCs w:val="22"/>
                <w:lang w:eastAsia="en-GB"/>
              </w:rPr>
            </w:pPr>
            <w:r w:rsidRPr="007311FC">
              <w:rPr>
                <w:rFonts w:ascii="Aptos Narrow" w:eastAsia="Times New Roman" w:hAnsi="Aptos Narrow" w:cs="Times New Roman"/>
                <w:color w:val="000000"/>
                <w:sz w:val="22"/>
                <w:szCs w:val="22"/>
                <w:lang w:eastAsia="en-GB"/>
              </w:rPr>
              <w:t>750</w:t>
            </w:r>
          </w:p>
        </w:tc>
      </w:tr>
      <w:tr w:rsidR="00DC484C" w:rsidRPr="007311FC" w14:paraId="5EF47530" w14:textId="77777777" w:rsidTr="00016B36">
        <w:trPr>
          <w:gridAfter w:val="1"/>
          <w:wAfter w:w="600" w:type="dxa"/>
          <w:trHeight w:val="290"/>
          <w:jc w:val="center"/>
        </w:trPr>
        <w:tc>
          <w:tcPr>
            <w:tcW w:w="3951" w:type="dxa"/>
            <w:tcBorders>
              <w:top w:val="nil"/>
              <w:left w:val="nil"/>
              <w:bottom w:val="nil"/>
              <w:right w:val="nil"/>
            </w:tcBorders>
            <w:noWrap/>
            <w:vAlign w:val="bottom"/>
            <w:hideMark/>
          </w:tcPr>
          <w:p w14:paraId="6F7B720D" w14:textId="77777777" w:rsidR="00DC484C" w:rsidRPr="007311FC" w:rsidRDefault="00DC484C" w:rsidP="00016B36">
            <w:pPr>
              <w:spacing w:after="0"/>
              <w:rPr>
                <w:rFonts w:ascii="Aptos Narrow" w:eastAsia="Times New Roman" w:hAnsi="Aptos Narrow" w:cs="Times New Roman"/>
                <w:color w:val="000000"/>
                <w:sz w:val="22"/>
                <w:szCs w:val="22"/>
                <w:lang w:eastAsia="en-GB"/>
              </w:rPr>
            </w:pPr>
            <w:r w:rsidRPr="007311FC">
              <w:rPr>
                <w:rFonts w:ascii="Aptos Narrow" w:eastAsia="Times New Roman" w:hAnsi="Aptos Narrow" w:cs="Times New Roman"/>
                <w:color w:val="000000"/>
                <w:sz w:val="22"/>
                <w:szCs w:val="22"/>
                <w:lang w:eastAsia="en-GB"/>
              </w:rPr>
              <w:t>From 1,000 to less than 2,500 ha</w:t>
            </w:r>
          </w:p>
        </w:tc>
        <w:tc>
          <w:tcPr>
            <w:tcW w:w="1120" w:type="dxa"/>
            <w:tcBorders>
              <w:top w:val="nil"/>
              <w:left w:val="nil"/>
              <w:bottom w:val="nil"/>
              <w:right w:val="nil"/>
            </w:tcBorders>
            <w:noWrap/>
            <w:vAlign w:val="bottom"/>
            <w:hideMark/>
          </w:tcPr>
          <w:p w14:paraId="6DD351C2" w14:textId="77777777" w:rsidR="00DC484C" w:rsidRPr="007311FC" w:rsidRDefault="00DC484C" w:rsidP="00016B36">
            <w:pPr>
              <w:spacing w:after="0"/>
              <w:jc w:val="right"/>
              <w:rPr>
                <w:rFonts w:ascii="Aptos Narrow" w:eastAsia="Times New Roman" w:hAnsi="Aptos Narrow" w:cs="Times New Roman"/>
                <w:color w:val="000000"/>
                <w:sz w:val="22"/>
                <w:szCs w:val="22"/>
                <w:lang w:eastAsia="en-GB"/>
              </w:rPr>
            </w:pPr>
            <w:r w:rsidRPr="007311FC">
              <w:rPr>
                <w:rFonts w:ascii="Aptos Narrow" w:eastAsia="Times New Roman" w:hAnsi="Aptos Narrow" w:cs="Times New Roman"/>
                <w:color w:val="000000"/>
                <w:sz w:val="22"/>
                <w:szCs w:val="22"/>
                <w:lang w:eastAsia="en-GB"/>
              </w:rPr>
              <w:t>1750</w:t>
            </w:r>
          </w:p>
        </w:tc>
      </w:tr>
      <w:tr w:rsidR="00DC484C" w:rsidRPr="007311FC" w14:paraId="39A83781" w14:textId="77777777" w:rsidTr="00016B36">
        <w:trPr>
          <w:gridAfter w:val="1"/>
          <w:wAfter w:w="600" w:type="dxa"/>
          <w:trHeight w:val="290"/>
          <w:jc w:val="center"/>
        </w:trPr>
        <w:tc>
          <w:tcPr>
            <w:tcW w:w="3951" w:type="dxa"/>
            <w:tcBorders>
              <w:top w:val="nil"/>
              <w:left w:val="nil"/>
              <w:right w:val="nil"/>
            </w:tcBorders>
            <w:noWrap/>
            <w:vAlign w:val="bottom"/>
            <w:hideMark/>
          </w:tcPr>
          <w:p w14:paraId="63409A10" w14:textId="77777777" w:rsidR="00DC484C" w:rsidRPr="007311FC" w:rsidRDefault="00DC484C" w:rsidP="00016B36">
            <w:pPr>
              <w:spacing w:after="0"/>
              <w:rPr>
                <w:rFonts w:ascii="Aptos Narrow" w:eastAsia="Times New Roman" w:hAnsi="Aptos Narrow" w:cs="Times New Roman"/>
                <w:color w:val="000000"/>
                <w:sz w:val="22"/>
                <w:szCs w:val="22"/>
                <w:lang w:eastAsia="en-GB"/>
              </w:rPr>
            </w:pPr>
            <w:r w:rsidRPr="007311FC">
              <w:rPr>
                <w:rFonts w:ascii="Aptos Narrow" w:eastAsia="Times New Roman" w:hAnsi="Aptos Narrow" w:cs="Times New Roman"/>
                <w:color w:val="000000"/>
                <w:sz w:val="22"/>
                <w:szCs w:val="22"/>
                <w:lang w:eastAsia="en-GB"/>
              </w:rPr>
              <w:t>From 2,500 to less than 10,000 ha</w:t>
            </w:r>
          </w:p>
        </w:tc>
        <w:tc>
          <w:tcPr>
            <w:tcW w:w="1120" w:type="dxa"/>
            <w:tcBorders>
              <w:top w:val="nil"/>
              <w:left w:val="nil"/>
              <w:right w:val="nil"/>
            </w:tcBorders>
            <w:noWrap/>
            <w:vAlign w:val="bottom"/>
            <w:hideMark/>
          </w:tcPr>
          <w:p w14:paraId="406339AB" w14:textId="77777777" w:rsidR="00DC484C" w:rsidRPr="007311FC" w:rsidRDefault="00DC484C" w:rsidP="00016B36">
            <w:pPr>
              <w:spacing w:after="0"/>
              <w:jc w:val="right"/>
              <w:rPr>
                <w:rFonts w:ascii="Aptos Narrow" w:eastAsia="Times New Roman" w:hAnsi="Aptos Narrow" w:cs="Times New Roman"/>
                <w:color w:val="000000"/>
                <w:sz w:val="22"/>
                <w:szCs w:val="22"/>
                <w:lang w:eastAsia="en-GB"/>
              </w:rPr>
            </w:pPr>
            <w:r w:rsidRPr="007311FC">
              <w:rPr>
                <w:rFonts w:ascii="Aptos Narrow" w:eastAsia="Times New Roman" w:hAnsi="Aptos Narrow" w:cs="Times New Roman"/>
                <w:color w:val="000000"/>
                <w:sz w:val="22"/>
                <w:szCs w:val="22"/>
                <w:lang w:eastAsia="en-GB"/>
              </w:rPr>
              <w:t>6250</w:t>
            </w:r>
          </w:p>
        </w:tc>
      </w:tr>
      <w:tr w:rsidR="00DC484C" w:rsidRPr="007311FC" w14:paraId="0FE40D86" w14:textId="77777777" w:rsidTr="00016B36">
        <w:trPr>
          <w:gridAfter w:val="1"/>
          <w:wAfter w:w="600" w:type="dxa"/>
          <w:trHeight w:val="290"/>
          <w:jc w:val="center"/>
        </w:trPr>
        <w:tc>
          <w:tcPr>
            <w:tcW w:w="3951" w:type="dxa"/>
            <w:tcBorders>
              <w:top w:val="nil"/>
              <w:left w:val="nil"/>
              <w:bottom w:val="single" w:sz="4" w:space="0" w:color="auto"/>
              <w:right w:val="nil"/>
            </w:tcBorders>
            <w:noWrap/>
            <w:vAlign w:val="bottom"/>
            <w:hideMark/>
          </w:tcPr>
          <w:p w14:paraId="0566164D" w14:textId="77777777" w:rsidR="00DC484C" w:rsidRPr="007311FC" w:rsidRDefault="00DC484C" w:rsidP="00016B36">
            <w:pPr>
              <w:spacing w:after="0"/>
              <w:rPr>
                <w:rFonts w:ascii="Aptos Narrow" w:eastAsia="Times New Roman" w:hAnsi="Aptos Narrow" w:cs="Times New Roman"/>
                <w:color w:val="000000"/>
                <w:sz w:val="22"/>
                <w:szCs w:val="22"/>
                <w:lang w:eastAsia="en-GB"/>
              </w:rPr>
            </w:pPr>
            <w:r w:rsidRPr="007311FC">
              <w:rPr>
                <w:rFonts w:ascii="Aptos Narrow" w:eastAsia="Times New Roman" w:hAnsi="Aptos Narrow" w:cs="Times New Roman"/>
                <w:color w:val="000000"/>
                <w:sz w:val="22"/>
                <w:szCs w:val="22"/>
                <w:lang w:eastAsia="en-GB"/>
              </w:rPr>
              <w:t>From 10,000 ha and more</w:t>
            </w:r>
          </w:p>
        </w:tc>
        <w:tc>
          <w:tcPr>
            <w:tcW w:w="1120" w:type="dxa"/>
            <w:tcBorders>
              <w:top w:val="nil"/>
              <w:left w:val="nil"/>
              <w:bottom w:val="single" w:sz="4" w:space="0" w:color="auto"/>
              <w:right w:val="nil"/>
            </w:tcBorders>
            <w:noWrap/>
            <w:vAlign w:val="bottom"/>
            <w:hideMark/>
          </w:tcPr>
          <w:p w14:paraId="3872318F" w14:textId="77777777" w:rsidR="00DC484C" w:rsidRPr="007311FC" w:rsidRDefault="00DC484C" w:rsidP="00016B36">
            <w:pPr>
              <w:spacing w:after="0"/>
              <w:jc w:val="right"/>
              <w:rPr>
                <w:rFonts w:ascii="Aptos Narrow" w:eastAsia="Times New Roman" w:hAnsi="Aptos Narrow" w:cs="Times New Roman"/>
                <w:color w:val="000000"/>
                <w:sz w:val="22"/>
                <w:szCs w:val="22"/>
                <w:lang w:eastAsia="en-GB"/>
              </w:rPr>
            </w:pPr>
            <w:r w:rsidRPr="007311FC">
              <w:rPr>
                <w:rFonts w:ascii="Aptos Narrow" w:eastAsia="Times New Roman" w:hAnsi="Aptos Narrow" w:cs="Times New Roman"/>
                <w:color w:val="000000"/>
                <w:sz w:val="22"/>
                <w:szCs w:val="22"/>
                <w:lang w:eastAsia="en-GB"/>
              </w:rPr>
              <w:t>15000</w:t>
            </w:r>
          </w:p>
        </w:tc>
      </w:tr>
    </w:tbl>
    <w:p w14:paraId="3AE7879A" w14:textId="5C0A7956" w:rsidR="0066338B" w:rsidRDefault="0066338B" w:rsidP="00DC484C">
      <w:pPr>
        <w:pStyle w:val="Bibliography"/>
      </w:pPr>
    </w:p>
    <w:p w14:paraId="18DDBC46" w14:textId="77777777" w:rsidR="0066338B" w:rsidRDefault="0066338B">
      <w:r>
        <w:br w:type="page"/>
      </w:r>
    </w:p>
    <w:p w14:paraId="75D50D16" w14:textId="2706259E" w:rsidR="00584816" w:rsidRDefault="00584816" w:rsidP="00584816">
      <w:pPr>
        <w:pStyle w:val="Caption"/>
        <w:keepNext/>
      </w:pPr>
      <w:bookmarkStart w:id="45" w:name="_Ref221025797"/>
      <w:bookmarkStart w:id="46" w:name="_Toc221109374"/>
      <w:r>
        <w:lastRenderedPageBreak/>
        <w:t xml:space="preserve">Supplementary Table </w:t>
      </w:r>
      <w:fldSimple w:instr=" SEQ Supplementary_Table \* ARABIC ">
        <w:r>
          <w:rPr>
            <w:noProof/>
          </w:rPr>
          <w:t>2</w:t>
        </w:r>
      </w:fldSimple>
      <w:bookmarkEnd w:id="45"/>
      <w:r w:rsidR="00F84871">
        <w:t xml:space="preserve">. </w:t>
      </w:r>
      <w:r w:rsidR="008D6892" w:rsidRPr="008D6892">
        <w:t xml:space="preserve">State-level intensification costs and added beef </w:t>
      </w:r>
      <w:r w:rsidR="000633B2">
        <w:t>yield</w:t>
      </w:r>
      <w:r w:rsidR="008D6892" w:rsidRPr="008D6892">
        <w:t xml:space="preserve"> in Brazilian extensive pasture systems.</w:t>
      </w:r>
      <w:bookmarkEnd w:id="46"/>
      <w:r w:rsidR="00404927">
        <w:t xml:space="preserve"> </w:t>
      </w:r>
    </w:p>
    <w:p w14:paraId="52880FA7" w14:textId="12B099E4" w:rsidR="00404927" w:rsidRDefault="00404927" w:rsidP="00404927">
      <w:pPr>
        <w:pStyle w:val="captiondescription"/>
      </w:pPr>
      <w:r w:rsidRPr="00404927">
        <w:t xml:space="preserve">For each Brazilian state (UF), </w:t>
      </w:r>
      <w:r w:rsidRPr="00404927">
        <w:rPr>
          <w:i/>
          <w:iCs/>
        </w:rPr>
        <w:t>cost</w:t>
      </w:r>
      <w:r w:rsidRPr="00404927">
        <w:t xml:space="preserve"> represents the mean annual production costs (</w:t>
      </w:r>
      <w:r w:rsidR="00E062CE">
        <w:t xml:space="preserve">2021 </w:t>
      </w:r>
      <w:r w:rsidRPr="00404927">
        <w:t>USD ha</w:t>
      </w:r>
      <w:r w:rsidRPr="00404927">
        <w:rPr>
          <w:rFonts w:ascii="Cambria Math" w:hAnsi="Cambria Math" w:cs="Cambria Math"/>
        </w:rPr>
        <w:t>⁻</w:t>
      </w:r>
      <w:r w:rsidRPr="00404927">
        <w:rPr>
          <w:rFonts w:ascii="Aptos" w:hAnsi="Aptos" w:cs="Aptos"/>
        </w:rPr>
        <w:t>¹</w:t>
      </w:r>
      <w:r w:rsidRPr="00404927">
        <w:t xml:space="preserve"> yr</w:t>
      </w:r>
      <w:r w:rsidRPr="00404927">
        <w:rPr>
          <w:rFonts w:ascii="Cambria Math" w:hAnsi="Cambria Math" w:cs="Cambria Math"/>
        </w:rPr>
        <w:t>⁻</w:t>
      </w:r>
      <w:r w:rsidRPr="00404927">
        <w:rPr>
          <w:rFonts w:ascii="Aptos" w:hAnsi="Aptos" w:cs="Aptos"/>
        </w:rPr>
        <w:t>¹</w:t>
      </w:r>
      <w:r w:rsidRPr="00404927">
        <w:t xml:space="preserve">) associated with intensifying degraded extensive pastures to well-maintained extensive systems, while </w:t>
      </w:r>
      <w:r w:rsidRPr="00404927">
        <w:rPr>
          <w:i/>
          <w:iCs/>
        </w:rPr>
        <w:t>yield</w:t>
      </w:r>
      <w:r w:rsidRPr="00404927">
        <w:t xml:space="preserve"> represents the mean increase in beef </w:t>
      </w:r>
      <w:r w:rsidR="004B2711">
        <w:t>yield</w:t>
      </w:r>
      <w:r w:rsidRPr="00404927">
        <w:t xml:space="preserve"> (kg ha</w:t>
      </w:r>
      <w:r w:rsidRPr="00404927">
        <w:rPr>
          <w:rFonts w:ascii="Cambria Math" w:hAnsi="Cambria Math" w:cs="Cambria Math"/>
        </w:rPr>
        <w:t>⁻</w:t>
      </w:r>
      <w:r w:rsidRPr="00404927">
        <w:rPr>
          <w:rFonts w:ascii="Aptos" w:hAnsi="Aptos" w:cs="Aptos"/>
        </w:rPr>
        <w:t>¹</w:t>
      </w:r>
      <w:r w:rsidRPr="00404927">
        <w:t xml:space="preserve"> yr</w:t>
      </w:r>
      <w:r w:rsidRPr="00404927">
        <w:rPr>
          <w:rFonts w:ascii="Cambria Math" w:hAnsi="Cambria Math" w:cs="Cambria Math"/>
        </w:rPr>
        <w:t>⁻</w:t>
      </w:r>
      <w:r w:rsidRPr="00404927">
        <w:rPr>
          <w:rFonts w:ascii="Aptos" w:hAnsi="Aptos" w:cs="Aptos"/>
        </w:rPr>
        <w:t>¹</w:t>
      </w:r>
      <w:r w:rsidRPr="00404927">
        <w:t xml:space="preserve">). </w:t>
      </w:r>
      <w:r w:rsidR="00FC70EB">
        <w:rPr>
          <w:i/>
          <w:iCs/>
        </w:rPr>
        <w:t>Mean</w:t>
      </w:r>
      <w:r w:rsidRPr="00404927">
        <w:t xml:space="preserve"> reports the state-level mean, and </w:t>
      </w:r>
      <w:r w:rsidRPr="00404927">
        <w:rPr>
          <w:i/>
          <w:iCs/>
        </w:rPr>
        <w:t>low</w:t>
      </w:r>
      <w:r w:rsidRPr="00404927">
        <w:t xml:space="preserve"> and </w:t>
      </w:r>
      <w:r w:rsidRPr="00404927">
        <w:rPr>
          <w:i/>
          <w:iCs/>
        </w:rPr>
        <w:t>high</w:t>
      </w:r>
      <w:r w:rsidRPr="00404927">
        <w:t xml:space="preserve"> denote the lower and upper bounds of the 95% confidence interval, respectively.</w:t>
      </w:r>
    </w:p>
    <w:p w14:paraId="26E42364" w14:textId="77777777" w:rsidR="00507B4E" w:rsidRPr="00404927" w:rsidRDefault="00507B4E" w:rsidP="00404927">
      <w:pPr>
        <w:pStyle w:val="captiondescription"/>
      </w:pPr>
    </w:p>
    <w:tbl>
      <w:tblPr>
        <w:tblStyle w:val="PlainTable4"/>
        <w:tblW w:w="6788" w:type="dxa"/>
        <w:jc w:val="center"/>
        <w:tblLook w:val="04A0" w:firstRow="1" w:lastRow="0" w:firstColumn="1" w:lastColumn="0" w:noHBand="0" w:noVBand="1"/>
      </w:tblPr>
      <w:tblGrid>
        <w:gridCol w:w="2268"/>
        <w:gridCol w:w="1021"/>
        <w:gridCol w:w="1020"/>
        <w:gridCol w:w="1400"/>
        <w:gridCol w:w="1140"/>
      </w:tblGrid>
      <w:tr w:rsidR="000220D0" w:rsidRPr="0005675B" w14:paraId="020A4FC2" w14:textId="77777777" w:rsidTr="000220D0">
        <w:trPr>
          <w:cnfStyle w:val="100000000000" w:firstRow="1" w:lastRow="0" w:firstColumn="0" w:lastColumn="0" w:oddVBand="0" w:evenVBand="0" w:oddHBand="0" w:evenHBand="0" w:firstRowFirstColumn="0" w:firstRowLastColumn="0" w:lastRowFirstColumn="0" w:lastRowLastColumn="0"/>
          <w:cantSplit/>
          <w:trHeight w:val="290"/>
          <w:tblHeader/>
          <w:jc w:val="center"/>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bottom w:val="single" w:sz="4" w:space="0" w:color="auto"/>
            </w:tcBorders>
            <w:noWrap/>
            <w:vAlign w:val="bottom"/>
            <w:hideMark/>
          </w:tcPr>
          <w:p w14:paraId="75DAEBFA" w14:textId="27C21053" w:rsidR="000220D0" w:rsidRPr="003A6CA9" w:rsidRDefault="000220D0" w:rsidP="000220D0">
            <w:pPr>
              <w:jc w:val="center"/>
              <w:rPr>
                <w:rFonts w:ascii="Aptos" w:eastAsia="Times New Roman" w:hAnsi="Aptos" w:cs="Calibri"/>
                <w:color w:val="000000"/>
                <w:kern w:val="0"/>
                <w:sz w:val="22"/>
                <w:szCs w:val="22"/>
                <w:lang w:eastAsia="en-GB"/>
                <w14:ligatures w14:val="none"/>
              </w:rPr>
            </w:pPr>
            <w:bookmarkStart w:id="47" w:name="RANGE!A1:E55"/>
            <w:r w:rsidRPr="003A6CA9">
              <w:rPr>
                <w:rFonts w:ascii="Aptos" w:hAnsi="Aptos" w:cs="Calibri"/>
                <w:color w:val="000000"/>
                <w:sz w:val="22"/>
                <w:szCs w:val="22"/>
              </w:rPr>
              <w:t>UF</w:t>
            </w:r>
            <w:bookmarkEnd w:id="47"/>
          </w:p>
        </w:tc>
        <w:tc>
          <w:tcPr>
            <w:tcW w:w="960" w:type="dxa"/>
            <w:tcBorders>
              <w:top w:val="single" w:sz="4" w:space="0" w:color="auto"/>
              <w:bottom w:val="single" w:sz="4" w:space="0" w:color="auto"/>
            </w:tcBorders>
            <w:noWrap/>
            <w:vAlign w:val="bottom"/>
            <w:hideMark/>
          </w:tcPr>
          <w:p w14:paraId="6A9BD57F" w14:textId="1C876F13" w:rsidR="000220D0" w:rsidRPr="003A6CA9" w:rsidRDefault="000220D0" w:rsidP="000220D0">
            <w:pPr>
              <w:jc w:val="center"/>
              <w:cnfStyle w:val="100000000000" w:firstRow="1"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2"/>
                <w:szCs w:val="22"/>
                <w:lang w:eastAsia="en-GB"/>
                <w14:ligatures w14:val="none"/>
              </w:rPr>
            </w:pPr>
            <w:r w:rsidRPr="003A6CA9">
              <w:rPr>
                <w:rFonts w:ascii="Aptos" w:hAnsi="Aptos" w:cs="Calibri"/>
                <w:color w:val="000000"/>
                <w:sz w:val="22"/>
                <w:szCs w:val="22"/>
              </w:rPr>
              <w:t>variable</w:t>
            </w:r>
          </w:p>
        </w:tc>
        <w:tc>
          <w:tcPr>
            <w:tcW w:w="1020" w:type="dxa"/>
            <w:tcBorders>
              <w:top w:val="single" w:sz="4" w:space="0" w:color="auto"/>
              <w:bottom w:val="single" w:sz="4" w:space="0" w:color="auto"/>
            </w:tcBorders>
            <w:noWrap/>
            <w:vAlign w:val="bottom"/>
            <w:hideMark/>
          </w:tcPr>
          <w:p w14:paraId="775A56C1" w14:textId="58AE4DA3" w:rsidR="000220D0" w:rsidRPr="003A6CA9" w:rsidRDefault="0015504E" w:rsidP="000220D0">
            <w:pPr>
              <w:jc w:val="center"/>
              <w:cnfStyle w:val="100000000000" w:firstRow="1"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2"/>
                <w:szCs w:val="22"/>
                <w:lang w:eastAsia="en-GB"/>
                <w14:ligatures w14:val="none"/>
              </w:rPr>
            </w:pPr>
            <w:r>
              <w:rPr>
                <w:rFonts w:ascii="Aptos" w:hAnsi="Aptos" w:cs="Calibri"/>
                <w:color w:val="000000"/>
                <w:sz w:val="22"/>
                <w:szCs w:val="22"/>
              </w:rPr>
              <w:t>mean</w:t>
            </w:r>
          </w:p>
        </w:tc>
        <w:tc>
          <w:tcPr>
            <w:tcW w:w="1400" w:type="dxa"/>
            <w:tcBorders>
              <w:top w:val="single" w:sz="4" w:space="0" w:color="auto"/>
              <w:bottom w:val="single" w:sz="4" w:space="0" w:color="auto"/>
            </w:tcBorders>
            <w:noWrap/>
            <w:vAlign w:val="bottom"/>
            <w:hideMark/>
          </w:tcPr>
          <w:p w14:paraId="5FBF2059" w14:textId="70561FD5" w:rsidR="000220D0" w:rsidRPr="003A6CA9" w:rsidRDefault="000220D0" w:rsidP="000220D0">
            <w:pPr>
              <w:jc w:val="center"/>
              <w:cnfStyle w:val="100000000000" w:firstRow="1"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2"/>
                <w:szCs w:val="22"/>
                <w:lang w:eastAsia="en-GB"/>
                <w14:ligatures w14:val="none"/>
              </w:rPr>
            </w:pPr>
            <w:r w:rsidRPr="003A6CA9">
              <w:rPr>
                <w:rFonts w:ascii="Aptos" w:hAnsi="Aptos" w:cs="Calibri"/>
                <w:color w:val="000000"/>
                <w:sz w:val="22"/>
                <w:szCs w:val="22"/>
              </w:rPr>
              <w:t>low</w:t>
            </w:r>
          </w:p>
        </w:tc>
        <w:tc>
          <w:tcPr>
            <w:tcW w:w="1140" w:type="dxa"/>
            <w:tcBorders>
              <w:top w:val="single" w:sz="4" w:space="0" w:color="auto"/>
              <w:bottom w:val="single" w:sz="4" w:space="0" w:color="auto"/>
            </w:tcBorders>
            <w:noWrap/>
            <w:vAlign w:val="bottom"/>
            <w:hideMark/>
          </w:tcPr>
          <w:p w14:paraId="4248E873" w14:textId="0A1AD274" w:rsidR="000220D0" w:rsidRPr="003A6CA9" w:rsidRDefault="000220D0" w:rsidP="000220D0">
            <w:pPr>
              <w:jc w:val="center"/>
              <w:cnfStyle w:val="100000000000" w:firstRow="1"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2"/>
                <w:szCs w:val="22"/>
                <w:lang w:eastAsia="en-GB"/>
                <w14:ligatures w14:val="none"/>
              </w:rPr>
            </w:pPr>
            <w:r w:rsidRPr="003A6CA9">
              <w:rPr>
                <w:rFonts w:ascii="Aptos" w:hAnsi="Aptos" w:cs="Calibri"/>
                <w:color w:val="000000"/>
                <w:sz w:val="22"/>
                <w:szCs w:val="22"/>
              </w:rPr>
              <w:t>high</w:t>
            </w:r>
          </w:p>
        </w:tc>
      </w:tr>
      <w:tr w:rsidR="000220D0" w:rsidRPr="0005675B" w14:paraId="5881DE5A" w14:textId="77777777" w:rsidTr="000220D0">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tcBorders>
            <w:noWrap/>
            <w:vAlign w:val="bottom"/>
            <w:hideMark/>
          </w:tcPr>
          <w:p w14:paraId="60A27FFE" w14:textId="592BC0D5" w:rsidR="000220D0" w:rsidRPr="003A6CA9" w:rsidRDefault="000220D0" w:rsidP="000220D0">
            <w:pPr>
              <w:jc w:val="center"/>
              <w:rPr>
                <w:rFonts w:ascii="Aptos" w:eastAsia="Times New Roman" w:hAnsi="Aptos" w:cs="Calibri"/>
                <w:b w:val="0"/>
                <w:bCs w:val="0"/>
                <w:color w:val="000000"/>
                <w:kern w:val="0"/>
                <w:sz w:val="20"/>
                <w:szCs w:val="20"/>
                <w:lang w:eastAsia="en-GB"/>
                <w14:ligatures w14:val="none"/>
              </w:rPr>
            </w:pPr>
            <w:r w:rsidRPr="003A6CA9">
              <w:rPr>
                <w:rFonts w:ascii="Aptos" w:hAnsi="Aptos" w:cs="Calibri"/>
                <w:b w:val="0"/>
                <w:bCs w:val="0"/>
                <w:color w:val="000000"/>
                <w:sz w:val="20"/>
                <w:szCs w:val="20"/>
              </w:rPr>
              <w:t>Acre</w:t>
            </w:r>
          </w:p>
        </w:tc>
        <w:tc>
          <w:tcPr>
            <w:tcW w:w="960" w:type="dxa"/>
            <w:tcBorders>
              <w:top w:val="single" w:sz="4" w:space="0" w:color="auto"/>
            </w:tcBorders>
            <w:noWrap/>
            <w:vAlign w:val="bottom"/>
            <w:hideMark/>
          </w:tcPr>
          <w:p w14:paraId="55152E28" w14:textId="31E10DCC" w:rsidR="000220D0" w:rsidRPr="0005675B" w:rsidRDefault="000220D0" w:rsidP="000220D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cost</w:t>
            </w:r>
          </w:p>
        </w:tc>
        <w:tc>
          <w:tcPr>
            <w:tcW w:w="1020" w:type="dxa"/>
            <w:tcBorders>
              <w:top w:val="single" w:sz="4" w:space="0" w:color="auto"/>
            </w:tcBorders>
            <w:noWrap/>
            <w:vAlign w:val="bottom"/>
            <w:hideMark/>
          </w:tcPr>
          <w:p w14:paraId="2898A12E" w14:textId="6F648D1A" w:rsidR="000220D0" w:rsidRPr="0005675B" w:rsidRDefault="000220D0" w:rsidP="000220D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241.56</w:t>
            </w:r>
          </w:p>
        </w:tc>
        <w:tc>
          <w:tcPr>
            <w:tcW w:w="1400" w:type="dxa"/>
            <w:tcBorders>
              <w:top w:val="single" w:sz="4" w:space="0" w:color="auto"/>
            </w:tcBorders>
            <w:noWrap/>
            <w:vAlign w:val="bottom"/>
            <w:hideMark/>
          </w:tcPr>
          <w:p w14:paraId="026C23BA" w14:textId="552AB0E2" w:rsidR="000220D0" w:rsidRPr="0005675B" w:rsidRDefault="000220D0" w:rsidP="000220D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238.36</w:t>
            </w:r>
          </w:p>
        </w:tc>
        <w:tc>
          <w:tcPr>
            <w:tcW w:w="1140" w:type="dxa"/>
            <w:tcBorders>
              <w:top w:val="single" w:sz="4" w:space="0" w:color="auto"/>
            </w:tcBorders>
            <w:noWrap/>
            <w:vAlign w:val="bottom"/>
            <w:hideMark/>
          </w:tcPr>
          <w:p w14:paraId="09A34B06" w14:textId="1B9CA7AD" w:rsidR="000220D0" w:rsidRPr="0005675B" w:rsidRDefault="000220D0" w:rsidP="000220D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244.77</w:t>
            </w:r>
          </w:p>
        </w:tc>
      </w:tr>
      <w:tr w:rsidR="000220D0" w:rsidRPr="0005675B" w14:paraId="5113DF8A" w14:textId="77777777" w:rsidTr="000220D0">
        <w:trPr>
          <w:trHeight w:val="260"/>
          <w:jc w:val="center"/>
        </w:trPr>
        <w:tc>
          <w:tcPr>
            <w:cnfStyle w:val="001000000000" w:firstRow="0" w:lastRow="0" w:firstColumn="1" w:lastColumn="0" w:oddVBand="0" w:evenVBand="0" w:oddHBand="0" w:evenHBand="0" w:firstRowFirstColumn="0" w:firstRowLastColumn="0" w:lastRowFirstColumn="0" w:lastRowLastColumn="0"/>
            <w:tcW w:w="2268" w:type="dxa"/>
            <w:noWrap/>
            <w:vAlign w:val="bottom"/>
            <w:hideMark/>
          </w:tcPr>
          <w:p w14:paraId="093C03DF" w14:textId="23173639" w:rsidR="000220D0" w:rsidRPr="003A6CA9" w:rsidRDefault="000220D0" w:rsidP="000220D0">
            <w:pPr>
              <w:jc w:val="center"/>
              <w:rPr>
                <w:rFonts w:ascii="Aptos" w:eastAsia="Times New Roman" w:hAnsi="Aptos" w:cs="Calibri"/>
                <w:b w:val="0"/>
                <w:bCs w:val="0"/>
                <w:color w:val="000000"/>
                <w:kern w:val="0"/>
                <w:sz w:val="20"/>
                <w:szCs w:val="20"/>
                <w:lang w:eastAsia="en-GB"/>
                <w14:ligatures w14:val="none"/>
              </w:rPr>
            </w:pPr>
            <w:r w:rsidRPr="003A6CA9">
              <w:rPr>
                <w:rFonts w:ascii="Aptos" w:hAnsi="Aptos" w:cs="Calibri"/>
                <w:b w:val="0"/>
                <w:bCs w:val="0"/>
                <w:color w:val="000000"/>
                <w:sz w:val="20"/>
                <w:szCs w:val="20"/>
              </w:rPr>
              <w:t>Acre</w:t>
            </w:r>
          </w:p>
        </w:tc>
        <w:tc>
          <w:tcPr>
            <w:tcW w:w="960" w:type="dxa"/>
            <w:noWrap/>
            <w:vAlign w:val="bottom"/>
            <w:hideMark/>
          </w:tcPr>
          <w:p w14:paraId="5E6D3CC1" w14:textId="141F3CDA" w:rsidR="000220D0" w:rsidRPr="0005675B" w:rsidRDefault="000220D0" w:rsidP="000220D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yield</w:t>
            </w:r>
          </w:p>
        </w:tc>
        <w:tc>
          <w:tcPr>
            <w:tcW w:w="1020" w:type="dxa"/>
            <w:noWrap/>
            <w:vAlign w:val="bottom"/>
            <w:hideMark/>
          </w:tcPr>
          <w:p w14:paraId="1FC0A18A" w14:textId="5703132C" w:rsidR="000220D0" w:rsidRPr="0005675B" w:rsidRDefault="000220D0" w:rsidP="000220D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55.55</w:t>
            </w:r>
          </w:p>
        </w:tc>
        <w:tc>
          <w:tcPr>
            <w:tcW w:w="1400" w:type="dxa"/>
            <w:noWrap/>
            <w:vAlign w:val="bottom"/>
            <w:hideMark/>
          </w:tcPr>
          <w:p w14:paraId="3C01F46A" w14:textId="18875BE9" w:rsidR="000220D0" w:rsidRPr="0005675B" w:rsidRDefault="000220D0" w:rsidP="000220D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54.21</w:t>
            </w:r>
          </w:p>
        </w:tc>
        <w:tc>
          <w:tcPr>
            <w:tcW w:w="1140" w:type="dxa"/>
            <w:noWrap/>
            <w:vAlign w:val="bottom"/>
            <w:hideMark/>
          </w:tcPr>
          <w:p w14:paraId="320A52B6" w14:textId="2629E330" w:rsidR="000220D0" w:rsidRPr="0005675B" w:rsidRDefault="000220D0" w:rsidP="000220D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56.90</w:t>
            </w:r>
          </w:p>
        </w:tc>
      </w:tr>
      <w:tr w:rsidR="000220D0" w:rsidRPr="0005675B" w14:paraId="7751A3AC" w14:textId="77777777" w:rsidTr="000220D0">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268" w:type="dxa"/>
            <w:noWrap/>
            <w:vAlign w:val="bottom"/>
            <w:hideMark/>
          </w:tcPr>
          <w:p w14:paraId="02739FA8" w14:textId="2A733B5D" w:rsidR="000220D0" w:rsidRPr="003A6CA9" w:rsidRDefault="000220D0" w:rsidP="000220D0">
            <w:pPr>
              <w:jc w:val="center"/>
              <w:rPr>
                <w:rFonts w:ascii="Aptos" w:eastAsia="Times New Roman" w:hAnsi="Aptos" w:cs="Calibri"/>
                <w:b w:val="0"/>
                <w:bCs w:val="0"/>
                <w:color w:val="000000"/>
                <w:kern w:val="0"/>
                <w:sz w:val="20"/>
                <w:szCs w:val="20"/>
                <w:lang w:eastAsia="en-GB"/>
                <w14:ligatures w14:val="none"/>
              </w:rPr>
            </w:pPr>
            <w:r w:rsidRPr="003A6CA9">
              <w:rPr>
                <w:rFonts w:ascii="Aptos" w:hAnsi="Aptos" w:cs="Calibri"/>
                <w:b w:val="0"/>
                <w:bCs w:val="0"/>
                <w:color w:val="000000"/>
                <w:sz w:val="20"/>
                <w:szCs w:val="20"/>
              </w:rPr>
              <w:t>Alagoas</w:t>
            </w:r>
          </w:p>
        </w:tc>
        <w:tc>
          <w:tcPr>
            <w:tcW w:w="960" w:type="dxa"/>
            <w:noWrap/>
            <w:vAlign w:val="bottom"/>
            <w:hideMark/>
          </w:tcPr>
          <w:p w14:paraId="28C0A070" w14:textId="59006C55" w:rsidR="000220D0" w:rsidRPr="0005675B" w:rsidRDefault="000220D0" w:rsidP="000220D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cost</w:t>
            </w:r>
          </w:p>
        </w:tc>
        <w:tc>
          <w:tcPr>
            <w:tcW w:w="1020" w:type="dxa"/>
            <w:noWrap/>
            <w:vAlign w:val="bottom"/>
            <w:hideMark/>
          </w:tcPr>
          <w:p w14:paraId="00D7A935" w14:textId="053BA959" w:rsidR="000220D0" w:rsidRPr="0005675B" w:rsidRDefault="000220D0" w:rsidP="000220D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179.02</w:t>
            </w:r>
          </w:p>
        </w:tc>
        <w:tc>
          <w:tcPr>
            <w:tcW w:w="1400" w:type="dxa"/>
            <w:noWrap/>
            <w:vAlign w:val="bottom"/>
            <w:hideMark/>
          </w:tcPr>
          <w:p w14:paraId="6C83096D" w14:textId="0DCDAFAE" w:rsidR="000220D0" w:rsidRPr="0005675B" w:rsidRDefault="000220D0" w:rsidP="000220D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156.71</w:t>
            </w:r>
          </w:p>
        </w:tc>
        <w:tc>
          <w:tcPr>
            <w:tcW w:w="1140" w:type="dxa"/>
            <w:noWrap/>
            <w:vAlign w:val="bottom"/>
            <w:hideMark/>
          </w:tcPr>
          <w:p w14:paraId="7A0D9D1F" w14:textId="7CB416B3" w:rsidR="000220D0" w:rsidRPr="0005675B" w:rsidRDefault="000220D0" w:rsidP="000220D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201.34</w:t>
            </w:r>
          </w:p>
        </w:tc>
      </w:tr>
      <w:tr w:rsidR="000220D0" w:rsidRPr="0005675B" w14:paraId="3BBEA5C6" w14:textId="77777777" w:rsidTr="000220D0">
        <w:trPr>
          <w:trHeight w:val="260"/>
          <w:jc w:val="center"/>
        </w:trPr>
        <w:tc>
          <w:tcPr>
            <w:cnfStyle w:val="001000000000" w:firstRow="0" w:lastRow="0" w:firstColumn="1" w:lastColumn="0" w:oddVBand="0" w:evenVBand="0" w:oddHBand="0" w:evenHBand="0" w:firstRowFirstColumn="0" w:firstRowLastColumn="0" w:lastRowFirstColumn="0" w:lastRowLastColumn="0"/>
            <w:tcW w:w="2268" w:type="dxa"/>
            <w:noWrap/>
            <w:vAlign w:val="bottom"/>
            <w:hideMark/>
          </w:tcPr>
          <w:p w14:paraId="1200EF9A" w14:textId="283804FB" w:rsidR="000220D0" w:rsidRPr="003A6CA9" w:rsidRDefault="000220D0" w:rsidP="000220D0">
            <w:pPr>
              <w:jc w:val="center"/>
              <w:rPr>
                <w:rFonts w:ascii="Aptos" w:eastAsia="Times New Roman" w:hAnsi="Aptos" w:cs="Calibri"/>
                <w:b w:val="0"/>
                <w:bCs w:val="0"/>
                <w:color w:val="000000"/>
                <w:kern w:val="0"/>
                <w:sz w:val="20"/>
                <w:szCs w:val="20"/>
                <w:lang w:eastAsia="en-GB"/>
                <w14:ligatures w14:val="none"/>
              </w:rPr>
            </w:pPr>
            <w:r w:rsidRPr="003A6CA9">
              <w:rPr>
                <w:rFonts w:ascii="Aptos" w:hAnsi="Aptos" w:cs="Calibri"/>
                <w:b w:val="0"/>
                <w:bCs w:val="0"/>
                <w:color w:val="000000"/>
                <w:sz w:val="20"/>
                <w:szCs w:val="20"/>
              </w:rPr>
              <w:t>Alagoas</w:t>
            </w:r>
          </w:p>
        </w:tc>
        <w:tc>
          <w:tcPr>
            <w:tcW w:w="960" w:type="dxa"/>
            <w:noWrap/>
            <w:vAlign w:val="bottom"/>
            <w:hideMark/>
          </w:tcPr>
          <w:p w14:paraId="48F4B2FF" w14:textId="6133626F" w:rsidR="000220D0" w:rsidRPr="0005675B" w:rsidRDefault="000220D0" w:rsidP="000220D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yield</w:t>
            </w:r>
          </w:p>
        </w:tc>
        <w:tc>
          <w:tcPr>
            <w:tcW w:w="1020" w:type="dxa"/>
            <w:noWrap/>
            <w:vAlign w:val="bottom"/>
            <w:hideMark/>
          </w:tcPr>
          <w:p w14:paraId="6E83C87C" w14:textId="34F9EE63" w:rsidR="000220D0" w:rsidRPr="0005675B" w:rsidRDefault="000220D0" w:rsidP="000220D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16.46</w:t>
            </w:r>
          </w:p>
        </w:tc>
        <w:tc>
          <w:tcPr>
            <w:tcW w:w="1400" w:type="dxa"/>
            <w:noWrap/>
            <w:vAlign w:val="bottom"/>
            <w:hideMark/>
          </w:tcPr>
          <w:p w14:paraId="50AF33CF" w14:textId="3CAADE17" w:rsidR="000220D0" w:rsidRPr="0005675B" w:rsidRDefault="000220D0" w:rsidP="000220D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3.78</w:t>
            </w:r>
          </w:p>
        </w:tc>
        <w:tc>
          <w:tcPr>
            <w:tcW w:w="1140" w:type="dxa"/>
            <w:noWrap/>
            <w:vAlign w:val="bottom"/>
            <w:hideMark/>
          </w:tcPr>
          <w:p w14:paraId="6C63624A" w14:textId="43C98BAF" w:rsidR="000220D0" w:rsidRPr="0005675B" w:rsidRDefault="000220D0" w:rsidP="000220D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29.14</w:t>
            </w:r>
          </w:p>
        </w:tc>
      </w:tr>
      <w:tr w:rsidR="000220D0" w:rsidRPr="0005675B" w14:paraId="6084DC25" w14:textId="77777777" w:rsidTr="000220D0">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268" w:type="dxa"/>
            <w:noWrap/>
            <w:vAlign w:val="bottom"/>
            <w:hideMark/>
          </w:tcPr>
          <w:p w14:paraId="1BEA5E32" w14:textId="7DE9E198" w:rsidR="000220D0" w:rsidRPr="003A6CA9" w:rsidRDefault="000220D0" w:rsidP="000220D0">
            <w:pPr>
              <w:jc w:val="center"/>
              <w:rPr>
                <w:rFonts w:ascii="Aptos" w:eastAsia="Times New Roman" w:hAnsi="Aptos" w:cs="Calibri"/>
                <w:b w:val="0"/>
                <w:bCs w:val="0"/>
                <w:color w:val="000000"/>
                <w:kern w:val="0"/>
                <w:sz w:val="20"/>
                <w:szCs w:val="20"/>
                <w:lang w:eastAsia="en-GB"/>
                <w14:ligatures w14:val="none"/>
              </w:rPr>
            </w:pPr>
            <w:r w:rsidRPr="003A6CA9">
              <w:rPr>
                <w:rFonts w:ascii="Aptos" w:hAnsi="Aptos" w:cs="Calibri"/>
                <w:b w:val="0"/>
                <w:bCs w:val="0"/>
                <w:color w:val="000000"/>
                <w:sz w:val="20"/>
                <w:szCs w:val="20"/>
              </w:rPr>
              <w:t>Amapá</w:t>
            </w:r>
          </w:p>
        </w:tc>
        <w:tc>
          <w:tcPr>
            <w:tcW w:w="960" w:type="dxa"/>
            <w:noWrap/>
            <w:vAlign w:val="bottom"/>
            <w:hideMark/>
          </w:tcPr>
          <w:p w14:paraId="092C5FA9" w14:textId="2DC3D0A4" w:rsidR="000220D0" w:rsidRPr="0005675B" w:rsidRDefault="000220D0" w:rsidP="000220D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cost</w:t>
            </w:r>
          </w:p>
        </w:tc>
        <w:tc>
          <w:tcPr>
            <w:tcW w:w="1020" w:type="dxa"/>
            <w:noWrap/>
            <w:vAlign w:val="bottom"/>
            <w:hideMark/>
          </w:tcPr>
          <w:p w14:paraId="065E926A" w14:textId="31FE8867" w:rsidR="000220D0" w:rsidRPr="0005675B" w:rsidRDefault="000220D0" w:rsidP="000220D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266.81</w:t>
            </w:r>
          </w:p>
        </w:tc>
        <w:tc>
          <w:tcPr>
            <w:tcW w:w="1400" w:type="dxa"/>
            <w:noWrap/>
            <w:vAlign w:val="bottom"/>
            <w:hideMark/>
          </w:tcPr>
          <w:p w14:paraId="7523B2F0" w14:textId="482C7CE7" w:rsidR="000220D0" w:rsidRPr="0005675B" w:rsidRDefault="000220D0" w:rsidP="000220D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262.37</w:t>
            </w:r>
          </w:p>
        </w:tc>
        <w:tc>
          <w:tcPr>
            <w:tcW w:w="1140" w:type="dxa"/>
            <w:noWrap/>
            <w:vAlign w:val="bottom"/>
            <w:hideMark/>
          </w:tcPr>
          <w:p w14:paraId="7594977F" w14:textId="0C5DA8BB" w:rsidR="000220D0" w:rsidRPr="0005675B" w:rsidRDefault="000220D0" w:rsidP="000220D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271.25</w:t>
            </w:r>
          </w:p>
        </w:tc>
      </w:tr>
      <w:tr w:rsidR="000220D0" w:rsidRPr="0005675B" w14:paraId="22551FD3" w14:textId="77777777" w:rsidTr="000220D0">
        <w:trPr>
          <w:trHeight w:val="260"/>
          <w:jc w:val="center"/>
        </w:trPr>
        <w:tc>
          <w:tcPr>
            <w:cnfStyle w:val="001000000000" w:firstRow="0" w:lastRow="0" w:firstColumn="1" w:lastColumn="0" w:oddVBand="0" w:evenVBand="0" w:oddHBand="0" w:evenHBand="0" w:firstRowFirstColumn="0" w:firstRowLastColumn="0" w:lastRowFirstColumn="0" w:lastRowLastColumn="0"/>
            <w:tcW w:w="2268" w:type="dxa"/>
            <w:noWrap/>
            <w:vAlign w:val="bottom"/>
            <w:hideMark/>
          </w:tcPr>
          <w:p w14:paraId="63FE5EC4" w14:textId="387B58F8" w:rsidR="000220D0" w:rsidRPr="003A6CA9" w:rsidRDefault="000220D0" w:rsidP="000220D0">
            <w:pPr>
              <w:jc w:val="center"/>
              <w:rPr>
                <w:rFonts w:ascii="Aptos" w:eastAsia="Times New Roman" w:hAnsi="Aptos" w:cs="Calibri"/>
                <w:b w:val="0"/>
                <w:bCs w:val="0"/>
                <w:color w:val="000000"/>
                <w:kern w:val="0"/>
                <w:sz w:val="20"/>
                <w:szCs w:val="20"/>
                <w:lang w:eastAsia="en-GB"/>
                <w14:ligatures w14:val="none"/>
              </w:rPr>
            </w:pPr>
            <w:r w:rsidRPr="003A6CA9">
              <w:rPr>
                <w:rFonts w:ascii="Aptos" w:hAnsi="Aptos" w:cs="Calibri"/>
                <w:b w:val="0"/>
                <w:bCs w:val="0"/>
                <w:color w:val="000000"/>
                <w:sz w:val="20"/>
                <w:szCs w:val="20"/>
              </w:rPr>
              <w:t>Amapá</w:t>
            </w:r>
          </w:p>
        </w:tc>
        <w:tc>
          <w:tcPr>
            <w:tcW w:w="960" w:type="dxa"/>
            <w:noWrap/>
            <w:vAlign w:val="bottom"/>
            <w:hideMark/>
          </w:tcPr>
          <w:p w14:paraId="3086718D" w14:textId="7A8F5504" w:rsidR="000220D0" w:rsidRPr="0005675B" w:rsidRDefault="000220D0" w:rsidP="000220D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yield</w:t>
            </w:r>
          </w:p>
        </w:tc>
        <w:tc>
          <w:tcPr>
            <w:tcW w:w="1020" w:type="dxa"/>
            <w:noWrap/>
            <w:vAlign w:val="bottom"/>
            <w:hideMark/>
          </w:tcPr>
          <w:p w14:paraId="30BEFABA" w14:textId="6A315B1F" w:rsidR="000220D0" w:rsidRPr="0005675B" w:rsidRDefault="000220D0" w:rsidP="000220D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80.73</w:t>
            </w:r>
          </w:p>
        </w:tc>
        <w:tc>
          <w:tcPr>
            <w:tcW w:w="1400" w:type="dxa"/>
            <w:noWrap/>
            <w:vAlign w:val="bottom"/>
            <w:hideMark/>
          </w:tcPr>
          <w:p w14:paraId="29A57682" w14:textId="43993A8D" w:rsidR="000220D0" w:rsidRPr="0005675B" w:rsidRDefault="000220D0" w:rsidP="000220D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78.56</w:t>
            </w:r>
          </w:p>
        </w:tc>
        <w:tc>
          <w:tcPr>
            <w:tcW w:w="1140" w:type="dxa"/>
            <w:noWrap/>
            <w:vAlign w:val="bottom"/>
            <w:hideMark/>
          </w:tcPr>
          <w:p w14:paraId="4BC010E6" w14:textId="7AB5E864" w:rsidR="000220D0" w:rsidRPr="0005675B" w:rsidRDefault="000220D0" w:rsidP="000220D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82.90</w:t>
            </w:r>
          </w:p>
        </w:tc>
      </w:tr>
      <w:tr w:rsidR="000220D0" w:rsidRPr="0005675B" w14:paraId="5C510D42" w14:textId="77777777" w:rsidTr="000220D0">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268" w:type="dxa"/>
            <w:noWrap/>
            <w:vAlign w:val="bottom"/>
            <w:hideMark/>
          </w:tcPr>
          <w:p w14:paraId="36B29414" w14:textId="55F4C800" w:rsidR="000220D0" w:rsidRPr="003A6CA9" w:rsidRDefault="000220D0" w:rsidP="000220D0">
            <w:pPr>
              <w:jc w:val="center"/>
              <w:rPr>
                <w:rFonts w:ascii="Aptos" w:eastAsia="Times New Roman" w:hAnsi="Aptos" w:cs="Calibri"/>
                <w:b w:val="0"/>
                <w:bCs w:val="0"/>
                <w:color w:val="000000"/>
                <w:kern w:val="0"/>
                <w:sz w:val="20"/>
                <w:szCs w:val="20"/>
                <w:lang w:eastAsia="en-GB"/>
                <w14:ligatures w14:val="none"/>
              </w:rPr>
            </w:pPr>
            <w:proofErr w:type="spellStart"/>
            <w:r w:rsidRPr="003A6CA9">
              <w:rPr>
                <w:rFonts w:ascii="Aptos" w:hAnsi="Aptos" w:cs="Calibri"/>
                <w:b w:val="0"/>
                <w:bCs w:val="0"/>
                <w:color w:val="000000"/>
                <w:sz w:val="20"/>
                <w:szCs w:val="20"/>
              </w:rPr>
              <w:t>Amazônas</w:t>
            </w:r>
            <w:proofErr w:type="spellEnd"/>
          </w:p>
        </w:tc>
        <w:tc>
          <w:tcPr>
            <w:tcW w:w="960" w:type="dxa"/>
            <w:noWrap/>
            <w:vAlign w:val="bottom"/>
            <w:hideMark/>
          </w:tcPr>
          <w:p w14:paraId="7BE7A678" w14:textId="4684A8A5" w:rsidR="000220D0" w:rsidRPr="0005675B" w:rsidRDefault="000220D0" w:rsidP="000220D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cost</w:t>
            </w:r>
          </w:p>
        </w:tc>
        <w:tc>
          <w:tcPr>
            <w:tcW w:w="1020" w:type="dxa"/>
            <w:noWrap/>
            <w:vAlign w:val="bottom"/>
            <w:hideMark/>
          </w:tcPr>
          <w:p w14:paraId="00EA3652" w14:textId="3196BC0C" w:rsidR="000220D0" w:rsidRPr="0005675B" w:rsidRDefault="000220D0" w:rsidP="000220D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245.47</w:t>
            </w:r>
          </w:p>
        </w:tc>
        <w:tc>
          <w:tcPr>
            <w:tcW w:w="1400" w:type="dxa"/>
            <w:noWrap/>
            <w:vAlign w:val="bottom"/>
            <w:hideMark/>
          </w:tcPr>
          <w:p w14:paraId="34328A7B" w14:textId="13D7F240" w:rsidR="000220D0" w:rsidRPr="0005675B" w:rsidRDefault="000220D0" w:rsidP="000220D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243.72</w:t>
            </w:r>
          </w:p>
        </w:tc>
        <w:tc>
          <w:tcPr>
            <w:tcW w:w="1140" w:type="dxa"/>
            <w:noWrap/>
            <w:vAlign w:val="bottom"/>
            <w:hideMark/>
          </w:tcPr>
          <w:p w14:paraId="11F76E59" w14:textId="54B06FFF" w:rsidR="000220D0" w:rsidRPr="0005675B" w:rsidRDefault="000220D0" w:rsidP="000220D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247.21</w:t>
            </w:r>
          </w:p>
        </w:tc>
      </w:tr>
      <w:tr w:rsidR="000220D0" w:rsidRPr="0005675B" w14:paraId="23DB8381" w14:textId="77777777" w:rsidTr="000220D0">
        <w:trPr>
          <w:trHeight w:val="260"/>
          <w:jc w:val="center"/>
        </w:trPr>
        <w:tc>
          <w:tcPr>
            <w:cnfStyle w:val="001000000000" w:firstRow="0" w:lastRow="0" w:firstColumn="1" w:lastColumn="0" w:oddVBand="0" w:evenVBand="0" w:oddHBand="0" w:evenHBand="0" w:firstRowFirstColumn="0" w:firstRowLastColumn="0" w:lastRowFirstColumn="0" w:lastRowLastColumn="0"/>
            <w:tcW w:w="2268" w:type="dxa"/>
            <w:noWrap/>
            <w:vAlign w:val="bottom"/>
            <w:hideMark/>
          </w:tcPr>
          <w:p w14:paraId="2C7672A9" w14:textId="22D0CDA2" w:rsidR="000220D0" w:rsidRPr="003A6CA9" w:rsidRDefault="000220D0" w:rsidP="000220D0">
            <w:pPr>
              <w:jc w:val="center"/>
              <w:rPr>
                <w:rFonts w:ascii="Aptos" w:eastAsia="Times New Roman" w:hAnsi="Aptos" w:cs="Calibri"/>
                <w:b w:val="0"/>
                <w:bCs w:val="0"/>
                <w:color w:val="000000"/>
                <w:kern w:val="0"/>
                <w:sz w:val="20"/>
                <w:szCs w:val="20"/>
                <w:lang w:eastAsia="en-GB"/>
                <w14:ligatures w14:val="none"/>
              </w:rPr>
            </w:pPr>
            <w:proofErr w:type="spellStart"/>
            <w:r w:rsidRPr="003A6CA9">
              <w:rPr>
                <w:rFonts w:ascii="Aptos" w:hAnsi="Aptos" w:cs="Calibri"/>
                <w:b w:val="0"/>
                <w:bCs w:val="0"/>
                <w:color w:val="000000"/>
                <w:sz w:val="20"/>
                <w:szCs w:val="20"/>
              </w:rPr>
              <w:t>Amazônas</w:t>
            </w:r>
            <w:proofErr w:type="spellEnd"/>
          </w:p>
        </w:tc>
        <w:tc>
          <w:tcPr>
            <w:tcW w:w="960" w:type="dxa"/>
            <w:noWrap/>
            <w:vAlign w:val="bottom"/>
            <w:hideMark/>
          </w:tcPr>
          <w:p w14:paraId="571978BD" w14:textId="660DA241" w:rsidR="000220D0" w:rsidRPr="0005675B" w:rsidRDefault="000220D0" w:rsidP="000220D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yield</w:t>
            </w:r>
          </w:p>
        </w:tc>
        <w:tc>
          <w:tcPr>
            <w:tcW w:w="1020" w:type="dxa"/>
            <w:noWrap/>
            <w:vAlign w:val="bottom"/>
            <w:hideMark/>
          </w:tcPr>
          <w:p w14:paraId="0739BF1C" w14:textId="5D757084" w:rsidR="000220D0" w:rsidRPr="0005675B" w:rsidRDefault="000220D0" w:rsidP="000220D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40.73</w:t>
            </w:r>
          </w:p>
        </w:tc>
        <w:tc>
          <w:tcPr>
            <w:tcW w:w="1400" w:type="dxa"/>
            <w:noWrap/>
            <w:vAlign w:val="bottom"/>
            <w:hideMark/>
          </w:tcPr>
          <w:p w14:paraId="4D653D7C" w14:textId="756B8C69" w:rsidR="000220D0" w:rsidRPr="0005675B" w:rsidRDefault="000220D0" w:rsidP="000220D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39.77</w:t>
            </w:r>
          </w:p>
        </w:tc>
        <w:tc>
          <w:tcPr>
            <w:tcW w:w="1140" w:type="dxa"/>
            <w:noWrap/>
            <w:vAlign w:val="bottom"/>
            <w:hideMark/>
          </w:tcPr>
          <w:p w14:paraId="3FF48D3F" w14:textId="44A6DB6C" w:rsidR="000220D0" w:rsidRPr="0005675B" w:rsidRDefault="000220D0" w:rsidP="000220D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41.70</w:t>
            </w:r>
          </w:p>
        </w:tc>
      </w:tr>
      <w:tr w:rsidR="000220D0" w:rsidRPr="0005675B" w14:paraId="3DADC4F2" w14:textId="77777777" w:rsidTr="000220D0">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268" w:type="dxa"/>
            <w:noWrap/>
            <w:vAlign w:val="bottom"/>
            <w:hideMark/>
          </w:tcPr>
          <w:p w14:paraId="3750A8A2" w14:textId="41606E87" w:rsidR="000220D0" w:rsidRPr="003A6CA9" w:rsidRDefault="000220D0" w:rsidP="000220D0">
            <w:pPr>
              <w:jc w:val="center"/>
              <w:rPr>
                <w:rFonts w:ascii="Aptos" w:eastAsia="Times New Roman" w:hAnsi="Aptos" w:cs="Calibri"/>
                <w:b w:val="0"/>
                <w:bCs w:val="0"/>
                <w:color w:val="000000"/>
                <w:kern w:val="0"/>
                <w:sz w:val="20"/>
                <w:szCs w:val="20"/>
                <w:lang w:eastAsia="en-GB"/>
                <w14:ligatures w14:val="none"/>
              </w:rPr>
            </w:pPr>
            <w:r w:rsidRPr="003A6CA9">
              <w:rPr>
                <w:rFonts w:ascii="Aptos" w:hAnsi="Aptos" w:cs="Calibri"/>
                <w:b w:val="0"/>
                <w:bCs w:val="0"/>
                <w:color w:val="000000"/>
                <w:sz w:val="20"/>
                <w:szCs w:val="20"/>
              </w:rPr>
              <w:t>Bahia</w:t>
            </w:r>
          </w:p>
        </w:tc>
        <w:tc>
          <w:tcPr>
            <w:tcW w:w="960" w:type="dxa"/>
            <w:noWrap/>
            <w:vAlign w:val="bottom"/>
            <w:hideMark/>
          </w:tcPr>
          <w:p w14:paraId="2C620E3E" w14:textId="79089B66" w:rsidR="000220D0" w:rsidRPr="0005675B" w:rsidRDefault="000220D0" w:rsidP="000220D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cost</w:t>
            </w:r>
          </w:p>
        </w:tc>
        <w:tc>
          <w:tcPr>
            <w:tcW w:w="1020" w:type="dxa"/>
            <w:noWrap/>
            <w:vAlign w:val="bottom"/>
            <w:hideMark/>
          </w:tcPr>
          <w:p w14:paraId="48C92DA0" w14:textId="2AF7353F" w:rsidR="000220D0" w:rsidRPr="0005675B" w:rsidRDefault="000220D0" w:rsidP="000220D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190.63</w:t>
            </w:r>
          </w:p>
        </w:tc>
        <w:tc>
          <w:tcPr>
            <w:tcW w:w="1400" w:type="dxa"/>
            <w:noWrap/>
            <w:vAlign w:val="bottom"/>
            <w:hideMark/>
          </w:tcPr>
          <w:p w14:paraId="68E82971" w14:textId="05610AD5" w:rsidR="000220D0" w:rsidRPr="0005675B" w:rsidRDefault="000220D0" w:rsidP="000220D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186.69</w:t>
            </w:r>
          </w:p>
        </w:tc>
        <w:tc>
          <w:tcPr>
            <w:tcW w:w="1140" w:type="dxa"/>
            <w:noWrap/>
            <w:vAlign w:val="bottom"/>
            <w:hideMark/>
          </w:tcPr>
          <w:p w14:paraId="2D8AB77B" w14:textId="6B675A61" w:rsidR="000220D0" w:rsidRPr="0005675B" w:rsidRDefault="000220D0" w:rsidP="000220D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194.57</w:t>
            </w:r>
          </w:p>
        </w:tc>
      </w:tr>
      <w:tr w:rsidR="000220D0" w:rsidRPr="0005675B" w14:paraId="5FD60302" w14:textId="77777777" w:rsidTr="000220D0">
        <w:trPr>
          <w:trHeight w:val="260"/>
          <w:jc w:val="center"/>
        </w:trPr>
        <w:tc>
          <w:tcPr>
            <w:cnfStyle w:val="001000000000" w:firstRow="0" w:lastRow="0" w:firstColumn="1" w:lastColumn="0" w:oddVBand="0" w:evenVBand="0" w:oddHBand="0" w:evenHBand="0" w:firstRowFirstColumn="0" w:firstRowLastColumn="0" w:lastRowFirstColumn="0" w:lastRowLastColumn="0"/>
            <w:tcW w:w="2268" w:type="dxa"/>
            <w:noWrap/>
            <w:vAlign w:val="bottom"/>
            <w:hideMark/>
          </w:tcPr>
          <w:p w14:paraId="4E695AE5" w14:textId="4D8E6387" w:rsidR="000220D0" w:rsidRPr="003A6CA9" w:rsidRDefault="000220D0" w:rsidP="000220D0">
            <w:pPr>
              <w:jc w:val="center"/>
              <w:rPr>
                <w:rFonts w:ascii="Aptos" w:eastAsia="Times New Roman" w:hAnsi="Aptos" w:cs="Calibri"/>
                <w:b w:val="0"/>
                <w:bCs w:val="0"/>
                <w:color w:val="000000"/>
                <w:kern w:val="0"/>
                <w:sz w:val="20"/>
                <w:szCs w:val="20"/>
                <w:lang w:eastAsia="en-GB"/>
                <w14:ligatures w14:val="none"/>
              </w:rPr>
            </w:pPr>
            <w:r w:rsidRPr="003A6CA9">
              <w:rPr>
                <w:rFonts w:ascii="Aptos" w:hAnsi="Aptos" w:cs="Calibri"/>
                <w:b w:val="0"/>
                <w:bCs w:val="0"/>
                <w:color w:val="000000"/>
                <w:sz w:val="20"/>
                <w:szCs w:val="20"/>
              </w:rPr>
              <w:t>Bahia</w:t>
            </w:r>
          </w:p>
        </w:tc>
        <w:tc>
          <w:tcPr>
            <w:tcW w:w="960" w:type="dxa"/>
            <w:noWrap/>
            <w:vAlign w:val="bottom"/>
            <w:hideMark/>
          </w:tcPr>
          <w:p w14:paraId="3AD0DB02" w14:textId="40DCA576" w:rsidR="000220D0" w:rsidRPr="0005675B" w:rsidRDefault="000220D0" w:rsidP="000220D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yield</w:t>
            </w:r>
          </w:p>
        </w:tc>
        <w:tc>
          <w:tcPr>
            <w:tcW w:w="1020" w:type="dxa"/>
            <w:noWrap/>
            <w:vAlign w:val="bottom"/>
            <w:hideMark/>
          </w:tcPr>
          <w:p w14:paraId="796EB111" w14:textId="6CF3959C" w:rsidR="000220D0" w:rsidRPr="0005675B" w:rsidRDefault="000220D0" w:rsidP="000220D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29.16</w:t>
            </w:r>
          </w:p>
        </w:tc>
        <w:tc>
          <w:tcPr>
            <w:tcW w:w="1400" w:type="dxa"/>
            <w:noWrap/>
            <w:vAlign w:val="bottom"/>
            <w:hideMark/>
          </w:tcPr>
          <w:p w14:paraId="268BD51C" w14:textId="6908BE91" w:rsidR="000220D0" w:rsidRPr="0005675B" w:rsidRDefault="000220D0" w:rsidP="000220D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27.09</w:t>
            </w:r>
          </w:p>
        </w:tc>
        <w:tc>
          <w:tcPr>
            <w:tcW w:w="1140" w:type="dxa"/>
            <w:noWrap/>
            <w:vAlign w:val="bottom"/>
            <w:hideMark/>
          </w:tcPr>
          <w:p w14:paraId="5D7B576E" w14:textId="4BDBF14C" w:rsidR="000220D0" w:rsidRPr="0005675B" w:rsidRDefault="000220D0" w:rsidP="000220D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31.24</w:t>
            </w:r>
          </w:p>
        </w:tc>
      </w:tr>
      <w:tr w:rsidR="000220D0" w:rsidRPr="0005675B" w14:paraId="269181E0" w14:textId="77777777" w:rsidTr="000220D0">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268" w:type="dxa"/>
            <w:noWrap/>
            <w:vAlign w:val="bottom"/>
            <w:hideMark/>
          </w:tcPr>
          <w:p w14:paraId="303E3AB8" w14:textId="4EB3ABA0" w:rsidR="000220D0" w:rsidRPr="003A6CA9" w:rsidRDefault="000220D0" w:rsidP="000220D0">
            <w:pPr>
              <w:jc w:val="center"/>
              <w:rPr>
                <w:rFonts w:ascii="Aptos" w:eastAsia="Times New Roman" w:hAnsi="Aptos" w:cs="Calibri"/>
                <w:b w:val="0"/>
                <w:bCs w:val="0"/>
                <w:color w:val="000000"/>
                <w:kern w:val="0"/>
                <w:sz w:val="20"/>
                <w:szCs w:val="20"/>
                <w:lang w:eastAsia="en-GB"/>
                <w14:ligatures w14:val="none"/>
              </w:rPr>
            </w:pPr>
            <w:r w:rsidRPr="003A6CA9">
              <w:rPr>
                <w:rFonts w:ascii="Aptos" w:hAnsi="Aptos" w:cs="Calibri"/>
                <w:b w:val="0"/>
                <w:bCs w:val="0"/>
                <w:color w:val="000000"/>
                <w:sz w:val="20"/>
                <w:szCs w:val="20"/>
              </w:rPr>
              <w:t>Ceará</w:t>
            </w:r>
          </w:p>
        </w:tc>
        <w:tc>
          <w:tcPr>
            <w:tcW w:w="960" w:type="dxa"/>
            <w:noWrap/>
            <w:vAlign w:val="bottom"/>
            <w:hideMark/>
          </w:tcPr>
          <w:p w14:paraId="5E5F7A43" w14:textId="758AD002" w:rsidR="000220D0" w:rsidRPr="0005675B" w:rsidRDefault="000220D0" w:rsidP="000220D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cost</w:t>
            </w:r>
          </w:p>
        </w:tc>
        <w:tc>
          <w:tcPr>
            <w:tcW w:w="1020" w:type="dxa"/>
            <w:noWrap/>
            <w:vAlign w:val="bottom"/>
            <w:hideMark/>
          </w:tcPr>
          <w:p w14:paraId="0FE238E1" w14:textId="5F083A8D" w:rsidR="000220D0" w:rsidRPr="0005675B" w:rsidRDefault="000220D0" w:rsidP="000220D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182.95</w:t>
            </w:r>
          </w:p>
        </w:tc>
        <w:tc>
          <w:tcPr>
            <w:tcW w:w="1400" w:type="dxa"/>
            <w:noWrap/>
            <w:vAlign w:val="bottom"/>
            <w:hideMark/>
          </w:tcPr>
          <w:p w14:paraId="74ACCFB9" w14:textId="7C046189" w:rsidR="000220D0" w:rsidRPr="0005675B" w:rsidRDefault="000220D0" w:rsidP="000220D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173.20</w:t>
            </w:r>
          </w:p>
        </w:tc>
        <w:tc>
          <w:tcPr>
            <w:tcW w:w="1140" w:type="dxa"/>
            <w:noWrap/>
            <w:vAlign w:val="bottom"/>
            <w:hideMark/>
          </w:tcPr>
          <w:p w14:paraId="24A9F10F" w14:textId="6A6EB684" w:rsidR="000220D0" w:rsidRPr="0005675B" w:rsidRDefault="000220D0" w:rsidP="000220D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192.70</w:t>
            </w:r>
          </w:p>
        </w:tc>
      </w:tr>
      <w:tr w:rsidR="000220D0" w:rsidRPr="0005675B" w14:paraId="7A359A67" w14:textId="77777777" w:rsidTr="000220D0">
        <w:trPr>
          <w:trHeight w:val="260"/>
          <w:jc w:val="center"/>
        </w:trPr>
        <w:tc>
          <w:tcPr>
            <w:cnfStyle w:val="001000000000" w:firstRow="0" w:lastRow="0" w:firstColumn="1" w:lastColumn="0" w:oddVBand="0" w:evenVBand="0" w:oddHBand="0" w:evenHBand="0" w:firstRowFirstColumn="0" w:firstRowLastColumn="0" w:lastRowFirstColumn="0" w:lastRowLastColumn="0"/>
            <w:tcW w:w="2268" w:type="dxa"/>
            <w:noWrap/>
            <w:vAlign w:val="bottom"/>
            <w:hideMark/>
          </w:tcPr>
          <w:p w14:paraId="37303568" w14:textId="66FFABDA" w:rsidR="000220D0" w:rsidRPr="003A6CA9" w:rsidRDefault="000220D0" w:rsidP="000220D0">
            <w:pPr>
              <w:jc w:val="center"/>
              <w:rPr>
                <w:rFonts w:ascii="Aptos" w:eastAsia="Times New Roman" w:hAnsi="Aptos" w:cs="Calibri"/>
                <w:b w:val="0"/>
                <w:bCs w:val="0"/>
                <w:color w:val="000000"/>
                <w:kern w:val="0"/>
                <w:sz w:val="20"/>
                <w:szCs w:val="20"/>
                <w:lang w:eastAsia="en-GB"/>
                <w14:ligatures w14:val="none"/>
              </w:rPr>
            </w:pPr>
            <w:r w:rsidRPr="003A6CA9">
              <w:rPr>
                <w:rFonts w:ascii="Aptos" w:hAnsi="Aptos" w:cs="Calibri"/>
                <w:b w:val="0"/>
                <w:bCs w:val="0"/>
                <w:color w:val="000000"/>
                <w:sz w:val="20"/>
                <w:szCs w:val="20"/>
              </w:rPr>
              <w:t>Ceará</w:t>
            </w:r>
          </w:p>
        </w:tc>
        <w:tc>
          <w:tcPr>
            <w:tcW w:w="960" w:type="dxa"/>
            <w:noWrap/>
            <w:vAlign w:val="bottom"/>
            <w:hideMark/>
          </w:tcPr>
          <w:p w14:paraId="4F7DB81D" w14:textId="768A62CD" w:rsidR="000220D0" w:rsidRPr="0005675B" w:rsidRDefault="000220D0" w:rsidP="000220D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yield</w:t>
            </w:r>
          </w:p>
        </w:tc>
        <w:tc>
          <w:tcPr>
            <w:tcW w:w="1020" w:type="dxa"/>
            <w:noWrap/>
            <w:vAlign w:val="bottom"/>
            <w:hideMark/>
          </w:tcPr>
          <w:p w14:paraId="250D0881" w14:textId="52930602" w:rsidR="000220D0" w:rsidRPr="0005675B" w:rsidRDefault="000220D0" w:rsidP="000220D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11.47</w:t>
            </w:r>
          </w:p>
        </w:tc>
        <w:tc>
          <w:tcPr>
            <w:tcW w:w="1400" w:type="dxa"/>
            <w:noWrap/>
            <w:vAlign w:val="bottom"/>
            <w:hideMark/>
          </w:tcPr>
          <w:p w14:paraId="000BF9C9" w14:textId="3D8AAEED" w:rsidR="000220D0" w:rsidRPr="0005675B" w:rsidRDefault="000220D0" w:rsidP="000220D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8.82</w:t>
            </w:r>
          </w:p>
        </w:tc>
        <w:tc>
          <w:tcPr>
            <w:tcW w:w="1140" w:type="dxa"/>
            <w:noWrap/>
            <w:vAlign w:val="bottom"/>
            <w:hideMark/>
          </w:tcPr>
          <w:p w14:paraId="667A3AFB" w14:textId="2ECF7C89" w:rsidR="000220D0" w:rsidRPr="0005675B" w:rsidRDefault="000220D0" w:rsidP="000220D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14.12</w:t>
            </w:r>
          </w:p>
        </w:tc>
      </w:tr>
      <w:tr w:rsidR="000220D0" w:rsidRPr="0005675B" w14:paraId="194E4EEB" w14:textId="77777777" w:rsidTr="000220D0">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268" w:type="dxa"/>
            <w:noWrap/>
            <w:vAlign w:val="bottom"/>
            <w:hideMark/>
          </w:tcPr>
          <w:p w14:paraId="75716C7B" w14:textId="5B55EB6A" w:rsidR="000220D0" w:rsidRPr="003A6CA9" w:rsidRDefault="000220D0" w:rsidP="000220D0">
            <w:pPr>
              <w:jc w:val="center"/>
              <w:rPr>
                <w:rFonts w:ascii="Aptos" w:eastAsia="Times New Roman" w:hAnsi="Aptos" w:cs="Calibri"/>
                <w:b w:val="0"/>
                <w:bCs w:val="0"/>
                <w:color w:val="000000"/>
                <w:kern w:val="0"/>
                <w:sz w:val="20"/>
                <w:szCs w:val="20"/>
                <w:lang w:eastAsia="en-GB"/>
                <w14:ligatures w14:val="none"/>
              </w:rPr>
            </w:pPr>
            <w:r w:rsidRPr="003A6CA9">
              <w:rPr>
                <w:rFonts w:ascii="Aptos" w:hAnsi="Aptos" w:cs="Calibri"/>
                <w:b w:val="0"/>
                <w:bCs w:val="0"/>
                <w:color w:val="000000"/>
                <w:sz w:val="20"/>
                <w:szCs w:val="20"/>
              </w:rPr>
              <w:t>Distrito Federal</w:t>
            </w:r>
          </w:p>
        </w:tc>
        <w:tc>
          <w:tcPr>
            <w:tcW w:w="960" w:type="dxa"/>
            <w:noWrap/>
            <w:vAlign w:val="bottom"/>
            <w:hideMark/>
          </w:tcPr>
          <w:p w14:paraId="1B5BAFAF" w14:textId="36048D5D" w:rsidR="000220D0" w:rsidRPr="0005675B" w:rsidRDefault="000220D0" w:rsidP="000220D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cost</w:t>
            </w:r>
          </w:p>
        </w:tc>
        <w:tc>
          <w:tcPr>
            <w:tcW w:w="1020" w:type="dxa"/>
            <w:noWrap/>
            <w:vAlign w:val="bottom"/>
            <w:hideMark/>
          </w:tcPr>
          <w:p w14:paraId="276F8FF0" w14:textId="62EC2DA1" w:rsidR="000220D0" w:rsidRPr="0005675B" w:rsidRDefault="000220D0" w:rsidP="000220D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220.80</w:t>
            </w:r>
          </w:p>
        </w:tc>
        <w:tc>
          <w:tcPr>
            <w:tcW w:w="1400" w:type="dxa"/>
            <w:noWrap/>
            <w:vAlign w:val="bottom"/>
            <w:hideMark/>
          </w:tcPr>
          <w:p w14:paraId="7DF1A8F9" w14:textId="10B9CA47" w:rsidR="000220D0" w:rsidRPr="0005675B" w:rsidRDefault="000220D0" w:rsidP="000220D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214.38</w:t>
            </w:r>
          </w:p>
        </w:tc>
        <w:tc>
          <w:tcPr>
            <w:tcW w:w="1140" w:type="dxa"/>
            <w:noWrap/>
            <w:vAlign w:val="bottom"/>
            <w:hideMark/>
          </w:tcPr>
          <w:p w14:paraId="3AEC60E7" w14:textId="6AF363F2" w:rsidR="000220D0" w:rsidRPr="0005675B" w:rsidRDefault="000220D0" w:rsidP="000220D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227.23</w:t>
            </w:r>
          </w:p>
        </w:tc>
      </w:tr>
      <w:tr w:rsidR="000220D0" w:rsidRPr="0005675B" w14:paraId="319641EE" w14:textId="77777777" w:rsidTr="000220D0">
        <w:trPr>
          <w:trHeight w:val="260"/>
          <w:jc w:val="center"/>
        </w:trPr>
        <w:tc>
          <w:tcPr>
            <w:cnfStyle w:val="001000000000" w:firstRow="0" w:lastRow="0" w:firstColumn="1" w:lastColumn="0" w:oddVBand="0" w:evenVBand="0" w:oddHBand="0" w:evenHBand="0" w:firstRowFirstColumn="0" w:firstRowLastColumn="0" w:lastRowFirstColumn="0" w:lastRowLastColumn="0"/>
            <w:tcW w:w="2268" w:type="dxa"/>
            <w:noWrap/>
            <w:vAlign w:val="bottom"/>
            <w:hideMark/>
          </w:tcPr>
          <w:p w14:paraId="6C364E68" w14:textId="4D53B84A" w:rsidR="000220D0" w:rsidRPr="003A6CA9" w:rsidRDefault="000220D0" w:rsidP="000220D0">
            <w:pPr>
              <w:jc w:val="center"/>
              <w:rPr>
                <w:rFonts w:ascii="Aptos" w:eastAsia="Times New Roman" w:hAnsi="Aptos" w:cs="Calibri"/>
                <w:b w:val="0"/>
                <w:bCs w:val="0"/>
                <w:color w:val="000000"/>
                <w:kern w:val="0"/>
                <w:sz w:val="20"/>
                <w:szCs w:val="20"/>
                <w:lang w:eastAsia="en-GB"/>
                <w14:ligatures w14:val="none"/>
              </w:rPr>
            </w:pPr>
            <w:r w:rsidRPr="003A6CA9">
              <w:rPr>
                <w:rFonts w:ascii="Aptos" w:hAnsi="Aptos" w:cs="Calibri"/>
                <w:b w:val="0"/>
                <w:bCs w:val="0"/>
                <w:color w:val="000000"/>
                <w:sz w:val="20"/>
                <w:szCs w:val="20"/>
              </w:rPr>
              <w:t>Distrito Federal</w:t>
            </w:r>
          </w:p>
        </w:tc>
        <w:tc>
          <w:tcPr>
            <w:tcW w:w="960" w:type="dxa"/>
            <w:noWrap/>
            <w:vAlign w:val="bottom"/>
            <w:hideMark/>
          </w:tcPr>
          <w:p w14:paraId="7A6ADF18" w14:textId="4F530444" w:rsidR="000220D0" w:rsidRPr="0005675B" w:rsidRDefault="000220D0" w:rsidP="000220D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yield</w:t>
            </w:r>
          </w:p>
        </w:tc>
        <w:tc>
          <w:tcPr>
            <w:tcW w:w="1020" w:type="dxa"/>
            <w:noWrap/>
            <w:vAlign w:val="bottom"/>
            <w:hideMark/>
          </w:tcPr>
          <w:p w14:paraId="70FD8A89" w14:textId="6B411620" w:rsidR="000220D0" w:rsidRPr="0005675B" w:rsidRDefault="000220D0" w:rsidP="000220D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51.62</w:t>
            </w:r>
          </w:p>
        </w:tc>
        <w:tc>
          <w:tcPr>
            <w:tcW w:w="1400" w:type="dxa"/>
            <w:noWrap/>
            <w:vAlign w:val="bottom"/>
            <w:hideMark/>
          </w:tcPr>
          <w:p w14:paraId="49B89C7C" w14:textId="3DDC2CB4" w:rsidR="000220D0" w:rsidRPr="0005675B" w:rsidRDefault="000220D0" w:rsidP="000220D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48.58</w:t>
            </w:r>
          </w:p>
        </w:tc>
        <w:tc>
          <w:tcPr>
            <w:tcW w:w="1140" w:type="dxa"/>
            <w:noWrap/>
            <w:vAlign w:val="bottom"/>
            <w:hideMark/>
          </w:tcPr>
          <w:p w14:paraId="4A581E7B" w14:textId="52820FE4" w:rsidR="000220D0" w:rsidRPr="0005675B" w:rsidRDefault="000220D0" w:rsidP="000220D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54.66</w:t>
            </w:r>
          </w:p>
        </w:tc>
      </w:tr>
      <w:tr w:rsidR="000220D0" w:rsidRPr="0005675B" w14:paraId="02E6DB57" w14:textId="77777777" w:rsidTr="000220D0">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268" w:type="dxa"/>
            <w:noWrap/>
            <w:vAlign w:val="bottom"/>
            <w:hideMark/>
          </w:tcPr>
          <w:p w14:paraId="6C6C1ADB" w14:textId="767370BA" w:rsidR="000220D0" w:rsidRPr="003A6CA9" w:rsidRDefault="000220D0" w:rsidP="000220D0">
            <w:pPr>
              <w:jc w:val="center"/>
              <w:rPr>
                <w:rFonts w:ascii="Aptos" w:eastAsia="Times New Roman" w:hAnsi="Aptos" w:cs="Calibri"/>
                <w:b w:val="0"/>
                <w:bCs w:val="0"/>
                <w:color w:val="000000"/>
                <w:kern w:val="0"/>
                <w:sz w:val="20"/>
                <w:szCs w:val="20"/>
                <w:lang w:eastAsia="en-GB"/>
                <w14:ligatures w14:val="none"/>
              </w:rPr>
            </w:pPr>
            <w:r w:rsidRPr="003A6CA9">
              <w:rPr>
                <w:rFonts w:ascii="Aptos" w:hAnsi="Aptos" w:cs="Calibri"/>
                <w:b w:val="0"/>
                <w:bCs w:val="0"/>
                <w:color w:val="000000"/>
                <w:sz w:val="20"/>
                <w:szCs w:val="20"/>
              </w:rPr>
              <w:t>Espírito Santo</w:t>
            </w:r>
          </w:p>
        </w:tc>
        <w:tc>
          <w:tcPr>
            <w:tcW w:w="960" w:type="dxa"/>
            <w:noWrap/>
            <w:vAlign w:val="bottom"/>
            <w:hideMark/>
          </w:tcPr>
          <w:p w14:paraId="0A4F23C5" w14:textId="52962617" w:rsidR="000220D0" w:rsidRPr="0005675B" w:rsidRDefault="000220D0" w:rsidP="000220D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cost</w:t>
            </w:r>
          </w:p>
        </w:tc>
        <w:tc>
          <w:tcPr>
            <w:tcW w:w="1020" w:type="dxa"/>
            <w:noWrap/>
            <w:vAlign w:val="bottom"/>
            <w:hideMark/>
          </w:tcPr>
          <w:p w14:paraId="191BF8BD" w14:textId="67A9DCCA" w:rsidR="000220D0" w:rsidRPr="0005675B" w:rsidRDefault="000220D0" w:rsidP="000220D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173.07</w:t>
            </w:r>
          </w:p>
        </w:tc>
        <w:tc>
          <w:tcPr>
            <w:tcW w:w="1400" w:type="dxa"/>
            <w:noWrap/>
            <w:vAlign w:val="bottom"/>
            <w:hideMark/>
          </w:tcPr>
          <w:p w14:paraId="612218AA" w14:textId="54BB067C" w:rsidR="000220D0" w:rsidRPr="0005675B" w:rsidRDefault="000220D0" w:rsidP="000220D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164.62</w:t>
            </w:r>
          </w:p>
        </w:tc>
        <w:tc>
          <w:tcPr>
            <w:tcW w:w="1140" w:type="dxa"/>
            <w:noWrap/>
            <w:vAlign w:val="bottom"/>
            <w:hideMark/>
          </w:tcPr>
          <w:p w14:paraId="74191FD3" w14:textId="3483FE84" w:rsidR="000220D0" w:rsidRPr="0005675B" w:rsidRDefault="000220D0" w:rsidP="000220D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181.52</w:t>
            </w:r>
          </w:p>
        </w:tc>
      </w:tr>
      <w:tr w:rsidR="000220D0" w:rsidRPr="0005675B" w14:paraId="0A6B37A6" w14:textId="77777777" w:rsidTr="000220D0">
        <w:trPr>
          <w:trHeight w:val="260"/>
          <w:jc w:val="center"/>
        </w:trPr>
        <w:tc>
          <w:tcPr>
            <w:cnfStyle w:val="001000000000" w:firstRow="0" w:lastRow="0" w:firstColumn="1" w:lastColumn="0" w:oddVBand="0" w:evenVBand="0" w:oddHBand="0" w:evenHBand="0" w:firstRowFirstColumn="0" w:firstRowLastColumn="0" w:lastRowFirstColumn="0" w:lastRowLastColumn="0"/>
            <w:tcW w:w="2268" w:type="dxa"/>
            <w:noWrap/>
            <w:vAlign w:val="bottom"/>
            <w:hideMark/>
          </w:tcPr>
          <w:p w14:paraId="6D794B7B" w14:textId="7DF769B5" w:rsidR="000220D0" w:rsidRPr="003A6CA9" w:rsidRDefault="000220D0" w:rsidP="000220D0">
            <w:pPr>
              <w:jc w:val="center"/>
              <w:rPr>
                <w:rFonts w:ascii="Aptos" w:eastAsia="Times New Roman" w:hAnsi="Aptos" w:cs="Calibri"/>
                <w:b w:val="0"/>
                <w:bCs w:val="0"/>
                <w:color w:val="000000"/>
                <w:kern w:val="0"/>
                <w:sz w:val="20"/>
                <w:szCs w:val="20"/>
                <w:lang w:eastAsia="en-GB"/>
                <w14:ligatures w14:val="none"/>
              </w:rPr>
            </w:pPr>
            <w:r w:rsidRPr="003A6CA9">
              <w:rPr>
                <w:rFonts w:ascii="Aptos" w:hAnsi="Aptos" w:cs="Calibri"/>
                <w:b w:val="0"/>
                <w:bCs w:val="0"/>
                <w:color w:val="000000"/>
                <w:sz w:val="20"/>
                <w:szCs w:val="20"/>
              </w:rPr>
              <w:t>Espírito Santo</w:t>
            </w:r>
          </w:p>
        </w:tc>
        <w:tc>
          <w:tcPr>
            <w:tcW w:w="960" w:type="dxa"/>
            <w:noWrap/>
            <w:vAlign w:val="bottom"/>
            <w:hideMark/>
          </w:tcPr>
          <w:p w14:paraId="61519456" w14:textId="5481389C" w:rsidR="000220D0" w:rsidRPr="0005675B" w:rsidRDefault="000220D0" w:rsidP="000220D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yield</w:t>
            </w:r>
          </w:p>
        </w:tc>
        <w:tc>
          <w:tcPr>
            <w:tcW w:w="1020" w:type="dxa"/>
            <w:noWrap/>
            <w:vAlign w:val="bottom"/>
            <w:hideMark/>
          </w:tcPr>
          <w:p w14:paraId="11B49251" w14:textId="63E86CC3" w:rsidR="000220D0" w:rsidRPr="0005675B" w:rsidRDefault="000220D0" w:rsidP="000220D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27.14</w:t>
            </w:r>
          </w:p>
        </w:tc>
        <w:tc>
          <w:tcPr>
            <w:tcW w:w="1400" w:type="dxa"/>
            <w:noWrap/>
            <w:vAlign w:val="bottom"/>
            <w:hideMark/>
          </w:tcPr>
          <w:p w14:paraId="575DF68E" w14:textId="5964CC11" w:rsidR="000220D0" w:rsidRPr="0005675B" w:rsidRDefault="000220D0" w:rsidP="000220D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23.53</w:t>
            </w:r>
          </w:p>
        </w:tc>
        <w:tc>
          <w:tcPr>
            <w:tcW w:w="1140" w:type="dxa"/>
            <w:noWrap/>
            <w:vAlign w:val="bottom"/>
            <w:hideMark/>
          </w:tcPr>
          <w:p w14:paraId="4AC88A37" w14:textId="081F1E67" w:rsidR="000220D0" w:rsidRPr="0005675B" w:rsidRDefault="000220D0" w:rsidP="000220D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30.75</w:t>
            </w:r>
          </w:p>
        </w:tc>
      </w:tr>
      <w:tr w:rsidR="000220D0" w:rsidRPr="0005675B" w14:paraId="2E4FD309" w14:textId="77777777" w:rsidTr="000220D0">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268" w:type="dxa"/>
            <w:noWrap/>
            <w:vAlign w:val="bottom"/>
            <w:hideMark/>
          </w:tcPr>
          <w:p w14:paraId="4E42A2B6" w14:textId="5F583038" w:rsidR="000220D0" w:rsidRPr="003A6CA9" w:rsidRDefault="000220D0" w:rsidP="000220D0">
            <w:pPr>
              <w:jc w:val="center"/>
              <w:rPr>
                <w:rFonts w:ascii="Aptos" w:eastAsia="Times New Roman" w:hAnsi="Aptos" w:cs="Calibri"/>
                <w:b w:val="0"/>
                <w:bCs w:val="0"/>
                <w:color w:val="000000"/>
                <w:kern w:val="0"/>
                <w:sz w:val="20"/>
                <w:szCs w:val="20"/>
                <w:lang w:eastAsia="en-GB"/>
                <w14:ligatures w14:val="none"/>
              </w:rPr>
            </w:pPr>
            <w:r w:rsidRPr="003A6CA9">
              <w:rPr>
                <w:rFonts w:ascii="Aptos" w:hAnsi="Aptos" w:cs="Calibri"/>
                <w:b w:val="0"/>
                <w:bCs w:val="0"/>
                <w:color w:val="000000"/>
                <w:sz w:val="20"/>
                <w:szCs w:val="20"/>
              </w:rPr>
              <w:t>Goiás</w:t>
            </w:r>
          </w:p>
        </w:tc>
        <w:tc>
          <w:tcPr>
            <w:tcW w:w="960" w:type="dxa"/>
            <w:noWrap/>
            <w:vAlign w:val="bottom"/>
            <w:hideMark/>
          </w:tcPr>
          <w:p w14:paraId="6D68FDED" w14:textId="659DD9D7" w:rsidR="000220D0" w:rsidRPr="0005675B" w:rsidRDefault="000220D0" w:rsidP="000220D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cost</w:t>
            </w:r>
          </w:p>
        </w:tc>
        <w:tc>
          <w:tcPr>
            <w:tcW w:w="1020" w:type="dxa"/>
            <w:noWrap/>
            <w:vAlign w:val="bottom"/>
            <w:hideMark/>
          </w:tcPr>
          <w:p w14:paraId="6FE256D2" w14:textId="686233BC" w:rsidR="000220D0" w:rsidRPr="0005675B" w:rsidRDefault="000220D0" w:rsidP="000220D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204.07</w:t>
            </w:r>
          </w:p>
        </w:tc>
        <w:tc>
          <w:tcPr>
            <w:tcW w:w="1400" w:type="dxa"/>
            <w:noWrap/>
            <w:vAlign w:val="bottom"/>
            <w:hideMark/>
          </w:tcPr>
          <w:p w14:paraId="59299B84" w14:textId="1302B95A" w:rsidR="000220D0" w:rsidRPr="0005675B" w:rsidRDefault="000220D0" w:rsidP="000220D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202.64</w:t>
            </w:r>
          </w:p>
        </w:tc>
        <w:tc>
          <w:tcPr>
            <w:tcW w:w="1140" w:type="dxa"/>
            <w:noWrap/>
            <w:vAlign w:val="bottom"/>
            <w:hideMark/>
          </w:tcPr>
          <w:p w14:paraId="2C400014" w14:textId="51462E6D" w:rsidR="000220D0" w:rsidRPr="0005675B" w:rsidRDefault="000220D0" w:rsidP="000220D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205.50</w:t>
            </w:r>
          </w:p>
        </w:tc>
      </w:tr>
      <w:tr w:rsidR="000220D0" w:rsidRPr="0005675B" w14:paraId="6F7B5F5E" w14:textId="77777777" w:rsidTr="000220D0">
        <w:trPr>
          <w:trHeight w:val="260"/>
          <w:jc w:val="center"/>
        </w:trPr>
        <w:tc>
          <w:tcPr>
            <w:cnfStyle w:val="001000000000" w:firstRow="0" w:lastRow="0" w:firstColumn="1" w:lastColumn="0" w:oddVBand="0" w:evenVBand="0" w:oddHBand="0" w:evenHBand="0" w:firstRowFirstColumn="0" w:firstRowLastColumn="0" w:lastRowFirstColumn="0" w:lastRowLastColumn="0"/>
            <w:tcW w:w="2268" w:type="dxa"/>
            <w:noWrap/>
            <w:vAlign w:val="bottom"/>
            <w:hideMark/>
          </w:tcPr>
          <w:p w14:paraId="475FDCF5" w14:textId="3D31BACE" w:rsidR="000220D0" w:rsidRPr="003A6CA9" w:rsidRDefault="000220D0" w:rsidP="000220D0">
            <w:pPr>
              <w:jc w:val="center"/>
              <w:rPr>
                <w:rFonts w:ascii="Aptos" w:eastAsia="Times New Roman" w:hAnsi="Aptos" w:cs="Calibri"/>
                <w:b w:val="0"/>
                <w:bCs w:val="0"/>
                <w:color w:val="000000"/>
                <w:kern w:val="0"/>
                <w:sz w:val="20"/>
                <w:szCs w:val="20"/>
                <w:lang w:eastAsia="en-GB"/>
                <w14:ligatures w14:val="none"/>
              </w:rPr>
            </w:pPr>
            <w:r w:rsidRPr="003A6CA9">
              <w:rPr>
                <w:rFonts w:ascii="Aptos" w:hAnsi="Aptos" w:cs="Calibri"/>
                <w:b w:val="0"/>
                <w:bCs w:val="0"/>
                <w:color w:val="000000"/>
                <w:sz w:val="20"/>
                <w:szCs w:val="20"/>
              </w:rPr>
              <w:t>Goiás</w:t>
            </w:r>
          </w:p>
        </w:tc>
        <w:tc>
          <w:tcPr>
            <w:tcW w:w="960" w:type="dxa"/>
            <w:noWrap/>
            <w:vAlign w:val="bottom"/>
            <w:hideMark/>
          </w:tcPr>
          <w:p w14:paraId="43AC70EE" w14:textId="011450BF" w:rsidR="000220D0" w:rsidRPr="0005675B" w:rsidRDefault="000220D0" w:rsidP="000220D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yield</w:t>
            </w:r>
          </w:p>
        </w:tc>
        <w:tc>
          <w:tcPr>
            <w:tcW w:w="1020" w:type="dxa"/>
            <w:noWrap/>
            <w:vAlign w:val="bottom"/>
            <w:hideMark/>
          </w:tcPr>
          <w:p w14:paraId="497530B4" w14:textId="22B311B8" w:rsidR="000220D0" w:rsidRPr="0005675B" w:rsidRDefault="000220D0" w:rsidP="000220D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49.50</w:t>
            </w:r>
          </w:p>
        </w:tc>
        <w:tc>
          <w:tcPr>
            <w:tcW w:w="1400" w:type="dxa"/>
            <w:noWrap/>
            <w:vAlign w:val="bottom"/>
            <w:hideMark/>
          </w:tcPr>
          <w:p w14:paraId="2FDA45DA" w14:textId="187B13E5" w:rsidR="000220D0" w:rsidRPr="0005675B" w:rsidRDefault="000220D0" w:rsidP="000220D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48.75</w:t>
            </w:r>
          </w:p>
        </w:tc>
        <w:tc>
          <w:tcPr>
            <w:tcW w:w="1140" w:type="dxa"/>
            <w:noWrap/>
            <w:vAlign w:val="bottom"/>
            <w:hideMark/>
          </w:tcPr>
          <w:p w14:paraId="63B69B94" w14:textId="3C10C78A" w:rsidR="000220D0" w:rsidRPr="0005675B" w:rsidRDefault="000220D0" w:rsidP="000220D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50.24</w:t>
            </w:r>
          </w:p>
        </w:tc>
      </w:tr>
      <w:tr w:rsidR="000220D0" w:rsidRPr="0005675B" w14:paraId="0072D0EC" w14:textId="77777777" w:rsidTr="000220D0">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268" w:type="dxa"/>
            <w:noWrap/>
            <w:vAlign w:val="bottom"/>
            <w:hideMark/>
          </w:tcPr>
          <w:p w14:paraId="6B069AD9" w14:textId="73E65E9F" w:rsidR="000220D0" w:rsidRPr="003A6CA9" w:rsidRDefault="000220D0" w:rsidP="000220D0">
            <w:pPr>
              <w:jc w:val="center"/>
              <w:rPr>
                <w:rFonts w:ascii="Aptos" w:eastAsia="Times New Roman" w:hAnsi="Aptos" w:cs="Calibri"/>
                <w:b w:val="0"/>
                <w:bCs w:val="0"/>
                <w:color w:val="000000"/>
                <w:kern w:val="0"/>
                <w:sz w:val="20"/>
                <w:szCs w:val="20"/>
                <w:lang w:eastAsia="en-GB"/>
                <w14:ligatures w14:val="none"/>
              </w:rPr>
            </w:pPr>
            <w:r w:rsidRPr="003A6CA9">
              <w:rPr>
                <w:rFonts w:ascii="Aptos" w:hAnsi="Aptos" w:cs="Calibri"/>
                <w:b w:val="0"/>
                <w:bCs w:val="0"/>
                <w:color w:val="000000"/>
                <w:sz w:val="20"/>
                <w:szCs w:val="20"/>
              </w:rPr>
              <w:t>Maranhão</w:t>
            </w:r>
          </w:p>
        </w:tc>
        <w:tc>
          <w:tcPr>
            <w:tcW w:w="960" w:type="dxa"/>
            <w:noWrap/>
            <w:vAlign w:val="bottom"/>
            <w:hideMark/>
          </w:tcPr>
          <w:p w14:paraId="776F60DA" w14:textId="206D159F" w:rsidR="000220D0" w:rsidRPr="0005675B" w:rsidRDefault="000220D0" w:rsidP="000220D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cost</w:t>
            </w:r>
          </w:p>
        </w:tc>
        <w:tc>
          <w:tcPr>
            <w:tcW w:w="1020" w:type="dxa"/>
            <w:noWrap/>
            <w:vAlign w:val="bottom"/>
            <w:hideMark/>
          </w:tcPr>
          <w:p w14:paraId="06E38C4D" w14:textId="0D4095B0" w:rsidR="000220D0" w:rsidRPr="0005675B" w:rsidRDefault="000220D0" w:rsidP="000220D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228.73</w:t>
            </w:r>
          </w:p>
        </w:tc>
        <w:tc>
          <w:tcPr>
            <w:tcW w:w="1400" w:type="dxa"/>
            <w:noWrap/>
            <w:vAlign w:val="bottom"/>
            <w:hideMark/>
          </w:tcPr>
          <w:p w14:paraId="628A183F" w14:textId="071B6992" w:rsidR="000220D0" w:rsidRPr="0005675B" w:rsidRDefault="000220D0" w:rsidP="000220D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216.79</w:t>
            </w:r>
          </w:p>
        </w:tc>
        <w:tc>
          <w:tcPr>
            <w:tcW w:w="1140" w:type="dxa"/>
            <w:noWrap/>
            <w:vAlign w:val="bottom"/>
            <w:hideMark/>
          </w:tcPr>
          <w:p w14:paraId="66D12484" w14:textId="3FD58F94" w:rsidR="000220D0" w:rsidRPr="0005675B" w:rsidRDefault="000220D0" w:rsidP="000220D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240.67</w:t>
            </w:r>
          </w:p>
        </w:tc>
      </w:tr>
      <w:tr w:rsidR="000220D0" w:rsidRPr="0005675B" w14:paraId="252C1FC0" w14:textId="77777777" w:rsidTr="000220D0">
        <w:trPr>
          <w:trHeight w:val="260"/>
          <w:jc w:val="center"/>
        </w:trPr>
        <w:tc>
          <w:tcPr>
            <w:cnfStyle w:val="001000000000" w:firstRow="0" w:lastRow="0" w:firstColumn="1" w:lastColumn="0" w:oddVBand="0" w:evenVBand="0" w:oddHBand="0" w:evenHBand="0" w:firstRowFirstColumn="0" w:firstRowLastColumn="0" w:lastRowFirstColumn="0" w:lastRowLastColumn="0"/>
            <w:tcW w:w="2268" w:type="dxa"/>
            <w:noWrap/>
            <w:vAlign w:val="bottom"/>
            <w:hideMark/>
          </w:tcPr>
          <w:p w14:paraId="4FC58F9A" w14:textId="21FFF6D0" w:rsidR="000220D0" w:rsidRPr="003A6CA9" w:rsidRDefault="000220D0" w:rsidP="000220D0">
            <w:pPr>
              <w:jc w:val="center"/>
              <w:rPr>
                <w:rFonts w:ascii="Aptos" w:eastAsia="Times New Roman" w:hAnsi="Aptos" w:cs="Calibri"/>
                <w:b w:val="0"/>
                <w:bCs w:val="0"/>
                <w:color w:val="000000"/>
                <w:kern w:val="0"/>
                <w:sz w:val="20"/>
                <w:szCs w:val="20"/>
                <w:lang w:eastAsia="en-GB"/>
                <w14:ligatures w14:val="none"/>
              </w:rPr>
            </w:pPr>
            <w:r w:rsidRPr="003A6CA9">
              <w:rPr>
                <w:rFonts w:ascii="Aptos" w:hAnsi="Aptos" w:cs="Calibri"/>
                <w:b w:val="0"/>
                <w:bCs w:val="0"/>
                <w:color w:val="000000"/>
                <w:sz w:val="20"/>
                <w:szCs w:val="20"/>
              </w:rPr>
              <w:t>Maranhão</w:t>
            </w:r>
          </w:p>
        </w:tc>
        <w:tc>
          <w:tcPr>
            <w:tcW w:w="960" w:type="dxa"/>
            <w:noWrap/>
            <w:vAlign w:val="bottom"/>
            <w:hideMark/>
          </w:tcPr>
          <w:p w14:paraId="6922E4AE" w14:textId="353AD170" w:rsidR="000220D0" w:rsidRPr="0005675B" w:rsidRDefault="000220D0" w:rsidP="000220D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yield</w:t>
            </w:r>
          </w:p>
        </w:tc>
        <w:tc>
          <w:tcPr>
            <w:tcW w:w="1020" w:type="dxa"/>
            <w:noWrap/>
            <w:vAlign w:val="bottom"/>
            <w:hideMark/>
          </w:tcPr>
          <w:p w14:paraId="7AABD56D" w14:textId="01B0FC9D" w:rsidR="000220D0" w:rsidRPr="0005675B" w:rsidRDefault="000220D0" w:rsidP="000220D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48.62</w:t>
            </w:r>
          </w:p>
        </w:tc>
        <w:tc>
          <w:tcPr>
            <w:tcW w:w="1400" w:type="dxa"/>
            <w:noWrap/>
            <w:vAlign w:val="bottom"/>
            <w:hideMark/>
          </w:tcPr>
          <w:p w14:paraId="2D27BE38" w14:textId="5C43061B" w:rsidR="000220D0" w:rsidRPr="0005675B" w:rsidRDefault="000220D0" w:rsidP="000220D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44.70</w:t>
            </w:r>
          </w:p>
        </w:tc>
        <w:tc>
          <w:tcPr>
            <w:tcW w:w="1140" w:type="dxa"/>
            <w:noWrap/>
            <w:vAlign w:val="bottom"/>
            <w:hideMark/>
          </w:tcPr>
          <w:p w14:paraId="68B93B7D" w14:textId="588296E8" w:rsidR="000220D0" w:rsidRPr="0005675B" w:rsidRDefault="000220D0" w:rsidP="000220D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52.54</w:t>
            </w:r>
          </w:p>
        </w:tc>
      </w:tr>
      <w:tr w:rsidR="000220D0" w:rsidRPr="0005675B" w14:paraId="3892EB2F" w14:textId="77777777" w:rsidTr="000220D0">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268" w:type="dxa"/>
            <w:noWrap/>
            <w:vAlign w:val="bottom"/>
            <w:hideMark/>
          </w:tcPr>
          <w:p w14:paraId="28CACD76" w14:textId="5FA45116" w:rsidR="000220D0" w:rsidRPr="003A6CA9" w:rsidRDefault="000220D0" w:rsidP="000220D0">
            <w:pPr>
              <w:jc w:val="center"/>
              <w:rPr>
                <w:rFonts w:ascii="Aptos" w:eastAsia="Times New Roman" w:hAnsi="Aptos" w:cs="Calibri"/>
                <w:b w:val="0"/>
                <w:bCs w:val="0"/>
                <w:color w:val="000000"/>
                <w:kern w:val="0"/>
                <w:sz w:val="20"/>
                <w:szCs w:val="20"/>
                <w:lang w:eastAsia="en-GB"/>
                <w14:ligatures w14:val="none"/>
              </w:rPr>
            </w:pPr>
            <w:r w:rsidRPr="003A6CA9">
              <w:rPr>
                <w:rFonts w:ascii="Aptos" w:hAnsi="Aptos" w:cs="Calibri"/>
                <w:b w:val="0"/>
                <w:bCs w:val="0"/>
                <w:color w:val="000000"/>
                <w:sz w:val="20"/>
                <w:szCs w:val="20"/>
              </w:rPr>
              <w:t>Mato Grosso</w:t>
            </w:r>
          </w:p>
        </w:tc>
        <w:tc>
          <w:tcPr>
            <w:tcW w:w="960" w:type="dxa"/>
            <w:noWrap/>
            <w:vAlign w:val="bottom"/>
            <w:hideMark/>
          </w:tcPr>
          <w:p w14:paraId="0738F100" w14:textId="2D4A3C30" w:rsidR="000220D0" w:rsidRPr="0005675B" w:rsidRDefault="000220D0" w:rsidP="000220D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cost</w:t>
            </w:r>
          </w:p>
        </w:tc>
        <w:tc>
          <w:tcPr>
            <w:tcW w:w="1020" w:type="dxa"/>
            <w:noWrap/>
            <w:vAlign w:val="bottom"/>
            <w:hideMark/>
          </w:tcPr>
          <w:p w14:paraId="2E824B44" w14:textId="0C62D2CC" w:rsidR="000220D0" w:rsidRPr="0005675B" w:rsidRDefault="000220D0" w:rsidP="000220D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192.86</w:t>
            </w:r>
          </w:p>
        </w:tc>
        <w:tc>
          <w:tcPr>
            <w:tcW w:w="1400" w:type="dxa"/>
            <w:noWrap/>
            <w:vAlign w:val="bottom"/>
            <w:hideMark/>
          </w:tcPr>
          <w:p w14:paraId="578E475E" w14:textId="42474456" w:rsidR="000220D0" w:rsidRPr="0005675B" w:rsidRDefault="000220D0" w:rsidP="000220D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191.59</w:t>
            </w:r>
          </w:p>
        </w:tc>
        <w:tc>
          <w:tcPr>
            <w:tcW w:w="1140" w:type="dxa"/>
            <w:noWrap/>
            <w:vAlign w:val="bottom"/>
            <w:hideMark/>
          </w:tcPr>
          <w:p w14:paraId="0854CEEC" w14:textId="2A43B16C" w:rsidR="000220D0" w:rsidRPr="0005675B" w:rsidRDefault="000220D0" w:rsidP="000220D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194.13</w:t>
            </w:r>
          </w:p>
        </w:tc>
      </w:tr>
      <w:tr w:rsidR="000220D0" w:rsidRPr="0005675B" w14:paraId="36FFA4DA" w14:textId="77777777" w:rsidTr="000220D0">
        <w:trPr>
          <w:trHeight w:val="260"/>
          <w:jc w:val="center"/>
        </w:trPr>
        <w:tc>
          <w:tcPr>
            <w:cnfStyle w:val="001000000000" w:firstRow="0" w:lastRow="0" w:firstColumn="1" w:lastColumn="0" w:oddVBand="0" w:evenVBand="0" w:oddHBand="0" w:evenHBand="0" w:firstRowFirstColumn="0" w:firstRowLastColumn="0" w:lastRowFirstColumn="0" w:lastRowLastColumn="0"/>
            <w:tcW w:w="2268" w:type="dxa"/>
            <w:noWrap/>
            <w:vAlign w:val="bottom"/>
            <w:hideMark/>
          </w:tcPr>
          <w:p w14:paraId="77552D6F" w14:textId="77C5969C" w:rsidR="000220D0" w:rsidRPr="003A6CA9" w:rsidRDefault="000220D0" w:rsidP="000220D0">
            <w:pPr>
              <w:jc w:val="center"/>
              <w:rPr>
                <w:rFonts w:ascii="Aptos" w:eastAsia="Times New Roman" w:hAnsi="Aptos" w:cs="Calibri"/>
                <w:b w:val="0"/>
                <w:bCs w:val="0"/>
                <w:color w:val="000000"/>
                <w:kern w:val="0"/>
                <w:sz w:val="20"/>
                <w:szCs w:val="20"/>
                <w:lang w:eastAsia="en-GB"/>
                <w14:ligatures w14:val="none"/>
              </w:rPr>
            </w:pPr>
            <w:r w:rsidRPr="003A6CA9">
              <w:rPr>
                <w:rFonts w:ascii="Aptos" w:hAnsi="Aptos" w:cs="Calibri"/>
                <w:b w:val="0"/>
                <w:bCs w:val="0"/>
                <w:color w:val="000000"/>
                <w:sz w:val="20"/>
                <w:szCs w:val="20"/>
              </w:rPr>
              <w:t>Mato Grosso</w:t>
            </w:r>
          </w:p>
        </w:tc>
        <w:tc>
          <w:tcPr>
            <w:tcW w:w="960" w:type="dxa"/>
            <w:noWrap/>
            <w:vAlign w:val="bottom"/>
            <w:hideMark/>
          </w:tcPr>
          <w:p w14:paraId="19BCE07B" w14:textId="32D950CA" w:rsidR="000220D0" w:rsidRPr="0005675B" w:rsidRDefault="000220D0" w:rsidP="000220D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yield</w:t>
            </w:r>
          </w:p>
        </w:tc>
        <w:tc>
          <w:tcPr>
            <w:tcW w:w="1020" w:type="dxa"/>
            <w:noWrap/>
            <w:vAlign w:val="bottom"/>
            <w:hideMark/>
          </w:tcPr>
          <w:p w14:paraId="7DFC8A8C" w14:textId="6D7C6A34" w:rsidR="000220D0" w:rsidRPr="0005675B" w:rsidRDefault="000220D0" w:rsidP="000220D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47.14</w:t>
            </w:r>
          </w:p>
        </w:tc>
        <w:tc>
          <w:tcPr>
            <w:tcW w:w="1400" w:type="dxa"/>
            <w:noWrap/>
            <w:vAlign w:val="bottom"/>
            <w:hideMark/>
          </w:tcPr>
          <w:p w14:paraId="5C5C2215" w14:textId="6CEB37E6" w:rsidR="000220D0" w:rsidRPr="0005675B" w:rsidRDefault="000220D0" w:rsidP="000220D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46.49</w:t>
            </w:r>
          </w:p>
        </w:tc>
        <w:tc>
          <w:tcPr>
            <w:tcW w:w="1140" w:type="dxa"/>
            <w:noWrap/>
            <w:vAlign w:val="bottom"/>
            <w:hideMark/>
          </w:tcPr>
          <w:p w14:paraId="559457F8" w14:textId="376D66EC" w:rsidR="000220D0" w:rsidRPr="0005675B" w:rsidRDefault="000220D0" w:rsidP="000220D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47.79</w:t>
            </w:r>
          </w:p>
        </w:tc>
      </w:tr>
      <w:tr w:rsidR="000220D0" w:rsidRPr="0005675B" w14:paraId="3D7E09CA" w14:textId="77777777" w:rsidTr="000220D0">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268" w:type="dxa"/>
            <w:noWrap/>
            <w:vAlign w:val="bottom"/>
            <w:hideMark/>
          </w:tcPr>
          <w:p w14:paraId="08641E48" w14:textId="07DB8061" w:rsidR="000220D0" w:rsidRPr="003A6CA9" w:rsidRDefault="000220D0" w:rsidP="000220D0">
            <w:pPr>
              <w:jc w:val="center"/>
              <w:rPr>
                <w:rFonts w:ascii="Aptos" w:eastAsia="Times New Roman" w:hAnsi="Aptos" w:cs="Calibri"/>
                <w:b w:val="0"/>
                <w:bCs w:val="0"/>
                <w:color w:val="000000"/>
                <w:kern w:val="0"/>
                <w:sz w:val="20"/>
                <w:szCs w:val="20"/>
                <w:lang w:eastAsia="en-GB"/>
                <w14:ligatures w14:val="none"/>
              </w:rPr>
            </w:pPr>
            <w:r w:rsidRPr="003A6CA9">
              <w:rPr>
                <w:rFonts w:ascii="Aptos" w:hAnsi="Aptos" w:cs="Calibri"/>
                <w:b w:val="0"/>
                <w:bCs w:val="0"/>
                <w:color w:val="000000"/>
                <w:sz w:val="20"/>
                <w:szCs w:val="20"/>
              </w:rPr>
              <w:t>Mato Grosso Do Sul</w:t>
            </w:r>
          </w:p>
        </w:tc>
        <w:tc>
          <w:tcPr>
            <w:tcW w:w="960" w:type="dxa"/>
            <w:noWrap/>
            <w:vAlign w:val="bottom"/>
            <w:hideMark/>
          </w:tcPr>
          <w:p w14:paraId="03EA76E4" w14:textId="376ACE8D" w:rsidR="000220D0" w:rsidRPr="0005675B" w:rsidRDefault="000220D0" w:rsidP="000220D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cost</w:t>
            </w:r>
          </w:p>
        </w:tc>
        <w:tc>
          <w:tcPr>
            <w:tcW w:w="1020" w:type="dxa"/>
            <w:noWrap/>
            <w:vAlign w:val="bottom"/>
            <w:hideMark/>
          </w:tcPr>
          <w:p w14:paraId="54DFCE49" w14:textId="0E8A3C49" w:rsidR="000220D0" w:rsidRPr="0005675B" w:rsidRDefault="000220D0" w:rsidP="000220D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204.69</w:t>
            </w:r>
          </w:p>
        </w:tc>
        <w:tc>
          <w:tcPr>
            <w:tcW w:w="1400" w:type="dxa"/>
            <w:noWrap/>
            <w:vAlign w:val="bottom"/>
            <w:hideMark/>
          </w:tcPr>
          <w:p w14:paraId="28F9AEF9" w14:textId="30662B9B" w:rsidR="000220D0" w:rsidRPr="0005675B" w:rsidRDefault="000220D0" w:rsidP="000220D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203.04</w:t>
            </w:r>
          </w:p>
        </w:tc>
        <w:tc>
          <w:tcPr>
            <w:tcW w:w="1140" w:type="dxa"/>
            <w:noWrap/>
            <w:vAlign w:val="bottom"/>
            <w:hideMark/>
          </w:tcPr>
          <w:p w14:paraId="0DBA41E1" w14:textId="525F2A08" w:rsidR="000220D0" w:rsidRPr="0005675B" w:rsidRDefault="000220D0" w:rsidP="000220D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206.34</w:t>
            </w:r>
          </w:p>
        </w:tc>
      </w:tr>
      <w:tr w:rsidR="000220D0" w:rsidRPr="0005675B" w14:paraId="451548DC" w14:textId="77777777" w:rsidTr="000220D0">
        <w:trPr>
          <w:trHeight w:val="260"/>
          <w:jc w:val="center"/>
        </w:trPr>
        <w:tc>
          <w:tcPr>
            <w:cnfStyle w:val="001000000000" w:firstRow="0" w:lastRow="0" w:firstColumn="1" w:lastColumn="0" w:oddVBand="0" w:evenVBand="0" w:oddHBand="0" w:evenHBand="0" w:firstRowFirstColumn="0" w:firstRowLastColumn="0" w:lastRowFirstColumn="0" w:lastRowLastColumn="0"/>
            <w:tcW w:w="2268" w:type="dxa"/>
            <w:noWrap/>
            <w:vAlign w:val="bottom"/>
            <w:hideMark/>
          </w:tcPr>
          <w:p w14:paraId="274A54F0" w14:textId="4AEAF9DE" w:rsidR="000220D0" w:rsidRPr="003A6CA9" w:rsidRDefault="000220D0" w:rsidP="000220D0">
            <w:pPr>
              <w:jc w:val="center"/>
              <w:rPr>
                <w:rFonts w:ascii="Aptos" w:eastAsia="Times New Roman" w:hAnsi="Aptos" w:cs="Calibri"/>
                <w:b w:val="0"/>
                <w:bCs w:val="0"/>
                <w:color w:val="000000"/>
                <w:kern w:val="0"/>
                <w:sz w:val="20"/>
                <w:szCs w:val="20"/>
                <w:lang w:eastAsia="en-GB"/>
                <w14:ligatures w14:val="none"/>
              </w:rPr>
            </w:pPr>
            <w:r w:rsidRPr="003A6CA9">
              <w:rPr>
                <w:rFonts w:ascii="Aptos" w:hAnsi="Aptos" w:cs="Calibri"/>
                <w:b w:val="0"/>
                <w:bCs w:val="0"/>
                <w:color w:val="000000"/>
                <w:sz w:val="20"/>
                <w:szCs w:val="20"/>
              </w:rPr>
              <w:t>Mato Grosso Do Sul</w:t>
            </w:r>
          </w:p>
        </w:tc>
        <w:tc>
          <w:tcPr>
            <w:tcW w:w="960" w:type="dxa"/>
            <w:noWrap/>
            <w:vAlign w:val="bottom"/>
            <w:hideMark/>
          </w:tcPr>
          <w:p w14:paraId="69A94AC2" w14:textId="66D4F203" w:rsidR="000220D0" w:rsidRPr="0005675B" w:rsidRDefault="000220D0" w:rsidP="000220D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yield</w:t>
            </w:r>
          </w:p>
        </w:tc>
        <w:tc>
          <w:tcPr>
            <w:tcW w:w="1020" w:type="dxa"/>
            <w:noWrap/>
            <w:vAlign w:val="bottom"/>
            <w:hideMark/>
          </w:tcPr>
          <w:p w14:paraId="1EA5F0EF" w14:textId="6BB5C849" w:rsidR="000220D0" w:rsidRPr="0005675B" w:rsidRDefault="000220D0" w:rsidP="000220D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58.96</w:t>
            </w:r>
          </w:p>
        </w:tc>
        <w:tc>
          <w:tcPr>
            <w:tcW w:w="1400" w:type="dxa"/>
            <w:noWrap/>
            <w:vAlign w:val="bottom"/>
            <w:hideMark/>
          </w:tcPr>
          <w:p w14:paraId="5F18CF59" w14:textId="7A0E7A4D" w:rsidR="000220D0" w:rsidRPr="0005675B" w:rsidRDefault="000220D0" w:rsidP="000220D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58.11</w:t>
            </w:r>
          </w:p>
        </w:tc>
        <w:tc>
          <w:tcPr>
            <w:tcW w:w="1140" w:type="dxa"/>
            <w:noWrap/>
            <w:vAlign w:val="bottom"/>
            <w:hideMark/>
          </w:tcPr>
          <w:p w14:paraId="55D770F5" w14:textId="23C11279" w:rsidR="000220D0" w:rsidRPr="0005675B" w:rsidRDefault="000220D0" w:rsidP="000220D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59.81</w:t>
            </w:r>
          </w:p>
        </w:tc>
      </w:tr>
      <w:tr w:rsidR="000220D0" w:rsidRPr="0005675B" w14:paraId="5FC097C1" w14:textId="77777777" w:rsidTr="000220D0">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268" w:type="dxa"/>
            <w:noWrap/>
            <w:vAlign w:val="bottom"/>
            <w:hideMark/>
          </w:tcPr>
          <w:p w14:paraId="5C99024D" w14:textId="15820379" w:rsidR="000220D0" w:rsidRPr="003A6CA9" w:rsidRDefault="000220D0" w:rsidP="000220D0">
            <w:pPr>
              <w:jc w:val="center"/>
              <w:rPr>
                <w:rFonts w:ascii="Aptos" w:eastAsia="Times New Roman" w:hAnsi="Aptos" w:cs="Calibri"/>
                <w:b w:val="0"/>
                <w:bCs w:val="0"/>
                <w:color w:val="000000"/>
                <w:kern w:val="0"/>
                <w:sz w:val="20"/>
                <w:szCs w:val="20"/>
                <w:lang w:eastAsia="en-GB"/>
                <w14:ligatures w14:val="none"/>
              </w:rPr>
            </w:pPr>
            <w:r w:rsidRPr="003A6CA9">
              <w:rPr>
                <w:rFonts w:ascii="Aptos" w:hAnsi="Aptos" w:cs="Calibri"/>
                <w:b w:val="0"/>
                <w:bCs w:val="0"/>
                <w:color w:val="000000"/>
                <w:sz w:val="20"/>
                <w:szCs w:val="20"/>
              </w:rPr>
              <w:t>Minas Gerais</w:t>
            </w:r>
          </w:p>
        </w:tc>
        <w:tc>
          <w:tcPr>
            <w:tcW w:w="960" w:type="dxa"/>
            <w:noWrap/>
            <w:vAlign w:val="bottom"/>
            <w:hideMark/>
          </w:tcPr>
          <w:p w14:paraId="74FA30C4" w14:textId="23E41F63" w:rsidR="000220D0" w:rsidRPr="0005675B" w:rsidRDefault="000220D0" w:rsidP="000220D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cost</w:t>
            </w:r>
          </w:p>
        </w:tc>
        <w:tc>
          <w:tcPr>
            <w:tcW w:w="1020" w:type="dxa"/>
            <w:noWrap/>
            <w:vAlign w:val="bottom"/>
            <w:hideMark/>
          </w:tcPr>
          <w:p w14:paraId="3D2DC584" w14:textId="48E349A4" w:rsidR="000220D0" w:rsidRPr="0005675B" w:rsidRDefault="000220D0" w:rsidP="000220D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204.28</w:t>
            </w:r>
          </w:p>
        </w:tc>
        <w:tc>
          <w:tcPr>
            <w:tcW w:w="1400" w:type="dxa"/>
            <w:noWrap/>
            <w:vAlign w:val="bottom"/>
            <w:hideMark/>
          </w:tcPr>
          <w:p w14:paraId="1FFF2B9A" w14:textId="01B04D5E" w:rsidR="000220D0" w:rsidRPr="0005675B" w:rsidRDefault="000220D0" w:rsidP="000220D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203.15</w:t>
            </w:r>
          </w:p>
        </w:tc>
        <w:tc>
          <w:tcPr>
            <w:tcW w:w="1140" w:type="dxa"/>
            <w:noWrap/>
            <w:vAlign w:val="bottom"/>
            <w:hideMark/>
          </w:tcPr>
          <w:p w14:paraId="1B3873D6" w14:textId="5DECBAEF" w:rsidR="000220D0" w:rsidRPr="0005675B" w:rsidRDefault="000220D0" w:rsidP="000220D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205.41</w:t>
            </w:r>
          </w:p>
        </w:tc>
      </w:tr>
      <w:tr w:rsidR="000220D0" w:rsidRPr="0005675B" w14:paraId="7E6E21B3" w14:textId="77777777" w:rsidTr="000220D0">
        <w:trPr>
          <w:trHeight w:val="260"/>
          <w:jc w:val="center"/>
        </w:trPr>
        <w:tc>
          <w:tcPr>
            <w:cnfStyle w:val="001000000000" w:firstRow="0" w:lastRow="0" w:firstColumn="1" w:lastColumn="0" w:oddVBand="0" w:evenVBand="0" w:oddHBand="0" w:evenHBand="0" w:firstRowFirstColumn="0" w:firstRowLastColumn="0" w:lastRowFirstColumn="0" w:lastRowLastColumn="0"/>
            <w:tcW w:w="2268" w:type="dxa"/>
            <w:noWrap/>
            <w:vAlign w:val="bottom"/>
            <w:hideMark/>
          </w:tcPr>
          <w:p w14:paraId="7A8ABE19" w14:textId="027ED20F" w:rsidR="000220D0" w:rsidRPr="003A6CA9" w:rsidRDefault="000220D0" w:rsidP="000220D0">
            <w:pPr>
              <w:jc w:val="center"/>
              <w:rPr>
                <w:rFonts w:ascii="Aptos" w:eastAsia="Times New Roman" w:hAnsi="Aptos" w:cs="Calibri"/>
                <w:b w:val="0"/>
                <w:bCs w:val="0"/>
                <w:color w:val="000000"/>
                <w:kern w:val="0"/>
                <w:sz w:val="20"/>
                <w:szCs w:val="20"/>
                <w:lang w:eastAsia="en-GB"/>
                <w14:ligatures w14:val="none"/>
              </w:rPr>
            </w:pPr>
            <w:r w:rsidRPr="003A6CA9">
              <w:rPr>
                <w:rFonts w:ascii="Aptos" w:hAnsi="Aptos" w:cs="Calibri"/>
                <w:b w:val="0"/>
                <w:bCs w:val="0"/>
                <w:color w:val="000000"/>
                <w:sz w:val="20"/>
                <w:szCs w:val="20"/>
              </w:rPr>
              <w:t>Minas Gerais</w:t>
            </w:r>
          </w:p>
        </w:tc>
        <w:tc>
          <w:tcPr>
            <w:tcW w:w="960" w:type="dxa"/>
            <w:noWrap/>
            <w:vAlign w:val="bottom"/>
            <w:hideMark/>
          </w:tcPr>
          <w:p w14:paraId="37ABB001" w14:textId="6BD3C585" w:rsidR="000220D0" w:rsidRPr="0005675B" w:rsidRDefault="000220D0" w:rsidP="000220D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yield</w:t>
            </w:r>
          </w:p>
        </w:tc>
        <w:tc>
          <w:tcPr>
            <w:tcW w:w="1020" w:type="dxa"/>
            <w:noWrap/>
            <w:vAlign w:val="bottom"/>
            <w:hideMark/>
          </w:tcPr>
          <w:p w14:paraId="508BF7FF" w14:textId="546CF6B8" w:rsidR="000220D0" w:rsidRPr="0005675B" w:rsidRDefault="000220D0" w:rsidP="000220D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43.79</w:t>
            </w:r>
          </w:p>
        </w:tc>
        <w:tc>
          <w:tcPr>
            <w:tcW w:w="1400" w:type="dxa"/>
            <w:noWrap/>
            <w:vAlign w:val="bottom"/>
            <w:hideMark/>
          </w:tcPr>
          <w:p w14:paraId="24B5BF1D" w14:textId="40E66C45" w:rsidR="000220D0" w:rsidRPr="0005675B" w:rsidRDefault="000220D0" w:rsidP="000220D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43.10</w:t>
            </w:r>
          </w:p>
        </w:tc>
        <w:tc>
          <w:tcPr>
            <w:tcW w:w="1140" w:type="dxa"/>
            <w:noWrap/>
            <w:vAlign w:val="bottom"/>
            <w:hideMark/>
          </w:tcPr>
          <w:p w14:paraId="6B718E54" w14:textId="0812AC99" w:rsidR="000220D0" w:rsidRPr="0005675B" w:rsidRDefault="000220D0" w:rsidP="000220D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44.48</w:t>
            </w:r>
          </w:p>
        </w:tc>
      </w:tr>
      <w:tr w:rsidR="000220D0" w:rsidRPr="0005675B" w14:paraId="3E3C46D3" w14:textId="77777777" w:rsidTr="000220D0">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268" w:type="dxa"/>
            <w:noWrap/>
            <w:vAlign w:val="bottom"/>
            <w:hideMark/>
          </w:tcPr>
          <w:p w14:paraId="620FD386" w14:textId="3538125D" w:rsidR="000220D0" w:rsidRPr="003A6CA9" w:rsidRDefault="000220D0" w:rsidP="000220D0">
            <w:pPr>
              <w:jc w:val="center"/>
              <w:rPr>
                <w:rFonts w:ascii="Aptos" w:eastAsia="Times New Roman" w:hAnsi="Aptos" w:cs="Calibri"/>
                <w:b w:val="0"/>
                <w:bCs w:val="0"/>
                <w:color w:val="000000"/>
                <w:kern w:val="0"/>
                <w:sz w:val="20"/>
                <w:szCs w:val="20"/>
                <w:lang w:eastAsia="en-GB"/>
                <w14:ligatures w14:val="none"/>
              </w:rPr>
            </w:pPr>
            <w:r w:rsidRPr="003A6CA9">
              <w:rPr>
                <w:rFonts w:ascii="Aptos" w:hAnsi="Aptos" w:cs="Calibri"/>
                <w:b w:val="0"/>
                <w:bCs w:val="0"/>
                <w:color w:val="000000"/>
                <w:sz w:val="20"/>
                <w:szCs w:val="20"/>
              </w:rPr>
              <w:t>Pará</w:t>
            </w:r>
          </w:p>
        </w:tc>
        <w:tc>
          <w:tcPr>
            <w:tcW w:w="960" w:type="dxa"/>
            <w:noWrap/>
            <w:vAlign w:val="bottom"/>
            <w:hideMark/>
          </w:tcPr>
          <w:p w14:paraId="1432B37E" w14:textId="07655110" w:rsidR="000220D0" w:rsidRPr="0005675B" w:rsidRDefault="000220D0" w:rsidP="000220D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cost</w:t>
            </w:r>
          </w:p>
        </w:tc>
        <w:tc>
          <w:tcPr>
            <w:tcW w:w="1020" w:type="dxa"/>
            <w:noWrap/>
            <w:vAlign w:val="bottom"/>
            <w:hideMark/>
          </w:tcPr>
          <w:p w14:paraId="781CAD41" w14:textId="385B8E47" w:rsidR="000220D0" w:rsidRPr="0005675B" w:rsidRDefault="000220D0" w:rsidP="000220D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253.97</w:t>
            </w:r>
          </w:p>
        </w:tc>
        <w:tc>
          <w:tcPr>
            <w:tcW w:w="1400" w:type="dxa"/>
            <w:noWrap/>
            <w:vAlign w:val="bottom"/>
            <w:hideMark/>
          </w:tcPr>
          <w:p w14:paraId="7F2F9790" w14:textId="399AB806" w:rsidR="000220D0" w:rsidRPr="0005675B" w:rsidRDefault="000220D0" w:rsidP="000220D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250.71</w:t>
            </w:r>
          </w:p>
        </w:tc>
        <w:tc>
          <w:tcPr>
            <w:tcW w:w="1140" w:type="dxa"/>
            <w:noWrap/>
            <w:vAlign w:val="bottom"/>
            <w:hideMark/>
          </w:tcPr>
          <w:p w14:paraId="5FD66061" w14:textId="347A5987" w:rsidR="000220D0" w:rsidRPr="0005675B" w:rsidRDefault="000220D0" w:rsidP="000220D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257.23</w:t>
            </w:r>
          </w:p>
        </w:tc>
      </w:tr>
      <w:tr w:rsidR="000220D0" w:rsidRPr="0005675B" w14:paraId="09A76B50" w14:textId="77777777" w:rsidTr="000220D0">
        <w:trPr>
          <w:trHeight w:val="260"/>
          <w:jc w:val="center"/>
        </w:trPr>
        <w:tc>
          <w:tcPr>
            <w:cnfStyle w:val="001000000000" w:firstRow="0" w:lastRow="0" w:firstColumn="1" w:lastColumn="0" w:oddVBand="0" w:evenVBand="0" w:oddHBand="0" w:evenHBand="0" w:firstRowFirstColumn="0" w:firstRowLastColumn="0" w:lastRowFirstColumn="0" w:lastRowLastColumn="0"/>
            <w:tcW w:w="2268" w:type="dxa"/>
            <w:noWrap/>
            <w:vAlign w:val="bottom"/>
            <w:hideMark/>
          </w:tcPr>
          <w:p w14:paraId="2975E179" w14:textId="49FC024C" w:rsidR="000220D0" w:rsidRPr="003A6CA9" w:rsidRDefault="000220D0" w:rsidP="000220D0">
            <w:pPr>
              <w:jc w:val="center"/>
              <w:rPr>
                <w:rFonts w:ascii="Aptos" w:eastAsia="Times New Roman" w:hAnsi="Aptos" w:cs="Calibri"/>
                <w:b w:val="0"/>
                <w:bCs w:val="0"/>
                <w:color w:val="000000"/>
                <w:kern w:val="0"/>
                <w:sz w:val="20"/>
                <w:szCs w:val="20"/>
                <w:lang w:eastAsia="en-GB"/>
                <w14:ligatures w14:val="none"/>
              </w:rPr>
            </w:pPr>
            <w:r w:rsidRPr="003A6CA9">
              <w:rPr>
                <w:rFonts w:ascii="Aptos" w:hAnsi="Aptos" w:cs="Calibri"/>
                <w:b w:val="0"/>
                <w:bCs w:val="0"/>
                <w:color w:val="000000"/>
                <w:sz w:val="20"/>
                <w:szCs w:val="20"/>
              </w:rPr>
              <w:t>Pará</w:t>
            </w:r>
          </w:p>
        </w:tc>
        <w:tc>
          <w:tcPr>
            <w:tcW w:w="960" w:type="dxa"/>
            <w:noWrap/>
            <w:vAlign w:val="bottom"/>
            <w:hideMark/>
          </w:tcPr>
          <w:p w14:paraId="2A57AA1D" w14:textId="2D2C95A4" w:rsidR="000220D0" w:rsidRPr="0005675B" w:rsidRDefault="000220D0" w:rsidP="000220D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yield</w:t>
            </w:r>
          </w:p>
        </w:tc>
        <w:tc>
          <w:tcPr>
            <w:tcW w:w="1020" w:type="dxa"/>
            <w:noWrap/>
            <w:vAlign w:val="bottom"/>
            <w:hideMark/>
          </w:tcPr>
          <w:p w14:paraId="0025D522" w14:textId="1294F42B" w:rsidR="000220D0" w:rsidRPr="0005675B" w:rsidRDefault="000220D0" w:rsidP="000220D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53.69</w:t>
            </w:r>
          </w:p>
        </w:tc>
        <w:tc>
          <w:tcPr>
            <w:tcW w:w="1400" w:type="dxa"/>
            <w:noWrap/>
            <w:vAlign w:val="bottom"/>
            <w:hideMark/>
          </w:tcPr>
          <w:p w14:paraId="466E2E7A" w14:textId="6394D603" w:rsidR="000220D0" w:rsidRPr="0005675B" w:rsidRDefault="000220D0" w:rsidP="000220D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52.18</w:t>
            </w:r>
          </w:p>
        </w:tc>
        <w:tc>
          <w:tcPr>
            <w:tcW w:w="1140" w:type="dxa"/>
            <w:noWrap/>
            <w:vAlign w:val="bottom"/>
            <w:hideMark/>
          </w:tcPr>
          <w:p w14:paraId="0BF9CFD9" w14:textId="255210AF" w:rsidR="000220D0" w:rsidRPr="0005675B" w:rsidRDefault="000220D0" w:rsidP="000220D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55.20</w:t>
            </w:r>
          </w:p>
        </w:tc>
      </w:tr>
      <w:tr w:rsidR="000220D0" w:rsidRPr="0005675B" w14:paraId="5BB40329" w14:textId="77777777" w:rsidTr="000220D0">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268" w:type="dxa"/>
            <w:noWrap/>
            <w:vAlign w:val="bottom"/>
            <w:hideMark/>
          </w:tcPr>
          <w:p w14:paraId="76CC875E" w14:textId="1750F757" w:rsidR="000220D0" w:rsidRPr="003A6CA9" w:rsidRDefault="000220D0" w:rsidP="000220D0">
            <w:pPr>
              <w:jc w:val="center"/>
              <w:rPr>
                <w:rFonts w:ascii="Aptos" w:eastAsia="Times New Roman" w:hAnsi="Aptos" w:cs="Calibri"/>
                <w:b w:val="0"/>
                <w:bCs w:val="0"/>
                <w:color w:val="000000"/>
                <w:kern w:val="0"/>
                <w:sz w:val="20"/>
                <w:szCs w:val="20"/>
                <w:lang w:eastAsia="en-GB"/>
                <w14:ligatures w14:val="none"/>
              </w:rPr>
            </w:pPr>
            <w:r w:rsidRPr="003A6CA9">
              <w:rPr>
                <w:rFonts w:ascii="Aptos" w:hAnsi="Aptos" w:cs="Calibri"/>
                <w:b w:val="0"/>
                <w:bCs w:val="0"/>
                <w:color w:val="000000"/>
                <w:sz w:val="20"/>
                <w:szCs w:val="20"/>
              </w:rPr>
              <w:t>Paraíba</w:t>
            </w:r>
          </w:p>
        </w:tc>
        <w:tc>
          <w:tcPr>
            <w:tcW w:w="960" w:type="dxa"/>
            <w:noWrap/>
            <w:vAlign w:val="bottom"/>
            <w:hideMark/>
          </w:tcPr>
          <w:p w14:paraId="1F7220E7" w14:textId="23E3099D" w:rsidR="000220D0" w:rsidRPr="0005675B" w:rsidRDefault="000220D0" w:rsidP="000220D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cost</w:t>
            </w:r>
          </w:p>
        </w:tc>
        <w:tc>
          <w:tcPr>
            <w:tcW w:w="1020" w:type="dxa"/>
            <w:noWrap/>
            <w:vAlign w:val="bottom"/>
            <w:hideMark/>
          </w:tcPr>
          <w:p w14:paraId="78650C37" w14:textId="5B4DC4EE" w:rsidR="000220D0" w:rsidRPr="0005675B" w:rsidRDefault="000220D0" w:rsidP="000220D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203.07</w:t>
            </w:r>
          </w:p>
        </w:tc>
        <w:tc>
          <w:tcPr>
            <w:tcW w:w="1400" w:type="dxa"/>
            <w:noWrap/>
            <w:vAlign w:val="bottom"/>
            <w:hideMark/>
          </w:tcPr>
          <w:p w14:paraId="57929310" w14:textId="087D0C55" w:rsidR="000220D0" w:rsidRPr="0005675B" w:rsidRDefault="000220D0" w:rsidP="000220D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177.88</w:t>
            </w:r>
          </w:p>
        </w:tc>
        <w:tc>
          <w:tcPr>
            <w:tcW w:w="1140" w:type="dxa"/>
            <w:noWrap/>
            <w:vAlign w:val="bottom"/>
            <w:hideMark/>
          </w:tcPr>
          <w:p w14:paraId="2D20BB09" w14:textId="2BEB3ABF" w:rsidR="000220D0" w:rsidRPr="0005675B" w:rsidRDefault="000220D0" w:rsidP="000220D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228.26</w:t>
            </w:r>
          </w:p>
        </w:tc>
      </w:tr>
      <w:tr w:rsidR="000220D0" w:rsidRPr="0005675B" w14:paraId="7438DCED" w14:textId="77777777" w:rsidTr="000220D0">
        <w:trPr>
          <w:trHeight w:val="260"/>
          <w:jc w:val="center"/>
        </w:trPr>
        <w:tc>
          <w:tcPr>
            <w:cnfStyle w:val="001000000000" w:firstRow="0" w:lastRow="0" w:firstColumn="1" w:lastColumn="0" w:oddVBand="0" w:evenVBand="0" w:oddHBand="0" w:evenHBand="0" w:firstRowFirstColumn="0" w:firstRowLastColumn="0" w:lastRowFirstColumn="0" w:lastRowLastColumn="0"/>
            <w:tcW w:w="2268" w:type="dxa"/>
            <w:noWrap/>
            <w:vAlign w:val="bottom"/>
            <w:hideMark/>
          </w:tcPr>
          <w:p w14:paraId="23EA3342" w14:textId="0B0C93DA" w:rsidR="000220D0" w:rsidRPr="003A6CA9" w:rsidRDefault="000220D0" w:rsidP="000220D0">
            <w:pPr>
              <w:jc w:val="center"/>
              <w:rPr>
                <w:rFonts w:ascii="Aptos" w:eastAsia="Times New Roman" w:hAnsi="Aptos" w:cs="Calibri"/>
                <w:b w:val="0"/>
                <w:bCs w:val="0"/>
                <w:color w:val="000000"/>
                <w:kern w:val="0"/>
                <w:sz w:val="20"/>
                <w:szCs w:val="20"/>
                <w:lang w:eastAsia="en-GB"/>
                <w14:ligatures w14:val="none"/>
              </w:rPr>
            </w:pPr>
            <w:r w:rsidRPr="003A6CA9">
              <w:rPr>
                <w:rFonts w:ascii="Aptos" w:hAnsi="Aptos" w:cs="Calibri"/>
                <w:b w:val="0"/>
                <w:bCs w:val="0"/>
                <w:color w:val="000000"/>
                <w:sz w:val="20"/>
                <w:szCs w:val="20"/>
              </w:rPr>
              <w:t>Paraíba</w:t>
            </w:r>
          </w:p>
        </w:tc>
        <w:tc>
          <w:tcPr>
            <w:tcW w:w="960" w:type="dxa"/>
            <w:noWrap/>
            <w:vAlign w:val="bottom"/>
            <w:hideMark/>
          </w:tcPr>
          <w:p w14:paraId="6ABD2C03" w14:textId="592A2716" w:rsidR="000220D0" w:rsidRPr="0005675B" w:rsidRDefault="000220D0" w:rsidP="000220D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yield</w:t>
            </w:r>
          </w:p>
        </w:tc>
        <w:tc>
          <w:tcPr>
            <w:tcW w:w="1020" w:type="dxa"/>
            <w:noWrap/>
            <w:vAlign w:val="bottom"/>
            <w:hideMark/>
          </w:tcPr>
          <w:p w14:paraId="764E6267" w14:textId="10FE3AF3" w:rsidR="000220D0" w:rsidRPr="0005675B" w:rsidRDefault="000220D0" w:rsidP="000220D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12.71</w:t>
            </w:r>
          </w:p>
        </w:tc>
        <w:tc>
          <w:tcPr>
            <w:tcW w:w="1400" w:type="dxa"/>
            <w:noWrap/>
            <w:vAlign w:val="bottom"/>
            <w:hideMark/>
          </w:tcPr>
          <w:p w14:paraId="3821F82A" w14:textId="14721427" w:rsidR="000220D0" w:rsidRPr="0005675B" w:rsidRDefault="000220D0" w:rsidP="000220D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7.62</w:t>
            </w:r>
          </w:p>
        </w:tc>
        <w:tc>
          <w:tcPr>
            <w:tcW w:w="1140" w:type="dxa"/>
            <w:noWrap/>
            <w:vAlign w:val="bottom"/>
            <w:hideMark/>
          </w:tcPr>
          <w:p w14:paraId="0A3A28B8" w14:textId="6297CD19" w:rsidR="000220D0" w:rsidRPr="0005675B" w:rsidRDefault="000220D0" w:rsidP="000220D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17.80</w:t>
            </w:r>
          </w:p>
        </w:tc>
      </w:tr>
      <w:tr w:rsidR="000220D0" w:rsidRPr="0005675B" w14:paraId="7D0B03E3" w14:textId="77777777" w:rsidTr="000220D0">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268" w:type="dxa"/>
            <w:noWrap/>
            <w:vAlign w:val="bottom"/>
            <w:hideMark/>
          </w:tcPr>
          <w:p w14:paraId="4480783E" w14:textId="5572DADA" w:rsidR="000220D0" w:rsidRPr="003A6CA9" w:rsidRDefault="000220D0" w:rsidP="000220D0">
            <w:pPr>
              <w:jc w:val="center"/>
              <w:rPr>
                <w:rFonts w:ascii="Aptos" w:eastAsia="Times New Roman" w:hAnsi="Aptos" w:cs="Calibri"/>
                <w:b w:val="0"/>
                <w:bCs w:val="0"/>
                <w:color w:val="000000"/>
                <w:kern w:val="0"/>
                <w:sz w:val="20"/>
                <w:szCs w:val="20"/>
                <w:lang w:eastAsia="en-GB"/>
                <w14:ligatures w14:val="none"/>
              </w:rPr>
            </w:pPr>
            <w:r w:rsidRPr="003A6CA9">
              <w:rPr>
                <w:rFonts w:ascii="Aptos" w:hAnsi="Aptos" w:cs="Calibri"/>
                <w:b w:val="0"/>
                <w:bCs w:val="0"/>
                <w:color w:val="000000"/>
                <w:sz w:val="20"/>
                <w:szCs w:val="20"/>
              </w:rPr>
              <w:t>Paraná</w:t>
            </w:r>
          </w:p>
        </w:tc>
        <w:tc>
          <w:tcPr>
            <w:tcW w:w="960" w:type="dxa"/>
            <w:noWrap/>
            <w:vAlign w:val="bottom"/>
            <w:hideMark/>
          </w:tcPr>
          <w:p w14:paraId="0F91BE04" w14:textId="487F7762" w:rsidR="000220D0" w:rsidRPr="0005675B" w:rsidRDefault="000220D0" w:rsidP="000220D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cost</w:t>
            </w:r>
          </w:p>
        </w:tc>
        <w:tc>
          <w:tcPr>
            <w:tcW w:w="1020" w:type="dxa"/>
            <w:noWrap/>
            <w:vAlign w:val="bottom"/>
            <w:hideMark/>
          </w:tcPr>
          <w:p w14:paraId="65334A9C" w14:textId="5C359FC5" w:rsidR="000220D0" w:rsidRPr="0005675B" w:rsidRDefault="000220D0" w:rsidP="000220D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197.28</w:t>
            </w:r>
          </w:p>
        </w:tc>
        <w:tc>
          <w:tcPr>
            <w:tcW w:w="1400" w:type="dxa"/>
            <w:noWrap/>
            <w:vAlign w:val="bottom"/>
            <w:hideMark/>
          </w:tcPr>
          <w:p w14:paraId="7BC2347C" w14:textId="64761AA7" w:rsidR="000220D0" w:rsidRPr="0005675B" w:rsidRDefault="000220D0" w:rsidP="000220D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195.02</w:t>
            </w:r>
          </w:p>
        </w:tc>
        <w:tc>
          <w:tcPr>
            <w:tcW w:w="1140" w:type="dxa"/>
            <w:noWrap/>
            <w:vAlign w:val="bottom"/>
            <w:hideMark/>
          </w:tcPr>
          <w:p w14:paraId="646475E0" w14:textId="13702477" w:rsidR="000220D0" w:rsidRPr="0005675B" w:rsidRDefault="000220D0" w:rsidP="000220D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199.54</w:t>
            </w:r>
          </w:p>
        </w:tc>
      </w:tr>
      <w:tr w:rsidR="000220D0" w:rsidRPr="0005675B" w14:paraId="4CB52189" w14:textId="77777777" w:rsidTr="000220D0">
        <w:trPr>
          <w:trHeight w:val="260"/>
          <w:jc w:val="center"/>
        </w:trPr>
        <w:tc>
          <w:tcPr>
            <w:cnfStyle w:val="001000000000" w:firstRow="0" w:lastRow="0" w:firstColumn="1" w:lastColumn="0" w:oddVBand="0" w:evenVBand="0" w:oddHBand="0" w:evenHBand="0" w:firstRowFirstColumn="0" w:firstRowLastColumn="0" w:lastRowFirstColumn="0" w:lastRowLastColumn="0"/>
            <w:tcW w:w="2268" w:type="dxa"/>
            <w:noWrap/>
            <w:vAlign w:val="bottom"/>
            <w:hideMark/>
          </w:tcPr>
          <w:p w14:paraId="2AA122C9" w14:textId="67999737" w:rsidR="000220D0" w:rsidRPr="003A6CA9" w:rsidRDefault="000220D0" w:rsidP="000220D0">
            <w:pPr>
              <w:jc w:val="center"/>
              <w:rPr>
                <w:rFonts w:ascii="Aptos" w:eastAsia="Times New Roman" w:hAnsi="Aptos" w:cs="Calibri"/>
                <w:b w:val="0"/>
                <w:bCs w:val="0"/>
                <w:color w:val="000000"/>
                <w:kern w:val="0"/>
                <w:sz w:val="20"/>
                <w:szCs w:val="20"/>
                <w:lang w:eastAsia="en-GB"/>
                <w14:ligatures w14:val="none"/>
              </w:rPr>
            </w:pPr>
            <w:r w:rsidRPr="003A6CA9">
              <w:rPr>
                <w:rFonts w:ascii="Aptos" w:hAnsi="Aptos" w:cs="Calibri"/>
                <w:b w:val="0"/>
                <w:bCs w:val="0"/>
                <w:color w:val="000000"/>
                <w:sz w:val="20"/>
                <w:szCs w:val="20"/>
              </w:rPr>
              <w:t>Paraná</w:t>
            </w:r>
          </w:p>
        </w:tc>
        <w:tc>
          <w:tcPr>
            <w:tcW w:w="960" w:type="dxa"/>
            <w:noWrap/>
            <w:vAlign w:val="bottom"/>
            <w:hideMark/>
          </w:tcPr>
          <w:p w14:paraId="02C054A9" w14:textId="7D1ABCDD" w:rsidR="000220D0" w:rsidRPr="0005675B" w:rsidRDefault="000220D0" w:rsidP="000220D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yield</w:t>
            </w:r>
          </w:p>
        </w:tc>
        <w:tc>
          <w:tcPr>
            <w:tcW w:w="1020" w:type="dxa"/>
            <w:noWrap/>
            <w:vAlign w:val="bottom"/>
            <w:hideMark/>
          </w:tcPr>
          <w:p w14:paraId="277C907E" w14:textId="0F6B8029" w:rsidR="000220D0" w:rsidRPr="0005675B" w:rsidRDefault="000220D0" w:rsidP="000220D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52.79</w:t>
            </w:r>
          </w:p>
        </w:tc>
        <w:tc>
          <w:tcPr>
            <w:tcW w:w="1400" w:type="dxa"/>
            <w:noWrap/>
            <w:vAlign w:val="bottom"/>
            <w:hideMark/>
          </w:tcPr>
          <w:p w14:paraId="70BFF4FC" w14:textId="343EB974" w:rsidR="000220D0" w:rsidRPr="0005675B" w:rsidRDefault="000220D0" w:rsidP="000220D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51.05</w:t>
            </w:r>
          </w:p>
        </w:tc>
        <w:tc>
          <w:tcPr>
            <w:tcW w:w="1140" w:type="dxa"/>
            <w:noWrap/>
            <w:vAlign w:val="bottom"/>
            <w:hideMark/>
          </w:tcPr>
          <w:p w14:paraId="0F2655C5" w14:textId="4CBB7F3E" w:rsidR="000220D0" w:rsidRPr="0005675B" w:rsidRDefault="000220D0" w:rsidP="000220D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54.53</w:t>
            </w:r>
          </w:p>
        </w:tc>
      </w:tr>
      <w:tr w:rsidR="000220D0" w:rsidRPr="0005675B" w14:paraId="2E7D92C4" w14:textId="77777777" w:rsidTr="000220D0">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268" w:type="dxa"/>
            <w:noWrap/>
            <w:vAlign w:val="bottom"/>
            <w:hideMark/>
          </w:tcPr>
          <w:p w14:paraId="5BD45CBC" w14:textId="2A4097E5" w:rsidR="000220D0" w:rsidRPr="003A6CA9" w:rsidRDefault="000220D0" w:rsidP="000220D0">
            <w:pPr>
              <w:jc w:val="center"/>
              <w:rPr>
                <w:rFonts w:ascii="Aptos" w:eastAsia="Times New Roman" w:hAnsi="Aptos" w:cs="Calibri"/>
                <w:b w:val="0"/>
                <w:bCs w:val="0"/>
                <w:color w:val="000000"/>
                <w:kern w:val="0"/>
                <w:sz w:val="20"/>
                <w:szCs w:val="20"/>
                <w:lang w:eastAsia="en-GB"/>
                <w14:ligatures w14:val="none"/>
              </w:rPr>
            </w:pPr>
            <w:r w:rsidRPr="003A6CA9">
              <w:rPr>
                <w:rFonts w:ascii="Aptos" w:hAnsi="Aptos" w:cs="Calibri"/>
                <w:b w:val="0"/>
                <w:bCs w:val="0"/>
                <w:color w:val="000000"/>
                <w:sz w:val="20"/>
                <w:szCs w:val="20"/>
              </w:rPr>
              <w:t>Pernambuco</w:t>
            </w:r>
          </w:p>
        </w:tc>
        <w:tc>
          <w:tcPr>
            <w:tcW w:w="960" w:type="dxa"/>
            <w:noWrap/>
            <w:vAlign w:val="bottom"/>
            <w:hideMark/>
          </w:tcPr>
          <w:p w14:paraId="7CF67B93" w14:textId="003D18A9" w:rsidR="000220D0" w:rsidRPr="0005675B" w:rsidRDefault="000220D0" w:rsidP="000220D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cost</w:t>
            </w:r>
          </w:p>
        </w:tc>
        <w:tc>
          <w:tcPr>
            <w:tcW w:w="1020" w:type="dxa"/>
            <w:noWrap/>
            <w:vAlign w:val="bottom"/>
            <w:hideMark/>
          </w:tcPr>
          <w:p w14:paraId="16EFAA18" w14:textId="4FC8E03A" w:rsidR="000220D0" w:rsidRPr="0005675B" w:rsidRDefault="000220D0" w:rsidP="000220D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192.97</w:t>
            </w:r>
          </w:p>
        </w:tc>
        <w:tc>
          <w:tcPr>
            <w:tcW w:w="1400" w:type="dxa"/>
            <w:noWrap/>
            <w:vAlign w:val="bottom"/>
            <w:hideMark/>
          </w:tcPr>
          <w:p w14:paraId="035D1F95" w14:textId="387108FA" w:rsidR="000220D0" w:rsidRPr="0005675B" w:rsidRDefault="000220D0" w:rsidP="000220D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182.00</w:t>
            </w:r>
          </w:p>
        </w:tc>
        <w:tc>
          <w:tcPr>
            <w:tcW w:w="1140" w:type="dxa"/>
            <w:noWrap/>
            <w:vAlign w:val="bottom"/>
            <w:hideMark/>
          </w:tcPr>
          <w:p w14:paraId="269147D6" w14:textId="31788B9C" w:rsidR="000220D0" w:rsidRPr="0005675B" w:rsidRDefault="000220D0" w:rsidP="000220D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203.93</w:t>
            </w:r>
          </w:p>
        </w:tc>
      </w:tr>
      <w:tr w:rsidR="000220D0" w:rsidRPr="0005675B" w14:paraId="211D22F8" w14:textId="77777777" w:rsidTr="000220D0">
        <w:trPr>
          <w:trHeight w:val="260"/>
          <w:jc w:val="center"/>
        </w:trPr>
        <w:tc>
          <w:tcPr>
            <w:cnfStyle w:val="001000000000" w:firstRow="0" w:lastRow="0" w:firstColumn="1" w:lastColumn="0" w:oddVBand="0" w:evenVBand="0" w:oddHBand="0" w:evenHBand="0" w:firstRowFirstColumn="0" w:firstRowLastColumn="0" w:lastRowFirstColumn="0" w:lastRowLastColumn="0"/>
            <w:tcW w:w="2268" w:type="dxa"/>
            <w:noWrap/>
            <w:vAlign w:val="bottom"/>
            <w:hideMark/>
          </w:tcPr>
          <w:p w14:paraId="2274419F" w14:textId="6035AA46" w:rsidR="000220D0" w:rsidRPr="003A6CA9" w:rsidRDefault="000220D0" w:rsidP="000220D0">
            <w:pPr>
              <w:jc w:val="center"/>
              <w:rPr>
                <w:rFonts w:ascii="Aptos" w:eastAsia="Times New Roman" w:hAnsi="Aptos" w:cs="Calibri"/>
                <w:b w:val="0"/>
                <w:bCs w:val="0"/>
                <w:color w:val="000000"/>
                <w:kern w:val="0"/>
                <w:sz w:val="20"/>
                <w:szCs w:val="20"/>
                <w:lang w:eastAsia="en-GB"/>
                <w14:ligatures w14:val="none"/>
              </w:rPr>
            </w:pPr>
            <w:r w:rsidRPr="003A6CA9">
              <w:rPr>
                <w:rFonts w:ascii="Aptos" w:hAnsi="Aptos" w:cs="Calibri"/>
                <w:b w:val="0"/>
                <w:bCs w:val="0"/>
                <w:color w:val="000000"/>
                <w:sz w:val="20"/>
                <w:szCs w:val="20"/>
              </w:rPr>
              <w:t>Pernambuco</w:t>
            </w:r>
          </w:p>
        </w:tc>
        <w:tc>
          <w:tcPr>
            <w:tcW w:w="960" w:type="dxa"/>
            <w:noWrap/>
            <w:vAlign w:val="bottom"/>
            <w:hideMark/>
          </w:tcPr>
          <w:p w14:paraId="61063120" w14:textId="6984ADB3" w:rsidR="000220D0" w:rsidRPr="0005675B" w:rsidRDefault="000220D0" w:rsidP="000220D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yield</w:t>
            </w:r>
          </w:p>
        </w:tc>
        <w:tc>
          <w:tcPr>
            <w:tcW w:w="1020" w:type="dxa"/>
            <w:noWrap/>
            <w:vAlign w:val="bottom"/>
            <w:hideMark/>
          </w:tcPr>
          <w:p w14:paraId="45977397" w14:textId="3FDB7B17" w:rsidR="000220D0" w:rsidRPr="0005675B" w:rsidRDefault="000220D0" w:rsidP="000220D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16.90</w:t>
            </w:r>
          </w:p>
        </w:tc>
        <w:tc>
          <w:tcPr>
            <w:tcW w:w="1400" w:type="dxa"/>
            <w:noWrap/>
            <w:vAlign w:val="bottom"/>
            <w:hideMark/>
          </w:tcPr>
          <w:p w14:paraId="5E3A2EF6" w14:textId="4EDA6E48" w:rsidR="000220D0" w:rsidRPr="0005675B" w:rsidRDefault="000220D0" w:rsidP="000220D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14.51</w:t>
            </w:r>
          </w:p>
        </w:tc>
        <w:tc>
          <w:tcPr>
            <w:tcW w:w="1140" w:type="dxa"/>
            <w:noWrap/>
            <w:vAlign w:val="bottom"/>
            <w:hideMark/>
          </w:tcPr>
          <w:p w14:paraId="79287BAA" w14:textId="35104D88" w:rsidR="000220D0" w:rsidRPr="0005675B" w:rsidRDefault="000220D0" w:rsidP="000220D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19.29</w:t>
            </w:r>
          </w:p>
        </w:tc>
      </w:tr>
      <w:tr w:rsidR="000220D0" w:rsidRPr="0005675B" w14:paraId="414A7F0A" w14:textId="77777777" w:rsidTr="000220D0">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268" w:type="dxa"/>
            <w:noWrap/>
            <w:vAlign w:val="bottom"/>
            <w:hideMark/>
          </w:tcPr>
          <w:p w14:paraId="75D34175" w14:textId="09E3AE52" w:rsidR="000220D0" w:rsidRPr="003A6CA9" w:rsidRDefault="000220D0" w:rsidP="000220D0">
            <w:pPr>
              <w:jc w:val="center"/>
              <w:rPr>
                <w:rFonts w:ascii="Aptos" w:eastAsia="Times New Roman" w:hAnsi="Aptos" w:cs="Calibri"/>
                <w:b w:val="0"/>
                <w:bCs w:val="0"/>
                <w:color w:val="000000"/>
                <w:kern w:val="0"/>
                <w:sz w:val="20"/>
                <w:szCs w:val="20"/>
                <w:lang w:eastAsia="en-GB"/>
                <w14:ligatures w14:val="none"/>
              </w:rPr>
            </w:pPr>
            <w:r w:rsidRPr="003A6CA9">
              <w:rPr>
                <w:rFonts w:ascii="Aptos" w:hAnsi="Aptos" w:cs="Calibri"/>
                <w:b w:val="0"/>
                <w:bCs w:val="0"/>
                <w:color w:val="000000"/>
                <w:sz w:val="20"/>
                <w:szCs w:val="20"/>
              </w:rPr>
              <w:t>Piauí</w:t>
            </w:r>
          </w:p>
        </w:tc>
        <w:tc>
          <w:tcPr>
            <w:tcW w:w="960" w:type="dxa"/>
            <w:noWrap/>
            <w:vAlign w:val="bottom"/>
            <w:hideMark/>
          </w:tcPr>
          <w:p w14:paraId="44831CA4" w14:textId="5870ACAA" w:rsidR="000220D0" w:rsidRPr="0005675B" w:rsidRDefault="000220D0" w:rsidP="000220D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cost</w:t>
            </w:r>
          </w:p>
        </w:tc>
        <w:tc>
          <w:tcPr>
            <w:tcW w:w="1020" w:type="dxa"/>
            <w:noWrap/>
            <w:vAlign w:val="bottom"/>
            <w:hideMark/>
          </w:tcPr>
          <w:p w14:paraId="74EE9239" w14:textId="1CA3E8F2" w:rsidR="000220D0" w:rsidRPr="0005675B" w:rsidRDefault="000220D0" w:rsidP="000220D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222.53</w:t>
            </w:r>
          </w:p>
        </w:tc>
        <w:tc>
          <w:tcPr>
            <w:tcW w:w="1400" w:type="dxa"/>
            <w:noWrap/>
            <w:vAlign w:val="bottom"/>
            <w:hideMark/>
          </w:tcPr>
          <w:p w14:paraId="7F6C7BF4" w14:textId="59041FEE" w:rsidR="000220D0" w:rsidRPr="0005675B" w:rsidRDefault="000220D0" w:rsidP="000220D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212.90</w:t>
            </w:r>
          </w:p>
        </w:tc>
        <w:tc>
          <w:tcPr>
            <w:tcW w:w="1140" w:type="dxa"/>
            <w:noWrap/>
            <w:vAlign w:val="bottom"/>
            <w:hideMark/>
          </w:tcPr>
          <w:p w14:paraId="7FDC4B87" w14:textId="3E55F352" w:rsidR="000220D0" w:rsidRPr="0005675B" w:rsidRDefault="000220D0" w:rsidP="000220D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232.16</w:t>
            </w:r>
          </w:p>
        </w:tc>
      </w:tr>
      <w:tr w:rsidR="000220D0" w:rsidRPr="0005675B" w14:paraId="53BD7530" w14:textId="77777777" w:rsidTr="000220D0">
        <w:trPr>
          <w:trHeight w:val="260"/>
          <w:jc w:val="center"/>
        </w:trPr>
        <w:tc>
          <w:tcPr>
            <w:cnfStyle w:val="001000000000" w:firstRow="0" w:lastRow="0" w:firstColumn="1" w:lastColumn="0" w:oddVBand="0" w:evenVBand="0" w:oddHBand="0" w:evenHBand="0" w:firstRowFirstColumn="0" w:firstRowLastColumn="0" w:lastRowFirstColumn="0" w:lastRowLastColumn="0"/>
            <w:tcW w:w="2268" w:type="dxa"/>
            <w:noWrap/>
            <w:vAlign w:val="bottom"/>
            <w:hideMark/>
          </w:tcPr>
          <w:p w14:paraId="61F88C5B" w14:textId="5E92943B" w:rsidR="000220D0" w:rsidRPr="003A6CA9" w:rsidRDefault="000220D0" w:rsidP="000220D0">
            <w:pPr>
              <w:jc w:val="center"/>
              <w:rPr>
                <w:rFonts w:ascii="Aptos" w:eastAsia="Times New Roman" w:hAnsi="Aptos" w:cs="Calibri"/>
                <w:b w:val="0"/>
                <w:bCs w:val="0"/>
                <w:color w:val="000000"/>
                <w:kern w:val="0"/>
                <w:sz w:val="20"/>
                <w:szCs w:val="20"/>
                <w:lang w:eastAsia="en-GB"/>
                <w14:ligatures w14:val="none"/>
              </w:rPr>
            </w:pPr>
            <w:r w:rsidRPr="003A6CA9">
              <w:rPr>
                <w:rFonts w:ascii="Aptos" w:hAnsi="Aptos" w:cs="Calibri"/>
                <w:b w:val="0"/>
                <w:bCs w:val="0"/>
                <w:color w:val="000000"/>
                <w:sz w:val="20"/>
                <w:szCs w:val="20"/>
              </w:rPr>
              <w:t>Piauí</w:t>
            </w:r>
          </w:p>
        </w:tc>
        <w:tc>
          <w:tcPr>
            <w:tcW w:w="960" w:type="dxa"/>
            <w:noWrap/>
            <w:vAlign w:val="bottom"/>
            <w:hideMark/>
          </w:tcPr>
          <w:p w14:paraId="172D6437" w14:textId="12367D77" w:rsidR="000220D0" w:rsidRPr="0005675B" w:rsidRDefault="000220D0" w:rsidP="000220D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yield</w:t>
            </w:r>
          </w:p>
        </w:tc>
        <w:tc>
          <w:tcPr>
            <w:tcW w:w="1020" w:type="dxa"/>
            <w:noWrap/>
            <w:vAlign w:val="bottom"/>
            <w:hideMark/>
          </w:tcPr>
          <w:p w14:paraId="436A4DB3" w14:textId="486F13B1" w:rsidR="000220D0" w:rsidRPr="0005675B" w:rsidRDefault="000220D0" w:rsidP="000220D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37.99</w:t>
            </w:r>
          </w:p>
        </w:tc>
        <w:tc>
          <w:tcPr>
            <w:tcW w:w="1400" w:type="dxa"/>
            <w:noWrap/>
            <w:vAlign w:val="bottom"/>
            <w:hideMark/>
          </w:tcPr>
          <w:p w14:paraId="60339CF3" w14:textId="5E475CF7" w:rsidR="000220D0" w:rsidRPr="0005675B" w:rsidRDefault="000220D0" w:rsidP="000220D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35.80</w:t>
            </w:r>
          </w:p>
        </w:tc>
        <w:tc>
          <w:tcPr>
            <w:tcW w:w="1140" w:type="dxa"/>
            <w:noWrap/>
            <w:vAlign w:val="bottom"/>
            <w:hideMark/>
          </w:tcPr>
          <w:p w14:paraId="3718F6B6" w14:textId="3C1556CE" w:rsidR="000220D0" w:rsidRPr="0005675B" w:rsidRDefault="000220D0" w:rsidP="000220D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40.18</w:t>
            </w:r>
          </w:p>
        </w:tc>
      </w:tr>
      <w:tr w:rsidR="000220D0" w:rsidRPr="0005675B" w14:paraId="3B78931A" w14:textId="77777777" w:rsidTr="000220D0">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268" w:type="dxa"/>
            <w:noWrap/>
            <w:vAlign w:val="bottom"/>
            <w:hideMark/>
          </w:tcPr>
          <w:p w14:paraId="2645A0CF" w14:textId="0FF5CCBF" w:rsidR="000220D0" w:rsidRPr="003A6CA9" w:rsidRDefault="000220D0" w:rsidP="000220D0">
            <w:pPr>
              <w:jc w:val="center"/>
              <w:rPr>
                <w:rFonts w:ascii="Aptos" w:eastAsia="Times New Roman" w:hAnsi="Aptos" w:cs="Calibri"/>
                <w:b w:val="0"/>
                <w:bCs w:val="0"/>
                <w:color w:val="000000"/>
                <w:kern w:val="0"/>
                <w:sz w:val="20"/>
                <w:szCs w:val="20"/>
                <w:lang w:eastAsia="en-GB"/>
                <w14:ligatures w14:val="none"/>
              </w:rPr>
            </w:pPr>
            <w:r w:rsidRPr="003A6CA9">
              <w:rPr>
                <w:rFonts w:ascii="Aptos" w:hAnsi="Aptos" w:cs="Calibri"/>
                <w:b w:val="0"/>
                <w:bCs w:val="0"/>
                <w:color w:val="000000"/>
                <w:sz w:val="20"/>
                <w:szCs w:val="20"/>
              </w:rPr>
              <w:t>Rio De Janeiro</w:t>
            </w:r>
          </w:p>
        </w:tc>
        <w:tc>
          <w:tcPr>
            <w:tcW w:w="960" w:type="dxa"/>
            <w:noWrap/>
            <w:vAlign w:val="bottom"/>
            <w:hideMark/>
          </w:tcPr>
          <w:p w14:paraId="5836EE07" w14:textId="4E496DB7" w:rsidR="000220D0" w:rsidRPr="0005675B" w:rsidRDefault="000220D0" w:rsidP="000220D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cost</w:t>
            </w:r>
          </w:p>
        </w:tc>
        <w:tc>
          <w:tcPr>
            <w:tcW w:w="1020" w:type="dxa"/>
            <w:noWrap/>
            <w:vAlign w:val="bottom"/>
            <w:hideMark/>
          </w:tcPr>
          <w:p w14:paraId="4E5671A9" w14:textId="75BC41BF" w:rsidR="000220D0" w:rsidRPr="0005675B" w:rsidRDefault="000220D0" w:rsidP="000220D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173.19</w:t>
            </w:r>
          </w:p>
        </w:tc>
        <w:tc>
          <w:tcPr>
            <w:tcW w:w="1400" w:type="dxa"/>
            <w:noWrap/>
            <w:vAlign w:val="bottom"/>
            <w:hideMark/>
          </w:tcPr>
          <w:p w14:paraId="6553488B" w14:textId="1377354B" w:rsidR="000220D0" w:rsidRPr="0005675B" w:rsidRDefault="000220D0" w:rsidP="000220D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164.99</w:t>
            </w:r>
          </w:p>
        </w:tc>
        <w:tc>
          <w:tcPr>
            <w:tcW w:w="1140" w:type="dxa"/>
            <w:noWrap/>
            <w:vAlign w:val="bottom"/>
            <w:hideMark/>
          </w:tcPr>
          <w:p w14:paraId="4712E8C4" w14:textId="58B55B0A" w:rsidR="000220D0" w:rsidRPr="0005675B" w:rsidRDefault="000220D0" w:rsidP="000220D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181.39</w:t>
            </w:r>
          </w:p>
        </w:tc>
      </w:tr>
      <w:tr w:rsidR="000220D0" w:rsidRPr="0005675B" w14:paraId="10B0778C" w14:textId="77777777" w:rsidTr="000220D0">
        <w:trPr>
          <w:trHeight w:val="260"/>
          <w:jc w:val="center"/>
        </w:trPr>
        <w:tc>
          <w:tcPr>
            <w:cnfStyle w:val="001000000000" w:firstRow="0" w:lastRow="0" w:firstColumn="1" w:lastColumn="0" w:oddVBand="0" w:evenVBand="0" w:oddHBand="0" w:evenHBand="0" w:firstRowFirstColumn="0" w:firstRowLastColumn="0" w:lastRowFirstColumn="0" w:lastRowLastColumn="0"/>
            <w:tcW w:w="2268" w:type="dxa"/>
            <w:noWrap/>
            <w:vAlign w:val="bottom"/>
            <w:hideMark/>
          </w:tcPr>
          <w:p w14:paraId="1BB01581" w14:textId="004F996F" w:rsidR="000220D0" w:rsidRPr="003A6CA9" w:rsidRDefault="000220D0" w:rsidP="000220D0">
            <w:pPr>
              <w:jc w:val="center"/>
              <w:rPr>
                <w:rFonts w:ascii="Aptos" w:eastAsia="Times New Roman" w:hAnsi="Aptos" w:cs="Calibri"/>
                <w:b w:val="0"/>
                <w:bCs w:val="0"/>
                <w:color w:val="000000"/>
                <w:kern w:val="0"/>
                <w:sz w:val="20"/>
                <w:szCs w:val="20"/>
                <w:lang w:eastAsia="en-GB"/>
                <w14:ligatures w14:val="none"/>
              </w:rPr>
            </w:pPr>
            <w:r w:rsidRPr="003A6CA9">
              <w:rPr>
                <w:rFonts w:ascii="Aptos" w:hAnsi="Aptos" w:cs="Calibri"/>
                <w:b w:val="0"/>
                <w:bCs w:val="0"/>
                <w:color w:val="000000"/>
                <w:sz w:val="20"/>
                <w:szCs w:val="20"/>
              </w:rPr>
              <w:t>Rio De Janeiro</w:t>
            </w:r>
          </w:p>
        </w:tc>
        <w:tc>
          <w:tcPr>
            <w:tcW w:w="960" w:type="dxa"/>
            <w:noWrap/>
            <w:vAlign w:val="bottom"/>
            <w:hideMark/>
          </w:tcPr>
          <w:p w14:paraId="4D35AD29" w14:textId="79D42169" w:rsidR="000220D0" w:rsidRPr="0005675B" w:rsidRDefault="000220D0" w:rsidP="000220D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yield</w:t>
            </w:r>
          </w:p>
        </w:tc>
        <w:tc>
          <w:tcPr>
            <w:tcW w:w="1020" w:type="dxa"/>
            <w:noWrap/>
            <w:vAlign w:val="bottom"/>
            <w:hideMark/>
          </w:tcPr>
          <w:p w14:paraId="1F40D9AF" w14:textId="182F85BE" w:rsidR="000220D0" w:rsidRPr="0005675B" w:rsidRDefault="000220D0" w:rsidP="000220D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35.47</w:t>
            </w:r>
          </w:p>
        </w:tc>
        <w:tc>
          <w:tcPr>
            <w:tcW w:w="1400" w:type="dxa"/>
            <w:noWrap/>
            <w:vAlign w:val="bottom"/>
            <w:hideMark/>
          </w:tcPr>
          <w:p w14:paraId="15EBD59C" w14:textId="671F9B00" w:rsidR="000220D0" w:rsidRPr="0005675B" w:rsidRDefault="000220D0" w:rsidP="000220D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31.58</w:t>
            </w:r>
          </w:p>
        </w:tc>
        <w:tc>
          <w:tcPr>
            <w:tcW w:w="1140" w:type="dxa"/>
            <w:noWrap/>
            <w:vAlign w:val="bottom"/>
            <w:hideMark/>
          </w:tcPr>
          <w:p w14:paraId="136E7CA5" w14:textId="4CFC675C" w:rsidR="000220D0" w:rsidRPr="0005675B" w:rsidRDefault="000220D0" w:rsidP="000220D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39.37</w:t>
            </w:r>
          </w:p>
        </w:tc>
      </w:tr>
      <w:tr w:rsidR="000220D0" w:rsidRPr="0005675B" w14:paraId="03460FD6" w14:textId="77777777" w:rsidTr="000220D0">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268" w:type="dxa"/>
            <w:noWrap/>
            <w:vAlign w:val="bottom"/>
            <w:hideMark/>
          </w:tcPr>
          <w:p w14:paraId="5CE6F2C6" w14:textId="09C3C24F" w:rsidR="000220D0" w:rsidRPr="003A6CA9" w:rsidRDefault="000220D0" w:rsidP="000220D0">
            <w:pPr>
              <w:jc w:val="center"/>
              <w:rPr>
                <w:rFonts w:ascii="Aptos" w:eastAsia="Times New Roman" w:hAnsi="Aptos" w:cs="Calibri"/>
                <w:b w:val="0"/>
                <w:bCs w:val="0"/>
                <w:color w:val="000000"/>
                <w:kern w:val="0"/>
                <w:sz w:val="20"/>
                <w:szCs w:val="20"/>
                <w:lang w:eastAsia="en-GB"/>
                <w14:ligatures w14:val="none"/>
              </w:rPr>
            </w:pPr>
            <w:r w:rsidRPr="003A6CA9">
              <w:rPr>
                <w:rFonts w:ascii="Aptos" w:hAnsi="Aptos" w:cs="Calibri"/>
                <w:b w:val="0"/>
                <w:bCs w:val="0"/>
                <w:color w:val="000000"/>
                <w:sz w:val="20"/>
                <w:szCs w:val="20"/>
              </w:rPr>
              <w:t>Rio Grande Do Norte</w:t>
            </w:r>
          </w:p>
        </w:tc>
        <w:tc>
          <w:tcPr>
            <w:tcW w:w="960" w:type="dxa"/>
            <w:noWrap/>
            <w:vAlign w:val="bottom"/>
            <w:hideMark/>
          </w:tcPr>
          <w:p w14:paraId="22FC899F" w14:textId="0969615D" w:rsidR="000220D0" w:rsidRPr="0005675B" w:rsidRDefault="000220D0" w:rsidP="000220D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cost</w:t>
            </w:r>
          </w:p>
        </w:tc>
        <w:tc>
          <w:tcPr>
            <w:tcW w:w="1020" w:type="dxa"/>
            <w:noWrap/>
            <w:vAlign w:val="bottom"/>
            <w:hideMark/>
          </w:tcPr>
          <w:p w14:paraId="4D385D9F" w14:textId="78756ED1" w:rsidR="000220D0" w:rsidRPr="0005675B" w:rsidRDefault="000220D0" w:rsidP="000220D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182.72</w:t>
            </w:r>
          </w:p>
        </w:tc>
        <w:tc>
          <w:tcPr>
            <w:tcW w:w="1400" w:type="dxa"/>
            <w:noWrap/>
            <w:vAlign w:val="bottom"/>
            <w:hideMark/>
          </w:tcPr>
          <w:p w14:paraId="066C73D5" w14:textId="66EEE9AA" w:rsidR="000220D0" w:rsidRPr="0005675B" w:rsidRDefault="000220D0" w:rsidP="000220D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168.19</w:t>
            </w:r>
          </w:p>
        </w:tc>
        <w:tc>
          <w:tcPr>
            <w:tcW w:w="1140" w:type="dxa"/>
            <w:noWrap/>
            <w:vAlign w:val="bottom"/>
            <w:hideMark/>
          </w:tcPr>
          <w:p w14:paraId="09A46868" w14:textId="3593D961" w:rsidR="000220D0" w:rsidRPr="0005675B" w:rsidRDefault="000220D0" w:rsidP="000220D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197.24</w:t>
            </w:r>
          </w:p>
        </w:tc>
      </w:tr>
      <w:tr w:rsidR="000220D0" w:rsidRPr="0005675B" w14:paraId="4CF44328" w14:textId="77777777" w:rsidTr="000220D0">
        <w:trPr>
          <w:trHeight w:val="260"/>
          <w:jc w:val="center"/>
        </w:trPr>
        <w:tc>
          <w:tcPr>
            <w:cnfStyle w:val="001000000000" w:firstRow="0" w:lastRow="0" w:firstColumn="1" w:lastColumn="0" w:oddVBand="0" w:evenVBand="0" w:oddHBand="0" w:evenHBand="0" w:firstRowFirstColumn="0" w:firstRowLastColumn="0" w:lastRowFirstColumn="0" w:lastRowLastColumn="0"/>
            <w:tcW w:w="2268" w:type="dxa"/>
            <w:noWrap/>
            <w:vAlign w:val="bottom"/>
            <w:hideMark/>
          </w:tcPr>
          <w:p w14:paraId="31DA451B" w14:textId="2501DD4D" w:rsidR="000220D0" w:rsidRPr="003A6CA9" w:rsidRDefault="000220D0" w:rsidP="000220D0">
            <w:pPr>
              <w:jc w:val="center"/>
              <w:rPr>
                <w:rFonts w:ascii="Aptos" w:eastAsia="Times New Roman" w:hAnsi="Aptos" w:cs="Calibri"/>
                <w:b w:val="0"/>
                <w:bCs w:val="0"/>
                <w:color w:val="000000"/>
                <w:kern w:val="0"/>
                <w:sz w:val="20"/>
                <w:szCs w:val="20"/>
                <w:lang w:eastAsia="en-GB"/>
                <w14:ligatures w14:val="none"/>
              </w:rPr>
            </w:pPr>
            <w:r w:rsidRPr="003A6CA9">
              <w:rPr>
                <w:rFonts w:ascii="Aptos" w:hAnsi="Aptos" w:cs="Calibri"/>
                <w:b w:val="0"/>
                <w:bCs w:val="0"/>
                <w:color w:val="000000"/>
                <w:sz w:val="20"/>
                <w:szCs w:val="20"/>
              </w:rPr>
              <w:t>Rio Grande Do Norte</w:t>
            </w:r>
          </w:p>
        </w:tc>
        <w:tc>
          <w:tcPr>
            <w:tcW w:w="960" w:type="dxa"/>
            <w:noWrap/>
            <w:vAlign w:val="bottom"/>
            <w:hideMark/>
          </w:tcPr>
          <w:p w14:paraId="1D99F7C7" w14:textId="5F71263D" w:rsidR="000220D0" w:rsidRPr="0005675B" w:rsidRDefault="000220D0" w:rsidP="000220D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yield</w:t>
            </w:r>
          </w:p>
        </w:tc>
        <w:tc>
          <w:tcPr>
            <w:tcW w:w="1020" w:type="dxa"/>
            <w:noWrap/>
            <w:vAlign w:val="bottom"/>
            <w:hideMark/>
          </w:tcPr>
          <w:p w14:paraId="36C3450A" w14:textId="0AC5151A" w:rsidR="000220D0" w:rsidRPr="0005675B" w:rsidRDefault="000220D0" w:rsidP="000220D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3.45</w:t>
            </w:r>
          </w:p>
        </w:tc>
        <w:tc>
          <w:tcPr>
            <w:tcW w:w="1400" w:type="dxa"/>
            <w:noWrap/>
            <w:vAlign w:val="bottom"/>
            <w:hideMark/>
          </w:tcPr>
          <w:p w14:paraId="7C3C6FDD" w14:textId="0A58BE21" w:rsidR="000220D0" w:rsidRPr="0005675B" w:rsidRDefault="000220D0" w:rsidP="000220D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-2.40</w:t>
            </w:r>
          </w:p>
        </w:tc>
        <w:tc>
          <w:tcPr>
            <w:tcW w:w="1140" w:type="dxa"/>
            <w:noWrap/>
            <w:vAlign w:val="bottom"/>
            <w:hideMark/>
          </w:tcPr>
          <w:p w14:paraId="359C6C52" w14:textId="7612793A" w:rsidR="000220D0" w:rsidRPr="0005675B" w:rsidRDefault="000220D0" w:rsidP="000220D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9.31</w:t>
            </w:r>
          </w:p>
        </w:tc>
      </w:tr>
      <w:tr w:rsidR="000220D0" w:rsidRPr="0005675B" w14:paraId="053AF447" w14:textId="77777777" w:rsidTr="000220D0">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268" w:type="dxa"/>
            <w:noWrap/>
            <w:vAlign w:val="bottom"/>
            <w:hideMark/>
          </w:tcPr>
          <w:p w14:paraId="51C1264E" w14:textId="45FB40DF" w:rsidR="000220D0" w:rsidRPr="003A6CA9" w:rsidRDefault="000220D0" w:rsidP="000220D0">
            <w:pPr>
              <w:jc w:val="center"/>
              <w:rPr>
                <w:rFonts w:ascii="Aptos" w:eastAsia="Times New Roman" w:hAnsi="Aptos" w:cs="Calibri"/>
                <w:b w:val="0"/>
                <w:bCs w:val="0"/>
                <w:color w:val="000000"/>
                <w:kern w:val="0"/>
                <w:sz w:val="20"/>
                <w:szCs w:val="20"/>
                <w:lang w:eastAsia="en-GB"/>
                <w14:ligatures w14:val="none"/>
              </w:rPr>
            </w:pPr>
            <w:r w:rsidRPr="003A6CA9">
              <w:rPr>
                <w:rFonts w:ascii="Aptos" w:hAnsi="Aptos" w:cs="Calibri"/>
                <w:b w:val="0"/>
                <w:bCs w:val="0"/>
                <w:color w:val="000000"/>
                <w:sz w:val="20"/>
                <w:szCs w:val="20"/>
              </w:rPr>
              <w:t>Rio Grande Do Sul</w:t>
            </w:r>
          </w:p>
        </w:tc>
        <w:tc>
          <w:tcPr>
            <w:tcW w:w="960" w:type="dxa"/>
            <w:noWrap/>
            <w:vAlign w:val="bottom"/>
            <w:hideMark/>
          </w:tcPr>
          <w:p w14:paraId="79E750D4" w14:textId="088E1CE6" w:rsidR="000220D0" w:rsidRPr="0005675B" w:rsidRDefault="000220D0" w:rsidP="000220D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cost</w:t>
            </w:r>
          </w:p>
        </w:tc>
        <w:tc>
          <w:tcPr>
            <w:tcW w:w="1020" w:type="dxa"/>
            <w:noWrap/>
            <w:vAlign w:val="bottom"/>
            <w:hideMark/>
          </w:tcPr>
          <w:p w14:paraId="3A14D4B2" w14:textId="01B30101" w:rsidR="000220D0" w:rsidRPr="0005675B" w:rsidRDefault="000220D0" w:rsidP="000220D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168.39</w:t>
            </w:r>
          </w:p>
        </w:tc>
        <w:tc>
          <w:tcPr>
            <w:tcW w:w="1400" w:type="dxa"/>
            <w:noWrap/>
            <w:vAlign w:val="bottom"/>
            <w:hideMark/>
          </w:tcPr>
          <w:p w14:paraId="4C3077EC" w14:textId="1450BC88" w:rsidR="000220D0" w:rsidRPr="0005675B" w:rsidRDefault="000220D0" w:rsidP="000220D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165.80</w:t>
            </w:r>
          </w:p>
        </w:tc>
        <w:tc>
          <w:tcPr>
            <w:tcW w:w="1140" w:type="dxa"/>
            <w:noWrap/>
            <w:vAlign w:val="bottom"/>
            <w:hideMark/>
          </w:tcPr>
          <w:p w14:paraId="7A75689B" w14:textId="32BEFFBD" w:rsidR="000220D0" w:rsidRPr="0005675B" w:rsidRDefault="000220D0" w:rsidP="000220D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170.99</w:t>
            </w:r>
          </w:p>
        </w:tc>
      </w:tr>
      <w:tr w:rsidR="000220D0" w:rsidRPr="0005675B" w14:paraId="41AF5C99" w14:textId="77777777" w:rsidTr="000220D0">
        <w:trPr>
          <w:trHeight w:val="260"/>
          <w:jc w:val="center"/>
        </w:trPr>
        <w:tc>
          <w:tcPr>
            <w:cnfStyle w:val="001000000000" w:firstRow="0" w:lastRow="0" w:firstColumn="1" w:lastColumn="0" w:oddVBand="0" w:evenVBand="0" w:oddHBand="0" w:evenHBand="0" w:firstRowFirstColumn="0" w:firstRowLastColumn="0" w:lastRowFirstColumn="0" w:lastRowLastColumn="0"/>
            <w:tcW w:w="2268" w:type="dxa"/>
            <w:noWrap/>
            <w:vAlign w:val="bottom"/>
            <w:hideMark/>
          </w:tcPr>
          <w:p w14:paraId="41BA05E9" w14:textId="2EF348E6" w:rsidR="000220D0" w:rsidRPr="003A6CA9" w:rsidRDefault="000220D0" w:rsidP="000220D0">
            <w:pPr>
              <w:jc w:val="center"/>
              <w:rPr>
                <w:rFonts w:ascii="Aptos" w:eastAsia="Times New Roman" w:hAnsi="Aptos" w:cs="Calibri"/>
                <w:b w:val="0"/>
                <w:bCs w:val="0"/>
                <w:color w:val="000000"/>
                <w:kern w:val="0"/>
                <w:sz w:val="20"/>
                <w:szCs w:val="20"/>
                <w:lang w:eastAsia="en-GB"/>
                <w14:ligatures w14:val="none"/>
              </w:rPr>
            </w:pPr>
            <w:r w:rsidRPr="003A6CA9">
              <w:rPr>
                <w:rFonts w:ascii="Aptos" w:hAnsi="Aptos" w:cs="Calibri"/>
                <w:b w:val="0"/>
                <w:bCs w:val="0"/>
                <w:color w:val="000000"/>
                <w:sz w:val="20"/>
                <w:szCs w:val="20"/>
              </w:rPr>
              <w:t>Rio Grande Do Sul</w:t>
            </w:r>
          </w:p>
        </w:tc>
        <w:tc>
          <w:tcPr>
            <w:tcW w:w="960" w:type="dxa"/>
            <w:noWrap/>
            <w:vAlign w:val="bottom"/>
            <w:hideMark/>
          </w:tcPr>
          <w:p w14:paraId="18818560" w14:textId="32B1A709" w:rsidR="000220D0" w:rsidRPr="0005675B" w:rsidRDefault="000220D0" w:rsidP="000220D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yield</w:t>
            </w:r>
          </w:p>
        </w:tc>
        <w:tc>
          <w:tcPr>
            <w:tcW w:w="1020" w:type="dxa"/>
            <w:noWrap/>
            <w:vAlign w:val="bottom"/>
            <w:hideMark/>
          </w:tcPr>
          <w:p w14:paraId="3BE68386" w14:textId="19E3263A" w:rsidR="000220D0" w:rsidRPr="0005675B" w:rsidRDefault="000220D0" w:rsidP="000220D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25.15</w:t>
            </w:r>
          </w:p>
        </w:tc>
        <w:tc>
          <w:tcPr>
            <w:tcW w:w="1400" w:type="dxa"/>
            <w:noWrap/>
            <w:vAlign w:val="bottom"/>
            <w:hideMark/>
          </w:tcPr>
          <w:p w14:paraId="155088BE" w14:textId="7F0937D2" w:rsidR="000220D0" w:rsidRPr="0005675B" w:rsidRDefault="000220D0" w:rsidP="000220D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23.43</w:t>
            </w:r>
          </w:p>
        </w:tc>
        <w:tc>
          <w:tcPr>
            <w:tcW w:w="1140" w:type="dxa"/>
            <w:noWrap/>
            <w:vAlign w:val="bottom"/>
            <w:hideMark/>
          </w:tcPr>
          <w:p w14:paraId="4D9AAB6D" w14:textId="294A7662" w:rsidR="000220D0" w:rsidRPr="0005675B" w:rsidRDefault="000220D0" w:rsidP="000220D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26.86</w:t>
            </w:r>
          </w:p>
        </w:tc>
      </w:tr>
      <w:tr w:rsidR="000220D0" w:rsidRPr="0005675B" w14:paraId="590D98AC" w14:textId="77777777" w:rsidTr="000220D0">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268" w:type="dxa"/>
            <w:noWrap/>
            <w:vAlign w:val="bottom"/>
            <w:hideMark/>
          </w:tcPr>
          <w:p w14:paraId="7F8037EA" w14:textId="777F5D70" w:rsidR="000220D0" w:rsidRPr="003A6CA9" w:rsidRDefault="000220D0" w:rsidP="000220D0">
            <w:pPr>
              <w:jc w:val="center"/>
              <w:rPr>
                <w:rFonts w:ascii="Aptos" w:eastAsia="Times New Roman" w:hAnsi="Aptos" w:cs="Calibri"/>
                <w:b w:val="0"/>
                <w:bCs w:val="0"/>
                <w:color w:val="000000"/>
                <w:kern w:val="0"/>
                <w:sz w:val="20"/>
                <w:szCs w:val="20"/>
                <w:lang w:eastAsia="en-GB"/>
                <w14:ligatures w14:val="none"/>
              </w:rPr>
            </w:pPr>
            <w:r w:rsidRPr="003A6CA9">
              <w:rPr>
                <w:rFonts w:ascii="Aptos" w:hAnsi="Aptos" w:cs="Calibri"/>
                <w:b w:val="0"/>
                <w:bCs w:val="0"/>
                <w:color w:val="000000"/>
                <w:sz w:val="20"/>
                <w:szCs w:val="20"/>
              </w:rPr>
              <w:t>Rondônia</w:t>
            </w:r>
          </w:p>
        </w:tc>
        <w:tc>
          <w:tcPr>
            <w:tcW w:w="960" w:type="dxa"/>
            <w:noWrap/>
            <w:vAlign w:val="bottom"/>
            <w:hideMark/>
          </w:tcPr>
          <w:p w14:paraId="74EE0025" w14:textId="1CA79D08" w:rsidR="000220D0" w:rsidRPr="0005675B" w:rsidRDefault="000220D0" w:rsidP="000220D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cost</w:t>
            </w:r>
          </w:p>
        </w:tc>
        <w:tc>
          <w:tcPr>
            <w:tcW w:w="1020" w:type="dxa"/>
            <w:noWrap/>
            <w:vAlign w:val="bottom"/>
            <w:hideMark/>
          </w:tcPr>
          <w:p w14:paraId="69887A42" w14:textId="6205C64E" w:rsidR="000220D0" w:rsidRPr="0005675B" w:rsidRDefault="000220D0" w:rsidP="000220D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174.09</w:t>
            </w:r>
          </w:p>
        </w:tc>
        <w:tc>
          <w:tcPr>
            <w:tcW w:w="1400" w:type="dxa"/>
            <w:noWrap/>
            <w:vAlign w:val="bottom"/>
            <w:hideMark/>
          </w:tcPr>
          <w:p w14:paraId="33C728B1" w14:textId="0D694E6B" w:rsidR="000220D0" w:rsidRPr="0005675B" w:rsidRDefault="000220D0" w:rsidP="000220D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165.36</w:t>
            </w:r>
          </w:p>
        </w:tc>
        <w:tc>
          <w:tcPr>
            <w:tcW w:w="1140" w:type="dxa"/>
            <w:noWrap/>
            <w:vAlign w:val="bottom"/>
            <w:hideMark/>
          </w:tcPr>
          <w:p w14:paraId="7A70EBA8" w14:textId="2F18C4A1" w:rsidR="000220D0" w:rsidRPr="0005675B" w:rsidRDefault="000220D0" w:rsidP="000220D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182.83</w:t>
            </w:r>
          </w:p>
        </w:tc>
      </w:tr>
      <w:tr w:rsidR="000220D0" w:rsidRPr="0005675B" w14:paraId="231D56A7" w14:textId="77777777" w:rsidTr="000220D0">
        <w:trPr>
          <w:trHeight w:val="260"/>
          <w:jc w:val="center"/>
        </w:trPr>
        <w:tc>
          <w:tcPr>
            <w:cnfStyle w:val="001000000000" w:firstRow="0" w:lastRow="0" w:firstColumn="1" w:lastColumn="0" w:oddVBand="0" w:evenVBand="0" w:oddHBand="0" w:evenHBand="0" w:firstRowFirstColumn="0" w:firstRowLastColumn="0" w:lastRowFirstColumn="0" w:lastRowLastColumn="0"/>
            <w:tcW w:w="2268" w:type="dxa"/>
            <w:noWrap/>
            <w:vAlign w:val="bottom"/>
            <w:hideMark/>
          </w:tcPr>
          <w:p w14:paraId="79A6D613" w14:textId="70AB0223" w:rsidR="000220D0" w:rsidRPr="003A6CA9" w:rsidRDefault="000220D0" w:rsidP="000220D0">
            <w:pPr>
              <w:jc w:val="center"/>
              <w:rPr>
                <w:rFonts w:ascii="Aptos" w:eastAsia="Times New Roman" w:hAnsi="Aptos" w:cs="Calibri"/>
                <w:b w:val="0"/>
                <w:bCs w:val="0"/>
                <w:color w:val="000000"/>
                <w:kern w:val="0"/>
                <w:sz w:val="20"/>
                <w:szCs w:val="20"/>
                <w:lang w:eastAsia="en-GB"/>
                <w14:ligatures w14:val="none"/>
              </w:rPr>
            </w:pPr>
            <w:r w:rsidRPr="003A6CA9">
              <w:rPr>
                <w:rFonts w:ascii="Aptos" w:hAnsi="Aptos" w:cs="Calibri"/>
                <w:b w:val="0"/>
                <w:bCs w:val="0"/>
                <w:color w:val="000000"/>
                <w:sz w:val="20"/>
                <w:szCs w:val="20"/>
              </w:rPr>
              <w:t>Rondônia</w:t>
            </w:r>
          </w:p>
        </w:tc>
        <w:tc>
          <w:tcPr>
            <w:tcW w:w="960" w:type="dxa"/>
            <w:noWrap/>
            <w:vAlign w:val="bottom"/>
            <w:hideMark/>
          </w:tcPr>
          <w:p w14:paraId="106F7DB5" w14:textId="59E8AAF2" w:rsidR="000220D0" w:rsidRPr="0005675B" w:rsidRDefault="000220D0" w:rsidP="000220D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yield</w:t>
            </w:r>
          </w:p>
        </w:tc>
        <w:tc>
          <w:tcPr>
            <w:tcW w:w="1020" w:type="dxa"/>
            <w:noWrap/>
            <w:vAlign w:val="bottom"/>
            <w:hideMark/>
          </w:tcPr>
          <w:p w14:paraId="20364453" w14:textId="7B6D2A8A" w:rsidR="000220D0" w:rsidRPr="0005675B" w:rsidRDefault="000220D0" w:rsidP="000220D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35.77</w:t>
            </w:r>
          </w:p>
        </w:tc>
        <w:tc>
          <w:tcPr>
            <w:tcW w:w="1400" w:type="dxa"/>
            <w:noWrap/>
            <w:vAlign w:val="bottom"/>
            <w:hideMark/>
          </w:tcPr>
          <w:p w14:paraId="5CE7E723" w14:textId="4A134552" w:rsidR="000220D0" w:rsidRPr="0005675B" w:rsidRDefault="000220D0" w:rsidP="000220D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32.48</w:t>
            </w:r>
          </w:p>
        </w:tc>
        <w:tc>
          <w:tcPr>
            <w:tcW w:w="1140" w:type="dxa"/>
            <w:noWrap/>
            <w:vAlign w:val="bottom"/>
            <w:hideMark/>
          </w:tcPr>
          <w:p w14:paraId="479B1264" w14:textId="0CB0347B" w:rsidR="000220D0" w:rsidRPr="0005675B" w:rsidRDefault="000220D0" w:rsidP="000220D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39.06</w:t>
            </w:r>
          </w:p>
        </w:tc>
      </w:tr>
      <w:tr w:rsidR="000220D0" w:rsidRPr="0005675B" w14:paraId="112672B9" w14:textId="77777777" w:rsidTr="000220D0">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268" w:type="dxa"/>
            <w:noWrap/>
            <w:vAlign w:val="bottom"/>
            <w:hideMark/>
          </w:tcPr>
          <w:p w14:paraId="379213B8" w14:textId="70921D61" w:rsidR="000220D0" w:rsidRPr="003A6CA9" w:rsidRDefault="000220D0" w:rsidP="000220D0">
            <w:pPr>
              <w:jc w:val="center"/>
              <w:rPr>
                <w:rFonts w:ascii="Aptos" w:eastAsia="Times New Roman" w:hAnsi="Aptos" w:cs="Calibri"/>
                <w:b w:val="0"/>
                <w:bCs w:val="0"/>
                <w:color w:val="000000"/>
                <w:kern w:val="0"/>
                <w:sz w:val="20"/>
                <w:szCs w:val="20"/>
                <w:lang w:eastAsia="en-GB"/>
                <w14:ligatures w14:val="none"/>
              </w:rPr>
            </w:pPr>
            <w:r w:rsidRPr="003A6CA9">
              <w:rPr>
                <w:rFonts w:ascii="Aptos" w:hAnsi="Aptos" w:cs="Calibri"/>
                <w:b w:val="0"/>
                <w:bCs w:val="0"/>
                <w:color w:val="000000"/>
                <w:sz w:val="20"/>
                <w:szCs w:val="20"/>
              </w:rPr>
              <w:t>Roraima</w:t>
            </w:r>
          </w:p>
        </w:tc>
        <w:tc>
          <w:tcPr>
            <w:tcW w:w="960" w:type="dxa"/>
            <w:noWrap/>
            <w:vAlign w:val="bottom"/>
            <w:hideMark/>
          </w:tcPr>
          <w:p w14:paraId="7A0B4585" w14:textId="6C5D4FD6" w:rsidR="000220D0" w:rsidRPr="0005675B" w:rsidRDefault="000220D0" w:rsidP="000220D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cost</w:t>
            </w:r>
          </w:p>
        </w:tc>
        <w:tc>
          <w:tcPr>
            <w:tcW w:w="1020" w:type="dxa"/>
            <w:noWrap/>
            <w:vAlign w:val="bottom"/>
            <w:hideMark/>
          </w:tcPr>
          <w:p w14:paraId="1D76EAB1" w14:textId="13A0F5C4" w:rsidR="000220D0" w:rsidRPr="0005675B" w:rsidRDefault="000220D0" w:rsidP="000220D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249.53</w:t>
            </w:r>
          </w:p>
        </w:tc>
        <w:tc>
          <w:tcPr>
            <w:tcW w:w="1400" w:type="dxa"/>
            <w:noWrap/>
            <w:vAlign w:val="bottom"/>
            <w:hideMark/>
          </w:tcPr>
          <w:p w14:paraId="76164703" w14:textId="4353D540" w:rsidR="000220D0" w:rsidRPr="0005675B" w:rsidRDefault="000220D0" w:rsidP="000220D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243.52</w:t>
            </w:r>
          </w:p>
        </w:tc>
        <w:tc>
          <w:tcPr>
            <w:tcW w:w="1140" w:type="dxa"/>
            <w:noWrap/>
            <w:vAlign w:val="bottom"/>
            <w:hideMark/>
          </w:tcPr>
          <w:p w14:paraId="4FAF3F91" w14:textId="7427617B" w:rsidR="000220D0" w:rsidRPr="0005675B" w:rsidRDefault="000220D0" w:rsidP="000220D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255.54</w:t>
            </w:r>
          </w:p>
        </w:tc>
      </w:tr>
      <w:tr w:rsidR="000220D0" w:rsidRPr="0005675B" w14:paraId="1C13EA41" w14:textId="77777777" w:rsidTr="000220D0">
        <w:trPr>
          <w:trHeight w:val="260"/>
          <w:jc w:val="center"/>
        </w:trPr>
        <w:tc>
          <w:tcPr>
            <w:cnfStyle w:val="001000000000" w:firstRow="0" w:lastRow="0" w:firstColumn="1" w:lastColumn="0" w:oddVBand="0" w:evenVBand="0" w:oddHBand="0" w:evenHBand="0" w:firstRowFirstColumn="0" w:firstRowLastColumn="0" w:lastRowFirstColumn="0" w:lastRowLastColumn="0"/>
            <w:tcW w:w="2268" w:type="dxa"/>
            <w:noWrap/>
            <w:vAlign w:val="bottom"/>
            <w:hideMark/>
          </w:tcPr>
          <w:p w14:paraId="0B0BDCE8" w14:textId="41FAC8CC" w:rsidR="000220D0" w:rsidRPr="003A6CA9" w:rsidRDefault="000220D0" w:rsidP="000220D0">
            <w:pPr>
              <w:jc w:val="center"/>
              <w:rPr>
                <w:rFonts w:ascii="Aptos" w:eastAsia="Times New Roman" w:hAnsi="Aptos" w:cs="Calibri"/>
                <w:b w:val="0"/>
                <w:bCs w:val="0"/>
                <w:color w:val="000000"/>
                <w:kern w:val="0"/>
                <w:sz w:val="20"/>
                <w:szCs w:val="20"/>
                <w:lang w:eastAsia="en-GB"/>
                <w14:ligatures w14:val="none"/>
              </w:rPr>
            </w:pPr>
            <w:r w:rsidRPr="003A6CA9">
              <w:rPr>
                <w:rFonts w:ascii="Aptos" w:hAnsi="Aptos" w:cs="Calibri"/>
                <w:b w:val="0"/>
                <w:bCs w:val="0"/>
                <w:color w:val="000000"/>
                <w:sz w:val="20"/>
                <w:szCs w:val="20"/>
              </w:rPr>
              <w:t>Roraima</w:t>
            </w:r>
          </w:p>
        </w:tc>
        <w:tc>
          <w:tcPr>
            <w:tcW w:w="960" w:type="dxa"/>
            <w:noWrap/>
            <w:vAlign w:val="bottom"/>
            <w:hideMark/>
          </w:tcPr>
          <w:p w14:paraId="61265E83" w14:textId="1588188D" w:rsidR="000220D0" w:rsidRPr="0005675B" w:rsidRDefault="000220D0" w:rsidP="000220D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yield</w:t>
            </w:r>
          </w:p>
        </w:tc>
        <w:tc>
          <w:tcPr>
            <w:tcW w:w="1020" w:type="dxa"/>
            <w:noWrap/>
            <w:vAlign w:val="bottom"/>
            <w:hideMark/>
          </w:tcPr>
          <w:p w14:paraId="1804A434" w14:textId="4512257C" w:rsidR="000220D0" w:rsidRPr="0005675B" w:rsidRDefault="000220D0" w:rsidP="000220D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39.86</w:t>
            </w:r>
          </w:p>
        </w:tc>
        <w:tc>
          <w:tcPr>
            <w:tcW w:w="1400" w:type="dxa"/>
            <w:noWrap/>
            <w:vAlign w:val="bottom"/>
            <w:hideMark/>
          </w:tcPr>
          <w:p w14:paraId="051C25DA" w14:textId="5B473B98" w:rsidR="000220D0" w:rsidRPr="0005675B" w:rsidRDefault="000220D0" w:rsidP="000220D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36.42</w:t>
            </w:r>
          </w:p>
        </w:tc>
        <w:tc>
          <w:tcPr>
            <w:tcW w:w="1140" w:type="dxa"/>
            <w:noWrap/>
            <w:vAlign w:val="bottom"/>
            <w:hideMark/>
          </w:tcPr>
          <w:p w14:paraId="23E4D033" w14:textId="078DFF2F" w:rsidR="000220D0" w:rsidRPr="0005675B" w:rsidRDefault="000220D0" w:rsidP="000220D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43.30</w:t>
            </w:r>
          </w:p>
        </w:tc>
      </w:tr>
      <w:tr w:rsidR="000220D0" w:rsidRPr="0005675B" w14:paraId="573904FA" w14:textId="77777777" w:rsidTr="000220D0">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268" w:type="dxa"/>
            <w:noWrap/>
            <w:vAlign w:val="bottom"/>
            <w:hideMark/>
          </w:tcPr>
          <w:p w14:paraId="430E7C28" w14:textId="666CF6EF" w:rsidR="000220D0" w:rsidRPr="003A6CA9" w:rsidRDefault="000220D0" w:rsidP="000220D0">
            <w:pPr>
              <w:jc w:val="center"/>
              <w:rPr>
                <w:rFonts w:ascii="Aptos" w:eastAsia="Times New Roman" w:hAnsi="Aptos" w:cs="Calibri"/>
                <w:b w:val="0"/>
                <w:bCs w:val="0"/>
                <w:color w:val="000000"/>
                <w:kern w:val="0"/>
                <w:sz w:val="20"/>
                <w:szCs w:val="20"/>
                <w:lang w:eastAsia="en-GB"/>
                <w14:ligatures w14:val="none"/>
              </w:rPr>
            </w:pPr>
            <w:r w:rsidRPr="003A6CA9">
              <w:rPr>
                <w:rFonts w:ascii="Aptos" w:hAnsi="Aptos" w:cs="Calibri"/>
                <w:b w:val="0"/>
                <w:bCs w:val="0"/>
                <w:color w:val="000000"/>
                <w:sz w:val="20"/>
                <w:szCs w:val="20"/>
              </w:rPr>
              <w:lastRenderedPageBreak/>
              <w:t>Santa Catarina</w:t>
            </w:r>
          </w:p>
        </w:tc>
        <w:tc>
          <w:tcPr>
            <w:tcW w:w="960" w:type="dxa"/>
            <w:noWrap/>
            <w:vAlign w:val="bottom"/>
            <w:hideMark/>
          </w:tcPr>
          <w:p w14:paraId="1DBDDB62" w14:textId="1DB6A25C" w:rsidR="000220D0" w:rsidRPr="0005675B" w:rsidRDefault="000220D0" w:rsidP="000220D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cost</w:t>
            </w:r>
          </w:p>
        </w:tc>
        <w:tc>
          <w:tcPr>
            <w:tcW w:w="1020" w:type="dxa"/>
            <w:noWrap/>
            <w:vAlign w:val="bottom"/>
            <w:hideMark/>
          </w:tcPr>
          <w:p w14:paraId="1795F1B5" w14:textId="6EE1516D" w:rsidR="000220D0" w:rsidRPr="0005675B" w:rsidRDefault="000220D0" w:rsidP="000220D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182.45</w:t>
            </w:r>
          </w:p>
        </w:tc>
        <w:tc>
          <w:tcPr>
            <w:tcW w:w="1400" w:type="dxa"/>
            <w:noWrap/>
            <w:vAlign w:val="bottom"/>
            <w:hideMark/>
          </w:tcPr>
          <w:p w14:paraId="6E665B95" w14:textId="22220973" w:rsidR="000220D0" w:rsidRPr="0005675B" w:rsidRDefault="000220D0" w:rsidP="000220D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177.78</w:t>
            </w:r>
          </w:p>
        </w:tc>
        <w:tc>
          <w:tcPr>
            <w:tcW w:w="1140" w:type="dxa"/>
            <w:noWrap/>
            <w:vAlign w:val="bottom"/>
            <w:hideMark/>
          </w:tcPr>
          <w:p w14:paraId="67D4511F" w14:textId="0C020573" w:rsidR="000220D0" w:rsidRPr="0005675B" w:rsidRDefault="000220D0" w:rsidP="000220D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187.13</w:t>
            </w:r>
          </w:p>
        </w:tc>
      </w:tr>
      <w:tr w:rsidR="000220D0" w:rsidRPr="0005675B" w14:paraId="70A26A10" w14:textId="77777777" w:rsidTr="000220D0">
        <w:trPr>
          <w:trHeight w:val="260"/>
          <w:jc w:val="center"/>
        </w:trPr>
        <w:tc>
          <w:tcPr>
            <w:cnfStyle w:val="001000000000" w:firstRow="0" w:lastRow="0" w:firstColumn="1" w:lastColumn="0" w:oddVBand="0" w:evenVBand="0" w:oddHBand="0" w:evenHBand="0" w:firstRowFirstColumn="0" w:firstRowLastColumn="0" w:lastRowFirstColumn="0" w:lastRowLastColumn="0"/>
            <w:tcW w:w="2268" w:type="dxa"/>
            <w:noWrap/>
            <w:vAlign w:val="bottom"/>
            <w:hideMark/>
          </w:tcPr>
          <w:p w14:paraId="4180C82E" w14:textId="0F8E8E92" w:rsidR="000220D0" w:rsidRPr="003A6CA9" w:rsidRDefault="000220D0" w:rsidP="000220D0">
            <w:pPr>
              <w:jc w:val="center"/>
              <w:rPr>
                <w:rFonts w:ascii="Aptos" w:eastAsia="Times New Roman" w:hAnsi="Aptos" w:cs="Calibri"/>
                <w:b w:val="0"/>
                <w:bCs w:val="0"/>
                <w:color w:val="000000"/>
                <w:kern w:val="0"/>
                <w:sz w:val="20"/>
                <w:szCs w:val="20"/>
                <w:lang w:eastAsia="en-GB"/>
                <w14:ligatures w14:val="none"/>
              </w:rPr>
            </w:pPr>
            <w:r w:rsidRPr="003A6CA9">
              <w:rPr>
                <w:rFonts w:ascii="Aptos" w:hAnsi="Aptos" w:cs="Calibri"/>
                <w:b w:val="0"/>
                <w:bCs w:val="0"/>
                <w:color w:val="000000"/>
                <w:sz w:val="20"/>
                <w:szCs w:val="20"/>
              </w:rPr>
              <w:t>Santa Catarina</w:t>
            </w:r>
          </w:p>
        </w:tc>
        <w:tc>
          <w:tcPr>
            <w:tcW w:w="960" w:type="dxa"/>
            <w:noWrap/>
            <w:vAlign w:val="bottom"/>
            <w:hideMark/>
          </w:tcPr>
          <w:p w14:paraId="048C72FE" w14:textId="7F55082B" w:rsidR="000220D0" w:rsidRPr="0005675B" w:rsidRDefault="000220D0" w:rsidP="000220D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yield</w:t>
            </w:r>
          </w:p>
        </w:tc>
        <w:tc>
          <w:tcPr>
            <w:tcW w:w="1020" w:type="dxa"/>
            <w:noWrap/>
            <w:vAlign w:val="bottom"/>
            <w:hideMark/>
          </w:tcPr>
          <w:p w14:paraId="1B242B6E" w14:textId="0949AC76" w:rsidR="000220D0" w:rsidRPr="0005675B" w:rsidRDefault="000220D0" w:rsidP="000220D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24.98</w:t>
            </w:r>
          </w:p>
        </w:tc>
        <w:tc>
          <w:tcPr>
            <w:tcW w:w="1400" w:type="dxa"/>
            <w:noWrap/>
            <w:vAlign w:val="bottom"/>
            <w:hideMark/>
          </w:tcPr>
          <w:p w14:paraId="55A2D46E" w14:textId="784A813E" w:rsidR="000220D0" w:rsidRPr="0005675B" w:rsidRDefault="000220D0" w:rsidP="000220D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21.96</w:t>
            </w:r>
          </w:p>
        </w:tc>
        <w:tc>
          <w:tcPr>
            <w:tcW w:w="1140" w:type="dxa"/>
            <w:noWrap/>
            <w:vAlign w:val="bottom"/>
            <w:hideMark/>
          </w:tcPr>
          <w:p w14:paraId="62BC6603" w14:textId="75754B3E" w:rsidR="000220D0" w:rsidRPr="0005675B" w:rsidRDefault="000220D0" w:rsidP="000220D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28.01</w:t>
            </w:r>
          </w:p>
        </w:tc>
      </w:tr>
      <w:tr w:rsidR="000220D0" w:rsidRPr="0005675B" w14:paraId="1994E8B1" w14:textId="77777777" w:rsidTr="000220D0">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268" w:type="dxa"/>
            <w:noWrap/>
            <w:vAlign w:val="bottom"/>
            <w:hideMark/>
          </w:tcPr>
          <w:p w14:paraId="21CBD403" w14:textId="07A6170B" w:rsidR="000220D0" w:rsidRPr="003A6CA9" w:rsidRDefault="000220D0" w:rsidP="000220D0">
            <w:pPr>
              <w:jc w:val="center"/>
              <w:rPr>
                <w:rFonts w:ascii="Aptos" w:eastAsia="Times New Roman" w:hAnsi="Aptos" w:cs="Calibri"/>
                <w:b w:val="0"/>
                <w:bCs w:val="0"/>
                <w:color w:val="000000"/>
                <w:kern w:val="0"/>
                <w:sz w:val="20"/>
                <w:szCs w:val="20"/>
                <w:lang w:eastAsia="en-GB"/>
                <w14:ligatures w14:val="none"/>
              </w:rPr>
            </w:pPr>
            <w:r w:rsidRPr="003A6CA9">
              <w:rPr>
                <w:rFonts w:ascii="Aptos" w:hAnsi="Aptos" w:cs="Calibri"/>
                <w:b w:val="0"/>
                <w:bCs w:val="0"/>
                <w:color w:val="000000"/>
                <w:sz w:val="20"/>
                <w:szCs w:val="20"/>
              </w:rPr>
              <w:t>São Paulo</w:t>
            </w:r>
          </w:p>
        </w:tc>
        <w:tc>
          <w:tcPr>
            <w:tcW w:w="960" w:type="dxa"/>
            <w:noWrap/>
            <w:vAlign w:val="bottom"/>
            <w:hideMark/>
          </w:tcPr>
          <w:p w14:paraId="239135A8" w14:textId="594A7F00" w:rsidR="000220D0" w:rsidRPr="0005675B" w:rsidRDefault="000220D0" w:rsidP="000220D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cost</w:t>
            </w:r>
          </w:p>
        </w:tc>
        <w:tc>
          <w:tcPr>
            <w:tcW w:w="1020" w:type="dxa"/>
            <w:noWrap/>
            <w:vAlign w:val="bottom"/>
            <w:hideMark/>
          </w:tcPr>
          <w:p w14:paraId="14C43B36" w14:textId="33F26E68" w:rsidR="000220D0" w:rsidRPr="0005675B" w:rsidRDefault="000220D0" w:rsidP="000220D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201.56</w:t>
            </w:r>
          </w:p>
        </w:tc>
        <w:tc>
          <w:tcPr>
            <w:tcW w:w="1400" w:type="dxa"/>
            <w:noWrap/>
            <w:vAlign w:val="bottom"/>
            <w:hideMark/>
          </w:tcPr>
          <w:p w14:paraId="47203D8A" w14:textId="02BAFF5C" w:rsidR="000220D0" w:rsidRPr="0005675B" w:rsidRDefault="000220D0" w:rsidP="000220D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199.86</w:t>
            </w:r>
          </w:p>
        </w:tc>
        <w:tc>
          <w:tcPr>
            <w:tcW w:w="1140" w:type="dxa"/>
            <w:noWrap/>
            <w:vAlign w:val="bottom"/>
            <w:hideMark/>
          </w:tcPr>
          <w:p w14:paraId="3AE5B671" w14:textId="589BB196" w:rsidR="000220D0" w:rsidRPr="0005675B" w:rsidRDefault="000220D0" w:rsidP="000220D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203.27</w:t>
            </w:r>
          </w:p>
        </w:tc>
      </w:tr>
      <w:tr w:rsidR="000220D0" w:rsidRPr="0005675B" w14:paraId="3D72217D" w14:textId="77777777" w:rsidTr="000220D0">
        <w:trPr>
          <w:trHeight w:val="260"/>
          <w:jc w:val="center"/>
        </w:trPr>
        <w:tc>
          <w:tcPr>
            <w:cnfStyle w:val="001000000000" w:firstRow="0" w:lastRow="0" w:firstColumn="1" w:lastColumn="0" w:oddVBand="0" w:evenVBand="0" w:oddHBand="0" w:evenHBand="0" w:firstRowFirstColumn="0" w:firstRowLastColumn="0" w:lastRowFirstColumn="0" w:lastRowLastColumn="0"/>
            <w:tcW w:w="2268" w:type="dxa"/>
            <w:noWrap/>
            <w:vAlign w:val="bottom"/>
            <w:hideMark/>
          </w:tcPr>
          <w:p w14:paraId="00AF8766" w14:textId="4AF58D29" w:rsidR="000220D0" w:rsidRPr="003A6CA9" w:rsidRDefault="000220D0" w:rsidP="000220D0">
            <w:pPr>
              <w:jc w:val="center"/>
              <w:rPr>
                <w:rFonts w:ascii="Aptos" w:eastAsia="Times New Roman" w:hAnsi="Aptos" w:cs="Calibri"/>
                <w:b w:val="0"/>
                <w:bCs w:val="0"/>
                <w:color w:val="000000"/>
                <w:kern w:val="0"/>
                <w:sz w:val="20"/>
                <w:szCs w:val="20"/>
                <w:lang w:eastAsia="en-GB"/>
                <w14:ligatures w14:val="none"/>
              </w:rPr>
            </w:pPr>
            <w:r w:rsidRPr="003A6CA9">
              <w:rPr>
                <w:rFonts w:ascii="Aptos" w:hAnsi="Aptos" w:cs="Calibri"/>
                <w:b w:val="0"/>
                <w:bCs w:val="0"/>
                <w:color w:val="000000"/>
                <w:sz w:val="20"/>
                <w:szCs w:val="20"/>
              </w:rPr>
              <w:t>São Paulo</w:t>
            </w:r>
          </w:p>
        </w:tc>
        <w:tc>
          <w:tcPr>
            <w:tcW w:w="960" w:type="dxa"/>
            <w:noWrap/>
            <w:vAlign w:val="bottom"/>
            <w:hideMark/>
          </w:tcPr>
          <w:p w14:paraId="68EA1743" w14:textId="182F69EA" w:rsidR="000220D0" w:rsidRPr="0005675B" w:rsidRDefault="000220D0" w:rsidP="000220D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yield</w:t>
            </w:r>
          </w:p>
        </w:tc>
        <w:tc>
          <w:tcPr>
            <w:tcW w:w="1020" w:type="dxa"/>
            <w:noWrap/>
            <w:vAlign w:val="bottom"/>
            <w:hideMark/>
          </w:tcPr>
          <w:p w14:paraId="778B62EB" w14:textId="67A927B5" w:rsidR="000220D0" w:rsidRPr="0005675B" w:rsidRDefault="000220D0" w:rsidP="000220D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49.00</w:t>
            </w:r>
          </w:p>
        </w:tc>
        <w:tc>
          <w:tcPr>
            <w:tcW w:w="1400" w:type="dxa"/>
            <w:noWrap/>
            <w:vAlign w:val="bottom"/>
            <w:hideMark/>
          </w:tcPr>
          <w:p w14:paraId="395EC729" w14:textId="4A05412E" w:rsidR="000220D0" w:rsidRPr="0005675B" w:rsidRDefault="000220D0" w:rsidP="000220D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48.16</w:t>
            </w:r>
          </w:p>
        </w:tc>
        <w:tc>
          <w:tcPr>
            <w:tcW w:w="1140" w:type="dxa"/>
            <w:noWrap/>
            <w:vAlign w:val="bottom"/>
            <w:hideMark/>
          </w:tcPr>
          <w:p w14:paraId="040B380E" w14:textId="5BC7971A" w:rsidR="000220D0" w:rsidRPr="0005675B" w:rsidRDefault="000220D0" w:rsidP="000220D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49.84</w:t>
            </w:r>
          </w:p>
        </w:tc>
      </w:tr>
      <w:tr w:rsidR="000220D0" w:rsidRPr="0005675B" w14:paraId="722AD3F9" w14:textId="77777777" w:rsidTr="000220D0">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268" w:type="dxa"/>
            <w:noWrap/>
            <w:vAlign w:val="bottom"/>
            <w:hideMark/>
          </w:tcPr>
          <w:p w14:paraId="5E7B9F49" w14:textId="0332CC1B" w:rsidR="000220D0" w:rsidRPr="003A6CA9" w:rsidRDefault="000220D0" w:rsidP="000220D0">
            <w:pPr>
              <w:jc w:val="center"/>
              <w:rPr>
                <w:rFonts w:ascii="Aptos" w:eastAsia="Times New Roman" w:hAnsi="Aptos" w:cs="Calibri"/>
                <w:b w:val="0"/>
                <w:bCs w:val="0"/>
                <w:color w:val="000000"/>
                <w:kern w:val="0"/>
                <w:sz w:val="20"/>
                <w:szCs w:val="20"/>
                <w:lang w:eastAsia="en-GB"/>
                <w14:ligatures w14:val="none"/>
              </w:rPr>
            </w:pPr>
            <w:r w:rsidRPr="003A6CA9">
              <w:rPr>
                <w:rFonts w:ascii="Aptos" w:hAnsi="Aptos" w:cs="Calibri"/>
                <w:b w:val="0"/>
                <w:bCs w:val="0"/>
                <w:color w:val="000000"/>
                <w:sz w:val="20"/>
                <w:szCs w:val="20"/>
              </w:rPr>
              <w:t>Sergipe</w:t>
            </w:r>
          </w:p>
        </w:tc>
        <w:tc>
          <w:tcPr>
            <w:tcW w:w="960" w:type="dxa"/>
            <w:noWrap/>
            <w:vAlign w:val="bottom"/>
            <w:hideMark/>
          </w:tcPr>
          <w:p w14:paraId="479A9C6B" w14:textId="223965E3" w:rsidR="000220D0" w:rsidRPr="0005675B" w:rsidRDefault="000220D0" w:rsidP="000220D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cost</w:t>
            </w:r>
          </w:p>
        </w:tc>
        <w:tc>
          <w:tcPr>
            <w:tcW w:w="1020" w:type="dxa"/>
            <w:noWrap/>
            <w:vAlign w:val="bottom"/>
            <w:hideMark/>
          </w:tcPr>
          <w:p w14:paraId="116F9A1A" w14:textId="0869E3E2" w:rsidR="000220D0" w:rsidRPr="0005675B" w:rsidRDefault="000220D0" w:rsidP="000220D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189.02</w:t>
            </w:r>
          </w:p>
        </w:tc>
        <w:tc>
          <w:tcPr>
            <w:tcW w:w="1400" w:type="dxa"/>
            <w:noWrap/>
            <w:vAlign w:val="bottom"/>
            <w:hideMark/>
          </w:tcPr>
          <w:p w14:paraId="01779A23" w14:textId="0B44F0CF" w:rsidR="000220D0" w:rsidRPr="0005675B" w:rsidRDefault="000220D0" w:rsidP="000220D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174.26</w:t>
            </w:r>
          </w:p>
        </w:tc>
        <w:tc>
          <w:tcPr>
            <w:tcW w:w="1140" w:type="dxa"/>
            <w:noWrap/>
            <w:vAlign w:val="bottom"/>
            <w:hideMark/>
          </w:tcPr>
          <w:p w14:paraId="6460D727" w14:textId="46BFD9FA" w:rsidR="000220D0" w:rsidRPr="0005675B" w:rsidRDefault="000220D0" w:rsidP="000220D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203.77</w:t>
            </w:r>
          </w:p>
        </w:tc>
      </w:tr>
      <w:tr w:rsidR="000220D0" w:rsidRPr="0005675B" w14:paraId="3190C8B2" w14:textId="77777777" w:rsidTr="000220D0">
        <w:trPr>
          <w:trHeight w:val="260"/>
          <w:jc w:val="center"/>
        </w:trPr>
        <w:tc>
          <w:tcPr>
            <w:cnfStyle w:val="001000000000" w:firstRow="0" w:lastRow="0" w:firstColumn="1" w:lastColumn="0" w:oddVBand="0" w:evenVBand="0" w:oddHBand="0" w:evenHBand="0" w:firstRowFirstColumn="0" w:firstRowLastColumn="0" w:lastRowFirstColumn="0" w:lastRowLastColumn="0"/>
            <w:tcW w:w="2268" w:type="dxa"/>
            <w:noWrap/>
            <w:vAlign w:val="bottom"/>
            <w:hideMark/>
          </w:tcPr>
          <w:p w14:paraId="7012F6D5" w14:textId="08AB3286" w:rsidR="000220D0" w:rsidRPr="003A6CA9" w:rsidRDefault="000220D0" w:rsidP="000220D0">
            <w:pPr>
              <w:jc w:val="center"/>
              <w:rPr>
                <w:rFonts w:ascii="Aptos" w:eastAsia="Times New Roman" w:hAnsi="Aptos" w:cs="Calibri"/>
                <w:b w:val="0"/>
                <w:bCs w:val="0"/>
                <w:color w:val="000000"/>
                <w:kern w:val="0"/>
                <w:sz w:val="20"/>
                <w:szCs w:val="20"/>
                <w:lang w:eastAsia="en-GB"/>
                <w14:ligatures w14:val="none"/>
              </w:rPr>
            </w:pPr>
            <w:r w:rsidRPr="003A6CA9">
              <w:rPr>
                <w:rFonts w:ascii="Aptos" w:hAnsi="Aptos" w:cs="Calibri"/>
                <w:b w:val="0"/>
                <w:bCs w:val="0"/>
                <w:color w:val="000000"/>
                <w:sz w:val="20"/>
                <w:szCs w:val="20"/>
              </w:rPr>
              <w:t>Sergipe</w:t>
            </w:r>
          </w:p>
        </w:tc>
        <w:tc>
          <w:tcPr>
            <w:tcW w:w="960" w:type="dxa"/>
            <w:noWrap/>
            <w:vAlign w:val="bottom"/>
            <w:hideMark/>
          </w:tcPr>
          <w:p w14:paraId="2294417E" w14:textId="51D2134B" w:rsidR="000220D0" w:rsidRPr="0005675B" w:rsidRDefault="000220D0" w:rsidP="000220D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yield</w:t>
            </w:r>
          </w:p>
        </w:tc>
        <w:tc>
          <w:tcPr>
            <w:tcW w:w="1020" w:type="dxa"/>
            <w:noWrap/>
            <w:vAlign w:val="bottom"/>
            <w:hideMark/>
          </w:tcPr>
          <w:p w14:paraId="2CA138D8" w14:textId="08356F0C" w:rsidR="000220D0" w:rsidRPr="0005675B" w:rsidRDefault="000220D0" w:rsidP="000220D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6.42</w:t>
            </w:r>
          </w:p>
        </w:tc>
        <w:tc>
          <w:tcPr>
            <w:tcW w:w="1400" w:type="dxa"/>
            <w:noWrap/>
            <w:vAlign w:val="bottom"/>
            <w:hideMark/>
          </w:tcPr>
          <w:p w14:paraId="400E878B" w14:textId="4EBBE72E" w:rsidR="000220D0" w:rsidRPr="0005675B" w:rsidRDefault="000220D0" w:rsidP="000220D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2.28</w:t>
            </w:r>
          </w:p>
        </w:tc>
        <w:tc>
          <w:tcPr>
            <w:tcW w:w="1140" w:type="dxa"/>
            <w:noWrap/>
            <w:vAlign w:val="bottom"/>
            <w:hideMark/>
          </w:tcPr>
          <w:p w14:paraId="0872A782" w14:textId="440686D0" w:rsidR="000220D0" w:rsidRPr="0005675B" w:rsidRDefault="000220D0" w:rsidP="000220D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10.56</w:t>
            </w:r>
          </w:p>
        </w:tc>
      </w:tr>
      <w:tr w:rsidR="000220D0" w:rsidRPr="0005675B" w14:paraId="1AF827D7" w14:textId="77777777" w:rsidTr="000220D0">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268" w:type="dxa"/>
            <w:noWrap/>
            <w:vAlign w:val="bottom"/>
            <w:hideMark/>
          </w:tcPr>
          <w:p w14:paraId="1A701D6C" w14:textId="35A35693" w:rsidR="000220D0" w:rsidRPr="003A6CA9" w:rsidRDefault="000220D0" w:rsidP="000220D0">
            <w:pPr>
              <w:jc w:val="center"/>
              <w:rPr>
                <w:rFonts w:ascii="Aptos" w:eastAsia="Times New Roman" w:hAnsi="Aptos" w:cs="Calibri"/>
                <w:b w:val="0"/>
                <w:bCs w:val="0"/>
                <w:color w:val="000000"/>
                <w:kern w:val="0"/>
                <w:sz w:val="20"/>
                <w:szCs w:val="20"/>
                <w:lang w:eastAsia="en-GB"/>
                <w14:ligatures w14:val="none"/>
              </w:rPr>
            </w:pPr>
            <w:r w:rsidRPr="003A6CA9">
              <w:rPr>
                <w:rFonts w:ascii="Aptos" w:hAnsi="Aptos" w:cs="Calibri"/>
                <w:b w:val="0"/>
                <w:bCs w:val="0"/>
                <w:color w:val="000000"/>
                <w:sz w:val="20"/>
                <w:szCs w:val="20"/>
              </w:rPr>
              <w:t>Tocantins</w:t>
            </w:r>
          </w:p>
        </w:tc>
        <w:tc>
          <w:tcPr>
            <w:tcW w:w="960" w:type="dxa"/>
            <w:noWrap/>
            <w:vAlign w:val="bottom"/>
            <w:hideMark/>
          </w:tcPr>
          <w:p w14:paraId="5A257A05" w14:textId="02011DE8" w:rsidR="000220D0" w:rsidRPr="0005675B" w:rsidRDefault="000220D0" w:rsidP="000220D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cost</w:t>
            </w:r>
          </w:p>
        </w:tc>
        <w:tc>
          <w:tcPr>
            <w:tcW w:w="1020" w:type="dxa"/>
            <w:noWrap/>
            <w:vAlign w:val="bottom"/>
            <w:hideMark/>
          </w:tcPr>
          <w:p w14:paraId="6AC6FE16" w14:textId="0EDC69D8" w:rsidR="000220D0" w:rsidRPr="0005675B" w:rsidRDefault="000220D0" w:rsidP="000220D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176.79</w:t>
            </w:r>
          </w:p>
        </w:tc>
        <w:tc>
          <w:tcPr>
            <w:tcW w:w="1400" w:type="dxa"/>
            <w:noWrap/>
            <w:vAlign w:val="bottom"/>
            <w:hideMark/>
          </w:tcPr>
          <w:p w14:paraId="6F0E7DE3" w14:textId="687B5EA2" w:rsidR="000220D0" w:rsidRPr="0005675B" w:rsidRDefault="000220D0" w:rsidP="000220D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173.80</w:t>
            </w:r>
          </w:p>
        </w:tc>
        <w:tc>
          <w:tcPr>
            <w:tcW w:w="1140" w:type="dxa"/>
            <w:noWrap/>
            <w:vAlign w:val="bottom"/>
            <w:hideMark/>
          </w:tcPr>
          <w:p w14:paraId="1A005CE3" w14:textId="3D051F2D" w:rsidR="000220D0" w:rsidRPr="0005675B" w:rsidRDefault="000220D0" w:rsidP="000220D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179.78</w:t>
            </w:r>
          </w:p>
        </w:tc>
      </w:tr>
      <w:tr w:rsidR="000220D0" w:rsidRPr="0005675B" w14:paraId="23AE62D1" w14:textId="77777777" w:rsidTr="000220D0">
        <w:trPr>
          <w:trHeight w:val="260"/>
          <w:jc w:val="center"/>
        </w:trPr>
        <w:tc>
          <w:tcPr>
            <w:cnfStyle w:val="001000000000" w:firstRow="0" w:lastRow="0" w:firstColumn="1" w:lastColumn="0" w:oddVBand="0" w:evenVBand="0" w:oddHBand="0" w:evenHBand="0" w:firstRowFirstColumn="0" w:firstRowLastColumn="0" w:lastRowFirstColumn="0" w:lastRowLastColumn="0"/>
            <w:tcW w:w="2268" w:type="dxa"/>
            <w:tcBorders>
              <w:bottom w:val="single" w:sz="4" w:space="0" w:color="auto"/>
            </w:tcBorders>
            <w:noWrap/>
            <w:vAlign w:val="bottom"/>
            <w:hideMark/>
          </w:tcPr>
          <w:p w14:paraId="3D1D1F80" w14:textId="2A4BE1E4" w:rsidR="000220D0" w:rsidRPr="003A6CA9" w:rsidRDefault="000220D0" w:rsidP="000220D0">
            <w:pPr>
              <w:jc w:val="center"/>
              <w:rPr>
                <w:rFonts w:ascii="Aptos" w:eastAsia="Times New Roman" w:hAnsi="Aptos" w:cs="Calibri"/>
                <w:b w:val="0"/>
                <w:bCs w:val="0"/>
                <w:color w:val="000000"/>
                <w:kern w:val="0"/>
                <w:sz w:val="20"/>
                <w:szCs w:val="20"/>
                <w:lang w:eastAsia="en-GB"/>
                <w14:ligatures w14:val="none"/>
              </w:rPr>
            </w:pPr>
            <w:r w:rsidRPr="003A6CA9">
              <w:rPr>
                <w:rFonts w:ascii="Aptos" w:hAnsi="Aptos" w:cs="Calibri"/>
                <w:b w:val="0"/>
                <w:bCs w:val="0"/>
                <w:color w:val="000000"/>
                <w:sz w:val="20"/>
                <w:szCs w:val="20"/>
              </w:rPr>
              <w:t>Tocantins</w:t>
            </w:r>
          </w:p>
        </w:tc>
        <w:tc>
          <w:tcPr>
            <w:tcW w:w="960" w:type="dxa"/>
            <w:tcBorders>
              <w:bottom w:val="single" w:sz="4" w:space="0" w:color="auto"/>
            </w:tcBorders>
            <w:noWrap/>
            <w:vAlign w:val="bottom"/>
            <w:hideMark/>
          </w:tcPr>
          <w:p w14:paraId="214E346A" w14:textId="0A4DCACE" w:rsidR="000220D0" w:rsidRPr="0005675B" w:rsidRDefault="000220D0" w:rsidP="000220D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yield</w:t>
            </w:r>
          </w:p>
        </w:tc>
        <w:tc>
          <w:tcPr>
            <w:tcW w:w="1020" w:type="dxa"/>
            <w:tcBorders>
              <w:bottom w:val="single" w:sz="4" w:space="0" w:color="auto"/>
            </w:tcBorders>
            <w:noWrap/>
            <w:vAlign w:val="bottom"/>
            <w:hideMark/>
          </w:tcPr>
          <w:p w14:paraId="503D81DA" w14:textId="2BD73DDC" w:rsidR="000220D0" w:rsidRPr="0005675B" w:rsidRDefault="000220D0" w:rsidP="000220D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31.19</w:t>
            </w:r>
          </w:p>
        </w:tc>
        <w:tc>
          <w:tcPr>
            <w:tcW w:w="1400" w:type="dxa"/>
            <w:tcBorders>
              <w:bottom w:val="single" w:sz="4" w:space="0" w:color="auto"/>
            </w:tcBorders>
            <w:noWrap/>
            <w:vAlign w:val="bottom"/>
            <w:hideMark/>
          </w:tcPr>
          <w:p w14:paraId="62AB5CA3" w14:textId="1A6A8FBA" w:rsidR="000220D0" w:rsidRPr="0005675B" w:rsidRDefault="000220D0" w:rsidP="000220D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29.35</w:t>
            </w:r>
          </w:p>
        </w:tc>
        <w:tc>
          <w:tcPr>
            <w:tcW w:w="1140" w:type="dxa"/>
            <w:tcBorders>
              <w:bottom w:val="single" w:sz="4" w:space="0" w:color="auto"/>
            </w:tcBorders>
            <w:noWrap/>
            <w:vAlign w:val="bottom"/>
            <w:hideMark/>
          </w:tcPr>
          <w:p w14:paraId="630DCE40" w14:textId="1BE928DB" w:rsidR="000220D0" w:rsidRPr="0005675B" w:rsidRDefault="000220D0" w:rsidP="000220D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0"/>
                <w:szCs w:val="20"/>
                <w:lang w:eastAsia="en-GB"/>
                <w14:ligatures w14:val="none"/>
              </w:rPr>
            </w:pPr>
            <w:r>
              <w:rPr>
                <w:rFonts w:ascii="Aptos" w:hAnsi="Aptos" w:cs="Calibri"/>
                <w:color w:val="000000"/>
                <w:sz w:val="20"/>
                <w:szCs w:val="20"/>
              </w:rPr>
              <w:t>33.02</w:t>
            </w:r>
          </w:p>
        </w:tc>
      </w:tr>
    </w:tbl>
    <w:p w14:paraId="282CDC41" w14:textId="77777777" w:rsidR="00DC484C" w:rsidRDefault="00DC484C" w:rsidP="00DC484C">
      <w:pPr>
        <w:pStyle w:val="Bibliography"/>
      </w:pPr>
    </w:p>
    <w:p w14:paraId="5F49E214" w14:textId="77777777" w:rsidR="00DC484C" w:rsidRDefault="00DC484C" w:rsidP="00DC484C">
      <w:r>
        <w:br w:type="page"/>
      </w:r>
    </w:p>
    <w:p w14:paraId="02FEB29E" w14:textId="7BD06F13" w:rsidR="00BE085F" w:rsidRPr="00BE085F" w:rsidRDefault="00244CB4" w:rsidP="00BE085F">
      <w:pPr>
        <w:pStyle w:val="Caption"/>
      </w:pPr>
      <w:bookmarkStart w:id="48" w:name="_Ref221025830"/>
      <w:bookmarkStart w:id="49" w:name="_Toc221109375"/>
      <w:bookmarkStart w:id="50" w:name="_Ref196749039"/>
      <w:r w:rsidRPr="00BE085F">
        <w:lastRenderedPageBreak/>
        <w:t xml:space="preserve">Supplementary Table </w:t>
      </w:r>
      <w:fldSimple w:instr=" SEQ Supplementary_Table \* ARABIC ">
        <w:r w:rsidR="00584816">
          <w:rPr>
            <w:noProof/>
          </w:rPr>
          <w:t>3</w:t>
        </w:r>
      </w:fldSimple>
      <w:bookmarkEnd w:id="48"/>
      <w:r w:rsidR="00DC484C" w:rsidRPr="00BE085F">
        <w:t>. Reform</w:t>
      </w:r>
      <w:r w:rsidR="001F786C">
        <w:t xml:space="preserve">, </w:t>
      </w:r>
      <w:r w:rsidR="00DC484C" w:rsidRPr="00BE085F">
        <w:t xml:space="preserve">recovery </w:t>
      </w:r>
      <w:r w:rsidR="001F786C">
        <w:t xml:space="preserve"> and maintenance </w:t>
      </w:r>
      <w:r w:rsidR="00DC484C" w:rsidRPr="00BE085F">
        <w:t>costs (in 2021 USD per hectare) for Brazilian biomes.</w:t>
      </w:r>
      <w:bookmarkEnd w:id="49"/>
      <w:r w:rsidR="00DC484C" w:rsidRPr="00BE085F">
        <w:t xml:space="preserve"> </w:t>
      </w:r>
    </w:p>
    <w:p w14:paraId="30730FE1" w14:textId="3D7E8079" w:rsidR="00DC484C" w:rsidRPr="00244CB4" w:rsidRDefault="00DC484C" w:rsidP="00BE085F">
      <w:pPr>
        <w:pStyle w:val="captiondescription"/>
        <w:rPr>
          <w:b/>
          <w:bCs/>
        </w:rPr>
      </w:pPr>
      <w:r w:rsidRPr="00244CB4">
        <w:t>Reform costs apply to low-</w:t>
      </w:r>
      <w:r w:rsidR="00D22CE7" w:rsidRPr="00244CB4">
        <w:t>vigour</w:t>
      </w:r>
      <w:r w:rsidRPr="00244CB4">
        <w:t xml:space="preserve"> pastures, while recovery costs apply to medium-</w:t>
      </w:r>
      <w:r w:rsidR="00D22CE7" w:rsidRPr="00244CB4">
        <w:t>vigour</w:t>
      </w:r>
      <w:r w:rsidRPr="00244CB4">
        <w:t xml:space="preserve"> pastures.</w:t>
      </w:r>
      <w:r w:rsidR="00D22CE7">
        <w:t xml:space="preserve"> After reform of recovery,</w:t>
      </w:r>
      <w:r w:rsidRPr="00244CB4">
        <w:t xml:space="preserve"> </w:t>
      </w:r>
      <w:r w:rsidR="00D22CE7">
        <w:t>a</w:t>
      </w:r>
      <w:r w:rsidR="001F786C" w:rsidRPr="002027CF">
        <w:t>nnual maintenance costs</w:t>
      </w:r>
      <w:r w:rsidR="002B2942">
        <w:t xml:space="preserve"> incur</w:t>
      </w:r>
      <w:r w:rsidR="001F786C" w:rsidRPr="002027CF">
        <w:t xml:space="preserve">. </w:t>
      </w:r>
      <w:r w:rsidRPr="00244CB4">
        <w:t xml:space="preserve">Values were extracted from </w:t>
      </w:r>
      <w:r w:rsidR="00EE178D">
        <w:t>Carlos et al</w:t>
      </w:r>
      <w:r w:rsidRPr="00244CB4">
        <w:t xml:space="preserve">. </w:t>
      </w:r>
      <w:r w:rsidRPr="00244CB4">
        <w:rPr>
          <w:b/>
          <w:bCs/>
        </w:rPr>
        <w:fldChar w:fldCharType="begin"/>
      </w:r>
      <w:r w:rsidR="00C768D3">
        <w:instrText xml:space="preserve"> ADDIN ZOTERO_ITEM CSL_CITATION {"citationID":"7KFsUUed","properties":{"formattedCitation":"\\super 5\\nosupersub{}","plainCitation":"5","noteIndex":0},"citationItems":[{"id":6320,"uris":["http://zotero.org/users/3309187/items/89BS6WRQ"],"itemData":{"id":6320,"type":"report","language":"en","publisher":"Observatório de Conhecimento e Inovação em Bioeconomia, Fundação Getúlio Vargas","publisher-place":"FGV-EESP, São Paulo, SP, Brasil.","source":"Zotero","title":"Costs of recovering degraded pastures in the brazilian states and biomes","URL":"https://agro.fgv.br/sites/default/files/2023-02/costs_of_recovering_degraded_pastures_in_the_brazilian_states_and_biomes_0.pdf","author":[{"family":"Carlos","given":"Sabrina De Matos"},{"family":"Assad","given":"Eduardo Delgado"},{"family":"Estevam","given":"Camila Genaro"},{"family":"Lima","given":"Cicero Zanetti De"},{"family":"Pavão","given":"Eduardo De Moraes"},{"family":"Pinto","given":"Talita Priscila"}],"issued":{"date-parts":[["2022"]]}},"label":"page","suppress-author":true}],"schema":"https://github.com/citation-style-language/schema/raw/master/csl-citation.json"} </w:instrText>
      </w:r>
      <w:r w:rsidRPr="00244CB4">
        <w:rPr>
          <w:b/>
          <w:bCs/>
        </w:rPr>
        <w:fldChar w:fldCharType="separate"/>
      </w:r>
      <w:r w:rsidR="00C768D3" w:rsidRPr="00C768D3">
        <w:rPr>
          <w:rFonts w:ascii="Aptos" w:hAnsi="Aptos" w:cs="Times New Roman"/>
          <w:kern w:val="0"/>
          <w:vertAlign w:val="superscript"/>
        </w:rPr>
        <w:t>5</w:t>
      </w:r>
      <w:r w:rsidRPr="00244CB4">
        <w:rPr>
          <w:b/>
          <w:bCs/>
        </w:rPr>
        <w:fldChar w:fldCharType="end"/>
      </w:r>
      <w:bookmarkEnd w:id="50"/>
      <w:r w:rsidRPr="00244CB4">
        <w:t>.</w:t>
      </w:r>
    </w:p>
    <w:p w14:paraId="0A319362" w14:textId="68D2F53A" w:rsidR="00244CB4" w:rsidRDefault="00244CB4" w:rsidP="00244CB4">
      <w:pPr>
        <w:pStyle w:val="Caption"/>
        <w:keepNext/>
      </w:pPr>
    </w:p>
    <w:tbl>
      <w:tblPr>
        <w:tblStyle w:val="Table"/>
        <w:tblW w:w="0" w:type="auto"/>
        <w:jc w:val="center"/>
        <w:tblLook w:val="0020" w:firstRow="1" w:lastRow="0" w:firstColumn="0" w:lastColumn="0" w:noHBand="0" w:noVBand="0"/>
        <w:tblCaption w:val="Table1. Reform and recovery costs in 2022 BRL per ha for Brazilian Biomes. Low vigor pastures needs reform, medium cost recovery."/>
      </w:tblPr>
      <w:tblGrid>
        <w:gridCol w:w="1475"/>
        <w:gridCol w:w="888"/>
        <w:gridCol w:w="1061"/>
        <w:gridCol w:w="1406"/>
      </w:tblGrid>
      <w:tr w:rsidR="00DD03EE" w14:paraId="581FB26F" w14:textId="73B1222E" w:rsidTr="00ED1DCA">
        <w:trPr>
          <w:cnfStyle w:val="100000000000" w:firstRow="1" w:lastRow="0" w:firstColumn="0" w:lastColumn="0" w:oddVBand="0" w:evenVBand="0" w:oddHBand="0" w:evenHBand="0" w:firstRowFirstColumn="0" w:firstRowLastColumn="0" w:lastRowFirstColumn="0" w:lastRowLastColumn="0"/>
          <w:tblHeader/>
          <w:jc w:val="center"/>
        </w:trPr>
        <w:tc>
          <w:tcPr>
            <w:tcW w:w="0" w:type="auto"/>
            <w:tcBorders>
              <w:top w:val="single" w:sz="4" w:space="0" w:color="auto"/>
              <w:bottom w:val="single" w:sz="2" w:space="0" w:color="auto"/>
            </w:tcBorders>
          </w:tcPr>
          <w:p w14:paraId="4934F2D2" w14:textId="77777777" w:rsidR="00DD03EE" w:rsidRPr="001562AE" w:rsidRDefault="00DD03EE" w:rsidP="00016B36">
            <w:pPr>
              <w:pStyle w:val="Compact"/>
              <w:rPr>
                <w:b/>
                <w:bCs/>
              </w:rPr>
            </w:pPr>
            <w:r w:rsidRPr="001562AE">
              <w:rPr>
                <w:b/>
                <w:bCs/>
              </w:rPr>
              <w:t>Biome</w:t>
            </w:r>
          </w:p>
        </w:tc>
        <w:tc>
          <w:tcPr>
            <w:tcW w:w="0" w:type="auto"/>
            <w:tcBorders>
              <w:top w:val="single" w:sz="4" w:space="0" w:color="auto"/>
              <w:bottom w:val="single" w:sz="2" w:space="0" w:color="auto"/>
            </w:tcBorders>
          </w:tcPr>
          <w:p w14:paraId="0F543217" w14:textId="5753A373" w:rsidR="00DD03EE" w:rsidRPr="001562AE" w:rsidRDefault="00DD03EE" w:rsidP="00016B36">
            <w:pPr>
              <w:pStyle w:val="Compact"/>
              <w:rPr>
                <w:b/>
                <w:bCs/>
              </w:rPr>
            </w:pPr>
            <w:r>
              <w:rPr>
                <w:b/>
                <w:bCs/>
              </w:rPr>
              <w:t>Reform</w:t>
            </w:r>
          </w:p>
        </w:tc>
        <w:tc>
          <w:tcPr>
            <w:tcW w:w="0" w:type="auto"/>
            <w:tcBorders>
              <w:top w:val="single" w:sz="4" w:space="0" w:color="auto"/>
              <w:bottom w:val="single" w:sz="2" w:space="0" w:color="auto"/>
            </w:tcBorders>
          </w:tcPr>
          <w:p w14:paraId="2C1260FE" w14:textId="45E067FE" w:rsidR="00DD03EE" w:rsidRPr="001562AE" w:rsidRDefault="00354DCD" w:rsidP="00016B36">
            <w:pPr>
              <w:pStyle w:val="Compact"/>
              <w:rPr>
                <w:b/>
                <w:bCs/>
              </w:rPr>
            </w:pPr>
            <w:r>
              <w:rPr>
                <w:b/>
                <w:bCs/>
              </w:rPr>
              <w:t>Recovery</w:t>
            </w:r>
          </w:p>
        </w:tc>
        <w:tc>
          <w:tcPr>
            <w:tcW w:w="0" w:type="auto"/>
            <w:tcBorders>
              <w:top w:val="single" w:sz="4" w:space="0" w:color="auto"/>
              <w:bottom w:val="single" w:sz="2" w:space="0" w:color="auto"/>
            </w:tcBorders>
          </w:tcPr>
          <w:p w14:paraId="6D792B34" w14:textId="3412EFCA" w:rsidR="00DD03EE" w:rsidRPr="001562AE" w:rsidRDefault="00354DCD" w:rsidP="00016B36">
            <w:pPr>
              <w:pStyle w:val="Compact"/>
              <w:rPr>
                <w:b/>
                <w:bCs/>
              </w:rPr>
            </w:pPr>
            <w:r>
              <w:rPr>
                <w:b/>
                <w:bCs/>
              </w:rPr>
              <w:t>Maintenance</w:t>
            </w:r>
          </w:p>
        </w:tc>
      </w:tr>
      <w:tr w:rsidR="00DD03EE" w14:paraId="383022C6" w14:textId="222CC0B7" w:rsidTr="00ED1DCA">
        <w:trPr>
          <w:jc w:val="center"/>
        </w:trPr>
        <w:tc>
          <w:tcPr>
            <w:tcW w:w="0" w:type="auto"/>
            <w:tcBorders>
              <w:top w:val="single" w:sz="2" w:space="0" w:color="auto"/>
            </w:tcBorders>
          </w:tcPr>
          <w:p w14:paraId="530D3513" w14:textId="77777777" w:rsidR="00DD03EE" w:rsidRDefault="00DD03EE" w:rsidP="00016B36">
            <w:pPr>
              <w:pStyle w:val="Compact"/>
            </w:pPr>
            <w:r>
              <w:t>Amazonia</w:t>
            </w:r>
          </w:p>
        </w:tc>
        <w:tc>
          <w:tcPr>
            <w:tcW w:w="0" w:type="auto"/>
            <w:tcBorders>
              <w:top w:val="single" w:sz="2" w:space="0" w:color="auto"/>
            </w:tcBorders>
          </w:tcPr>
          <w:p w14:paraId="3CB9F132" w14:textId="77777777" w:rsidR="00DD03EE" w:rsidRDefault="00DD03EE" w:rsidP="001F786C">
            <w:pPr>
              <w:pStyle w:val="Compact"/>
              <w:jc w:val="center"/>
            </w:pPr>
            <w:r>
              <w:t>333</w:t>
            </w:r>
          </w:p>
        </w:tc>
        <w:tc>
          <w:tcPr>
            <w:tcW w:w="0" w:type="auto"/>
            <w:tcBorders>
              <w:top w:val="single" w:sz="2" w:space="0" w:color="auto"/>
            </w:tcBorders>
          </w:tcPr>
          <w:p w14:paraId="4466D618" w14:textId="77777777" w:rsidR="00DD03EE" w:rsidRDefault="00DD03EE" w:rsidP="001F786C">
            <w:pPr>
              <w:pStyle w:val="Compact"/>
              <w:jc w:val="center"/>
            </w:pPr>
            <w:r>
              <w:t>233</w:t>
            </w:r>
          </w:p>
        </w:tc>
        <w:tc>
          <w:tcPr>
            <w:tcW w:w="0" w:type="auto"/>
            <w:tcBorders>
              <w:top w:val="single" w:sz="2" w:space="0" w:color="auto"/>
            </w:tcBorders>
          </w:tcPr>
          <w:p w14:paraId="29E9F995" w14:textId="0B8B2A56" w:rsidR="00DD03EE" w:rsidRDefault="00354DCD" w:rsidP="001F786C">
            <w:pPr>
              <w:pStyle w:val="Compact"/>
              <w:jc w:val="center"/>
            </w:pPr>
            <w:r>
              <w:t>52</w:t>
            </w:r>
          </w:p>
        </w:tc>
      </w:tr>
      <w:tr w:rsidR="00DD03EE" w14:paraId="60FAB08C" w14:textId="599828BB" w:rsidTr="00ED1DCA">
        <w:trPr>
          <w:jc w:val="center"/>
        </w:trPr>
        <w:tc>
          <w:tcPr>
            <w:tcW w:w="0" w:type="auto"/>
          </w:tcPr>
          <w:p w14:paraId="29B2C76B" w14:textId="77777777" w:rsidR="00DD03EE" w:rsidRDefault="00DD03EE" w:rsidP="00016B36">
            <w:pPr>
              <w:pStyle w:val="Compact"/>
            </w:pPr>
            <w:r>
              <w:t>Caatinga</w:t>
            </w:r>
          </w:p>
        </w:tc>
        <w:tc>
          <w:tcPr>
            <w:tcW w:w="0" w:type="auto"/>
          </w:tcPr>
          <w:p w14:paraId="4A992445" w14:textId="77777777" w:rsidR="00DD03EE" w:rsidRDefault="00DD03EE" w:rsidP="001F786C">
            <w:pPr>
              <w:pStyle w:val="Compact"/>
              <w:jc w:val="center"/>
            </w:pPr>
            <w:r>
              <w:t>360</w:t>
            </w:r>
          </w:p>
        </w:tc>
        <w:tc>
          <w:tcPr>
            <w:tcW w:w="0" w:type="auto"/>
          </w:tcPr>
          <w:p w14:paraId="70114115" w14:textId="77777777" w:rsidR="00DD03EE" w:rsidRDefault="00DD03EE" w:rsidP="001F786C">
            <w:pPr>
              <w:pStyle w:val="Compact"/>
              <w:jc w:val="center"/>
            </w:pPr>
            <w:r>
              <w:t>258</w:t>
            </w:r>
          </w:p>
        </w:tc>
        <w:tc>
          <w:tcPr>
            <w:tcW w:w="0" w:type="auto"/>
          </w:tcPr>
          <w:p w14:paraId="3D5F70EA" w14:textId="63236658" w:rsidR="00DD03EE" w:rsidRDefault="00354DCD" w:rsidP="001F786C">
            <w:pPr>
              <w:pStyle w:val="Compact"/>
              <w:jc w:val="center"/>
            </w:pPr>
            <w:r>
              <w:t>71</w:t>
            </w:r>
          </w:p>
        </w:tc>
      </w:tr>
      <w:tr w:rsidR="00DD03EE" w14:paraId="20901BC3" w14:textId="74AD2B34" w:rsidTr="00ED1DCA">
        <w:trPr>
          <w:jc w:val="center"/>
        </w:trPr>
        <w:tc>
          <w:tcPr>
            <w:tcW w:w="0" w:type="auto"/>
          </w:tcPr>
          <w:p w14:paraId="0C53D6AF" w14:textId="77777777" w:rsidR="00DD03EE" w:rsidRDefault="00DD03EE" w:rsidP="00016B36">
            <w:pPr>
              <w:pStyle w:val="Compact"/>
            </w:pPr>
            <w:r>
              <w:t>Cerrado</w:t>
            </w:r>
          </w:p>
        </w:tc>
        <w:tc>
          <w:tcPr>
            <w:tcW w:w="0" w:type="auto"/>
          </w:tcPr>
          <w:p w14:paraId="075FB9AA" w14:textId="77777777" w:rsidR="00DD03EE" w:rsidRDefault="00DD03EE" w:rsidP="001F786C">
            <w:pPr>
              <w:pStyle w:val="Compact"/>
              <w:jc w:val="center"/>
            </w:pPr>
            <w:r>
              <w:t>303</w:t>
            </w:r>
          </w:p>
        </w:tc>
        <w:tc>
          <w:tcPr>
            <w:tcW w:w="0" w:type="auto"/>
          </w:tcPr>
          <w:p w14:paraId="7E626A2C" w14:textId="77777777" w:rsidR="00DD03EE" w:rsidRDefault="00DD03EE" w:rsidP="001F786C">
            <w:pPr>
              <w:pStyle w:val="Compact"/>
              <w:jc w:val="center"/>
            </w:pPr>
            <w:r>
              <w:t>203</w:t>
            </w:r>
          </w:p>
        </w:tc>
        <w:tc>
          <w:tcPr>
            <w:tcW w:w="0" w:type="auto"/>
          </w:tcPr>
          <w:p w14:paraId="325F545D" w14:textId="64F62786" w:rsidR="00DD03EE" w:rsidRDefault="00354DCD" w:rsidP="001F786C">
            <w:pPr>
              <w:pStyle w:val="Compact"/>
              <w:jc w:val="center"/>
            </w:pPr>
            <w:r>
              <w:t>71</w:t>
            </w:r>
          </w:p>
        </w:tc>
      </w:tr>
      <w:tr w:rsidR="00DD03EE" w14:paraId="19B4AAA3" w14:textId="20889D29" w:rsidTr="00ED1DCA">
        <w:trPr>
          <w:jc w:val="center"/>
        </w:trPr>
        <w:tc>
          <w:tcPr>
            <w:tcW w:w="0" w:type="auto"/>
          </w:tcPr>
          <w:p w14:paraId="5385D265" w14:textId="3E9FA63B" w:rsidR="00DD03EE" w:rsidRDefault="00DD03EE" w:rsidP="00016B36">
            <w:pPr>
              <w:pStyle w:val="Compact"/>
            </w:pPr>
            <w:r>
              <w:t>Atlantic Forest</w:t>
            </w:r>
          </w:p>
        </w:tc>
        <w:tc>
          <w:tcPr>
            <w:tcW w:w="0" w:type="auto"/>
          </w:tcPr>
          <w:p w14:paraId="4FE53C44" w14:textId="77777777" w:rsidR="00DD03EE" w:rsidRDefault="00DD03EE" w:rsidP="001F786C">
            <w:pPr>
              <w:pStyle w:val="Compact"/>
              <w:jc w:val="center"/>
            </w:pPr>
            <w:r>
              <w:t>274</w:t>
            </w:r>
          </w:p>
        </w:tc>
        <w:tc>
          <w:tcPr>
            <w:tcW w:w="0" w:type="auto"/>
          </w:tcPr>
          <w:p w14:paraId="2845D2CC" w14:textId="77777777" w:rsidR="00DD03EE" w:rsidRDefault="00DD03EE" w:rsidP="001F786C">
            <w:pPr>
              <w:pStyle w:val="Compact"/>
              <w:jc w:val="center"/>
            </w:pPr>
            <w:r>
              <w:t>171</w:t>
            </w:r>
          </w:p>
        </w:tc>
        <w:tc>
          <w:tcPr>
            <w:tcW w:w="0" w:type="auto"/>
          </w:tcPr>
          <w:p w14:paraId="3401EB7D" w14:textId="74BF7ADD" w:rsidR="00DD03EE" w:rsidRDefault="00354DCD" w:rsidP="001F786C">
            <w:pPr>
              <w:pStyle w:val="Compact"/>
              <w:jc w:val="center"/>
            </w:pPr>
            <w:r>
              <w:t>50</w:t>
            </w:r>
          </w:p>
        </w:tc>
      </w:tr>
      <w:tr w:rsidR="00DD03EE" w14:paraId="6912965D" w14:textId="44D425D4" w:rsidTr="00ED1DCA">
        <w:trPr>
          <w:jc w:val="center"/>
        </w:trPr>
        <w:tc>
          <w:tcPr>
            <w:tcW w:w="0" w:type="auto"/>
          </w:tcPr>
          <w:p w14:paraId="4302F07A" w14:textId="77777777" w:rsidR="00DD03EE" w:rsidRDefault="00DD03EE" w:rsidP="00016B36">
            <w:pPr>
              <w:pStyle w:val="Compact"/>
            </w:pPr>
            <w:r>
              <w:t>Pampa</w:t>
            </w:r>
          </w:p>
        </w:tc>
        <w:tc>
          <w:tcPr>
            <w:tcW w:w="0" w:type="auto"/>
          </w:tcPr>
          <w:p w14:paraId="62D05A2D" w14:textId="77777777" w:rsidR="00DD03EE" w:rsidRDefault="00DD03EE" w:rsidP="001F786C">
            <w:pPr>
              <w:pStyle w:val="Compact"/>
              <w:jc w:val="center"/>
            </w:pPr>
            <w:r>
              <w:t>368</w:t>
            </w:r>
          </w:p>
        </w:tc>
        <w:tc>
          <w:tcPr>
            <w:tcW w:w="0" w:type="auto"/>
          </w:tcPr>
          <w:p w14:paraId="6E2052BA" w14:textId="77777777" w:rsidR="00DD03EE" w:rsidRDefault="00DD03EE" w:rsidP="001F786C">
            <w:pPr>
              <w:pStyle w:val="Compact"/>
              <w:jc w:val="center"/>
            </w:pPr>
            <w:r>
              <w:t>270</w:t>
            </w:r>
          </w:p>
        </w:tc>
        <w:tc>
          <w:tcPr>
            <w:tcW w:w="0" w:type="auto"/>
          </w:tcPr>
          <w:p w14:paraId="19BC1913" w14:textId="0AC177C4" w:rsidR="00DD03EE" w:rsidRDefault="00354DCD" w:rsidP="001F786C">
            <w:pPr>
              <w:pStyle w:val="Compact"/>
              <w:jc w:val="center"/>
            </w:pPr>
            <w:r>
              <w:t>131</w:t>
            </w:r>
          </w:p>
        </w:tc>
      </w:tr>
      <w:tr w:rsidR="00DD03EE" w14:paraId="61E5AEC6" w14:textId="2E682BD2" w:rsidTr="00ED1DCA">
        <w:trPr>
          <w:jc w:val="center"/>
        </w:trPr>
        <w:tc>
          <w:tcPr>
            <w:tcW w:w="0" w:type="auto"/>
            <w:tcBorders>
              <w:bottom w:val="single" w:sz="4" w:space="0" w:color="auto"/>
            </w:tcBorders>
          </w:tcPr>
          <w:p w14:paraId="091F641A" w14:textId="77777777" w:rsidR="00DD03EE" w:rsidRDefault="00DD03EE" w:rsidP="00016B36">
            <w:pPr>
              <w:pStyle w:val="Compact"/>
            </w:pPr>
            <w:r>
              <w:t>Pantanal</w:t>
            </w:r>
          </w:p>
        </w:tc>
        <w:tc>
          <w:tcPr>
            <w:tcW w:w="0" w:type="auto"/>
            <w:tcBorders>
              <w:bottom w:val="single" w:sz="4" w:space="0" w:color="auto"/>
            </w:tcBorders>
          </w:tcPr>
          <w:p w14:paraId="144FE5A8" w14:textId="77777777" w:rsidR="00DD03EE" w:rsidRDefault="00DD03EE" w:rsidP="001F786C">
            <w:pPr>
              <w:pStyle w:val="Compact"/>
              <w:jc w:val="center"/>
            </w:pPr>
            <w:r>
              <w:t>285</w:t>
            </w:r>
          </w:p>
        </w:tc>
        <w:tc>
          <w:tcPr>
            <w:tcW w:w="0" w:type="auto"/>
            <w:tcBorders>
              <w:bottom w:val="single" w:sz="4" w:space="0" w:color="auto"/>
            </w:tcBorders>
          </w:tcPr>
          <w:p w14:paraId="582A17F3" w14:textId="77777777" w:rsidR="00DD03EE" w:rsidRDefault="00DD03EE" w:rsidP="001F786C">
            <w:pPr>
              <w:pStyle w:val="Compact"/>
              <w:jc w:val="center"/>
            </w:pPr>
            <w:r>
              <w:t>178</w:t>
            </w:r>
          </w:p>
        </w:tc>
        <w:tc>
          <w:tcPr>
            <w:tcW w:w="0" w:type="auto"/>
            <w:tcBorders>
              <w:bottom w:val="single" w:sz="4" w:space="0" w:color="auto"/>
            </w:tcBorders>
          </w:tcPr>
          <w:p w14:paraId="6D65D7F3" w14:textId="0EEC0F8E" w:rsidR="00DD03EE" w:rsidRDefault="001F786C" w:rsidP="001F786C">
            <w:pPr>
              <w:pStyle w:val="Compact"/>
              <w:jc w:val="center"/>
            </w:pPr>
            <w:r>
              <w:t>52</w:t>
            </w:r>
          </w:p>
        </w:tc>
      </w:tr>
    </w:tbl>
    <w:p w14:paraId="436ED88B" w14:textId="77777777" w:rsidR="00DC484C" w:rsidRDefault="00DC484C" w:rsidP="00DC484C">
      <w:pPr>
        <w:pStyle w:val="Bibliography"/>
      </w:pPr>
    </w:p>
    <w:p w14:paraId="46D6AD61" w14:textId="77777777" w:rsidR="00673C90" w:rsidRDefault="00673C90">
      <w:r>
        <w:br w:type="page"/>
      </w:r>
    </w:p>
    <w:p w14:paraId="4CD25CC4" w14:textId="654D1526" w:rsidR="00BE085F" w:rsidRDefault="00DD7A27" w:rsidP="00A94CB9">
      <w:pPr>
        <w:pStyle w:val="Caption"/>
      </w:pPr>
      <w:bookmarkStart w:id="51" w:name="_Toc221109376"/>
      <w:r w:rsidRPr="007F3426">
        <w:lastRenderedPageBreak/>
        <w:t xml:space="preserve">Supplementary Table </w:t>
      </w:r>
      <w:fldSimple w:instr=" SEQ Supplementary_Table \* ARABIC ">
        <w:r w:rsidR="00584816">
          <w:rPr>
            <w:noProof/>
          </w:rPr>
          <w:t>4</w:t>
        </w:r>
      </w:fldSimple>
      <w:r w:rsidRPr="007F3426">
        <w:t>.</w:t>
      </w:r>
      <w:r w:rsidR="006C3BF5" w:rsidRPr="007F3426">
        <w:t xml:space="preserve"> Variation in carbon costs under different discount rates when ignoring vs. mitigating leakage.</w:t>
      </w:r>
      <w:bookmarkEnd w:id="51"/>
      <w:r w:rsidR="006C3BF5" w:rsidRPr="007F3426">
        <w:t xml:space="preserve"> </w:t>
      </w:r>
    </w:p>
    <w:p w14:paraId="477B3F4D" w14:textId="6EC1380B" w:rsidR="006C3BF5" w:rsidRPr="00A94CB9" w:rsidRDefault="006C3BF5" w:rsidP="00A94CB9">
      <w:pPr>
        <w:pStyle w:val="captiondescription"/>
      </w:pPr>
      <w:r w:rsidRPr="00A94CB9">
        <w:t xml:space="preserve">For each scenario (defined by biome and leakage level), the table reports the median carbon cost (USD </w:t>
      </w:r>
      <w:r w:rsidR="00432CF4">
        <w:t>t</w:t>
      </w:r>
      <w:r w:rsidRPr="00A94CB9">
        <w:t>CO₂e</w:t>
      </w:r>
      <w:r w:rsidR="001509AC" w:rsidRPr="001509AC">
        <w:rPr>
          <w:vertAlign w:val="superscript"/>
        </w:rPr>
        <w:t>-1</w:t>
      </w:r>
      <w:r w:rsidRPr="00A94CB9">
        <w:t>) under discount rates of 2%, 3%, and 4%, assuming leakage is either ignored or fully mitigated. It also shows the relative cost increase from mitigation (%), and the percentage point (pp) change in that cost increase compared to the central estimate using a 3% discount rate for the same scenario.</w:t>
      </w:r>
    </w:p>
    <w:p w14:paraId="54E092E6" w14:textId="020D725D" w:rsidR="004B52CD" w:rsidRDefault="004B52CD" w:rsidP="006C3BF5">
      <w:pPr>
        <w:pStyle w:val="legend"/>
      </w:pPr>
    </w:p>
    <w:tbl>
      <w:tblPr>
        <w:tblW w:w="7938" w:type="dxa"/>
        <w:jc w:val="center"/>
        <w:tblLayout w:type="fixed"/>
        <w:tblLook w:val="04A0" w:firstRow="1" w:lastRow="0" w:firstColumn="1" w:lastColumn="0" w:noHBand="0" w:noVBand="1"/>
      </w:tblPr>
      <w:tblGrid>
        <w:gridCol w:w="1134"/>
        <w:gridCol w:w="976"/>
        <w:gridCol w:w="1056"/>
        <w:gridCol w:w="1370"/>
        <w:gridCol w:w="1134"/>
        <w:gridCol w:w="664"/>
        <w:gridCol w:w="1604"/>
      </w:tblGrid>
      <w:tr w:rsidR="006C3BF5" w:rsidRPr="00A974AD" w14:paraId="2F62DB34" w14:textId="01FF95CC" w:rsidTr="000153CB">
        <w:trPr>
          <w:gridAfter w:val="1"/>
          <w:wAfter w:w="1604" w:type="dxa"/>
          <w:trHeight w:val="320"/>
          <w:jc w:val="center"/>
        </w:trPr>
        <w:tc>
          <w:tcPr>
            <w:tcW w:w="2110" w:type="dxa"/>
            <w:gridSpan w:val="2"/>
            <w:tcBorders>
              <w:top w:val="nil"/>
              <w:left w:val="nil"/>
              <w:bottom w:val="single" w:sz="8" w:space="0" w:color="auto"/>
              <w:right w:val="nil"/>
            </w:tcBorders>
            <w:noWrap/>
            <w:vAlign w:val="center"/>
            <w:hideMark/>
          </w:tcPr>
          <w:p w14:paraId="5E383547" w14:textId="2DCD8E6F" w:rsidR="006C3BF5" w:rsidRPr="00A974AD" w:rsidRDefault="006C3BF5" w:rsidP="000153CB">
            <w:pPr>
              <w:rPr>
                <w:lang w:eastAsia="en-GB"/>
              </w:rPr>
            </w:pPr>
            <w:r w:rsidRPr="00A974AD">
              <w:rPr>
                <w:lang w:eastAsia="en-GB"/>
              </w:rPr>
              <w:t xml:space="preserve">(a) </w:t>
            </w:r>
            <w:r w:rsidR="00EE3936" w:rsidRPr="00A974AD">
              <w:rPr>
                <w:lang w:eastAsia="en-GB"/>
              </w:rPr>
              <w:t xml:space="preserve">Atlantic Forest </w:t>
            </w:r>
          </w:p>
        </w:tc>
        <w:tc>
          <w:tcPr>
            <w:tcW w:w="1056" w:type="dxa"/>
            <w:tcBorders>
              <w:top w:val="nil"/>
              <w:left w:val="nil"/>
              <w:bottom w:val="single" w:sz="8" w:space="0" w:color="auto"/>
              <w:right w:val="nil"/>
            </w:tcBorders>
            <w:noWrap/>
            <w:vAlign w:val="bottom"/>
            <w:hideMark/>
          </w:tcPr>
          <w:p w14:paraId="2D60C980" w14:textId="699D85A7" w:rsidR="006C3BF5" w:rsidRPr="00A974AD" w:rsidRDefault="006C3BF5" w:rsidP="000153CB">
            <w:pPr>
              <w:rPr>
                <w:lang w:eastAsia="en-GB"/>
              </w:rPr>
            </w:pPr>
          </w:p>
        </w:tc>
        <w:tc>
          <w:tcPr>
            <w:tcW w:w="1370" w:type="dxa"/>
            <w:tcBorders>
              <w:top w:val="nil"/>
              <w:left w:val="nil"/>
              <w:bottom w:val="single" w:sz="8" w:space="0" w:color="auto"/>
              <w:right w:val="nil"/>
            </w:tcBorders>
            <w:noWrap/>
            <w:vAlign w:val="bottom"/>
            <w:hideMark/>
          </w:tcPr>
          <w:p w14:paraId="751EEBC5" w14:textId="5B1D3866" w:rsidR="006C3BF5" w:rsidRPr="00A974AD" w:rsidRDefault="006C3BF5" w:rsidP="000153CB">
            <w:pPr>
              <w:rPr>
                <w:lang w:eastAsia="en-GB"/>
              </w:rPr>
            </w:pPr>
          </w:p>
        </w:tc>
        <w:tc>
          <w:tcPr>
            <w:tcW w:w="1134" w:type="dxa"/>
            <w:tcBorders>
              <w:top w:val="nil"/>
              <w:left w:val="nil"/>
              <w:bottom w:val="single" w:sz="8" w:space="0" w:color="auto"/>
              <w:right w:val="nil"/>
            </w:tcBorders>
            <w:noWrap/>
            <w:vAlign w:val="bottom"/>
            <w:hideMark/>
          </w:tcPr>
          <w:p w14:paraId="3E47CE37" w14:textId="0B098E01" w:rsidR="006C3BF5" w:rsidRPr="00A974AD" w:rsidRDefault="006C3BF5" w:rsidP="000153CB">
            <w:pPr>
              <w:rPr>
                <w:lang w:eastAsia="en-GB"/>
              </w:rPr>
            </w:pPr>
          </w:p>
        </w:tc>
        <w:tc>
          <w:tcPr>
            <w:tcW w:w="664" w:type="dxa"/>
            <w:tcBorders>
              <w:top w:val="nil"/>
              <w:left w:val="nil"/>
              <w:bottom w:val="single" w:sz="8" w:space="0" w:color="auto"/>
              <w:right w:val="nil"/>
            </w:tcBorders>
            <w:noWrap/>
            <w:vAlign w:val="bottom"/>
            <w:hideMark/>
          </w:tcPr>
          <w:p w14:paraId="63BEF250" w14:textId="089973E4" w:rsidR="006C3BF5" w:rsidRPr="00A974AD" w:rsidRDefault="006C3BF5" w:rsidP="000153CB">
            <w:pPr>
              <w:rPr>
                <w:lang w:eastAsia="en-GB"/>
              </w:rPr>
            </w:pPr>
          </w:p>
        </w:tc>
      </w:tr>
      <w:tr w:rsidR="006C3BF5" w:rsidRPr="00A974AD" w14:paraId="7E9710BC" w14:textId="039BDFD0" w:rsidTr="000153CB">
        <w:trPr>
          <w:trHeight w:val="870"/>
          <w:jc w:val="center"/>
        </w:trPr>
        <w:tc>
          <w:tcPr>
            <w:tcW w:w="1134" w:type="dxa"/>
            <w:tcBorders>
              <w:top w:val="single" w:sz="8" w:space="0" w:color="auto"/>
              <w:left w:val="nil"/>
              <w:bottom w:val="single" w:sz="8" w:space="0" w:color="auto"/>
              <w:right w:val="nil"/>
            </w:tcBorders>
            <w:vAlign w:val="center"/>
            <w:hideMark/>
          </w:tcPr>
          <w:p w14:paraId="7E802231" w14:textId="54DA4DC0" w:rsidR="006C3BF5" w:rsidRPr="00A974AD" w:rsidRDefault="006C3BF5" w:rsidP="000153CB">
            <w:pPr>
              <w:jc w:val="center"/>
              <w:rPr>
                <w:lang w:eastAsia="en-GB"/>
              </w:rPr>
            </w:pPr>
            <w:r w:rsidRPr="00A974AD">
              <w:rPr>
                <w:lang w:eastAsia="en-GB"/>
              </w:rPr>
              <w:t>Leakage level</w:t>
            </w:r>
          </w:p>
        </w:tc>
        <w:tc>
          <w:tcPr>
            <w:tcW w:w="976" w:type="dxa"/>
            <w:tcBorders>
              <w:top w:val="single" w:sz="8" w:space="0" w:color="auto"/>
              <w:left w:val="nil"/>
              <w:bottom w:val="single" w:sz="8" w:space="0" w:color="auto"/>
              <w:right w:val="nil"/>
            </w:tcBorders>
            <w:vAlign w:val="center"/>
            <w:hideMark/>
          </w:tcPr>
          <w:p w14:paraId="14ACBCDF" w14:textId="65B0F84A" w:rsidR="006C3BF5" w:rsidRDefault="006C3BF5" w:rsidP="000153CB">
            <w:pPr>
              <w:jc w:val="center"/>
              <w:rPr>
                <w:lang w:eastAsia="en-GB"/>
              </w:rPr>
            </w:pPr>
            <w:r>
              <w:rPr>
                <w:lang w:eastAsia="en-GB"/>
              </w:rPr>
              <w:t>Disc.</w:t>
            </w:r>
          </w:p>
          <w:p w14:paraId="41D66F48" w14:textId="0C5C5B25" w:rsidR="006C3BF5" w:rsidRPr="00A974AD" w:rsidRDefault="006C3BF5" w:rsidP="000153CB">
            <w:pPr>
              <w:jc w:val="center"/>
              <w:rPr>
                <w:lang w:eastAsia="en-GB"/>
              </w:rPr>
            </w:pPr>
            <w:r>
              <w:rPr>
                <w:lang w:eastAsia="en-GB"/>
              </w:rPr>
              <w:t>rate (r)</w:t>
            </w:r>
          </w:p>
        </w:tc>
        <w:tc>
          <w:tcPr>
            <w:tcW w:w="1056" w:type="dxa"/>
            <w:tcBorders>
              <w:top w:val="single" w:sz="8" w:space="0" w:color="auto"/>
              <w:left w:val="nil"/>
              <w:bottom w:val="single" w:sz="8" w:space="0" w:color="auto"/>
              <w:right w:val="nil"/>
            </w:tcBorders>
            <w:vAlign w:val="center"/>
            <w:hideMark/>
          </w:tcPr>
          <w:p w14:paraId="5A7806CE" w14:textId="6CEDF69A" w:rsidR="006C3BF5" w:rsidRPr="00A974AD" w:rsidRDefault="006C3BF5" w:rsidP="000153CB">
            <w:pPr>
              <w:jc w:val="center"/>
              <w:rPr>
                <w:lang w:eastAsia="en-GB"/>
              </w:rPr>
            </w:pPr>
            <w:r w:rsidRPr="00A974AD">
              <w:rPr>
                <w:lang w:eastAsia="en-GB"/>
              </w:rPr>
              <w:t>Ignoring leakage</w:t>
            </w:r>
          </w:p>
        </w:tc>
        <w:tc>
          <w:tcPr>
            <w:tcW w:w="1370" w:type="dxa"/>
            <w:tcBorders>
              <w:top w:val="single" w:sz="8" w:space="0" w:color="auto"/>
              <w:left w:val="nil"/>
              <w:bottom w:val="single" w:sz="8" w:space="0" w:color="auto"/>
              <w:right w:val="nil"/>
            </w:tcBorders>
            <w:vAlign w:val="center"/>
            <w:hideMark/>
          </w:tcPr>
          <w:p w14:paraId="49A9EB05" w14:textId="11FE891A" w:rsidR="006C3BF5" w:rsidRPr="00A974AD" w:rsidRDefault="006C3BF5" w:rsidP="000153CB">
            <w:pPr>
              <w:jc w:val="center"/>
              <w:rPr>
                <w:lang w:eastAsia="en-GB"/>
              </w:rPr>
            </w:pPr>
            <w:r w:rsidRPr="00A974AD">
              <w:rPr>
                <w:lang w:eastAsia="en-GB"/>
              </w:rPr>
              <w:t>With mitigation</w:t>
            </w:r>
          </w:p>
        </w:tc>
        <w:tc>
          <w:tcPr>
            <w:tcW w:w="1134" w:type="dxa"/>
            <w:tcBorders>
              <w:top w:val="single" w:sz="8" w:space="0" w:color="auto"/>
              <w:left w:val="nil"/>
              <w:bottom w:val="single" w:sz="8" w:space="0" w:color="auto"/>
              <w:right w:val="nil"/>
            </w:tcBorders>
            <w:vAlign w:val="center"/>
            <w:hideMark/>
          </w:tcPr>
          <w:p w14:paraId="16AA0505" w14:textId="2D2CFF97" w:rsidR="006C3BF5" w:rsidRPr="00A974AD" w:rsidRDefault="006C3BF5" w:rsidP="000153CB">
            <w:pPr>
              <w:jc w:val="center"/>
              <w:rPr>
                <w:lang w:eastAsia="en-GB"/>
              </w:rPr>
            </w:pPr>
            <w:r w:rsidRPr="00A974AD">
              <w:rPr>
                <w:lang w:eastAsia="en-GB"/>
              </w:rPr>
              <w:t>Cost increase (%)</w:t>
            </w:r>
          </w:p>
        </w:tc>
        <w:tc>
          <w:tcPr>
            <w:tcW w:w="2268" w:type="dxa"/>
            <w:gridSpan w:val="2"/>
            <w:tcBorders>
              <w:top w:val="single" w:sz="8" w:space="0" w:color="auto"/>
              <w:left w:val="nil"/>
              <w:bottom w:val="single" w:sz="8" w:space="0" w:color="auto"/>
              <w:right w:val="nil"/>
            </w:tcBorders>
            <w:vAlign w:val="center"/>
            <w:hideMark/>
          </w:tcPr>
          <w:p w14:paraId="138F615E" w14:textId="3F46363F" w:rsidR="006C3BF5" w:rsidRPr="00A974AD" w:rsidRDefault="006C3BF5" w:rsidP="000153CB">
            <w:pPr>
              <w:jc w:val="center"/>
              <w:rPr>
                <w:lang w:eastAsia="en-GB"/>
              </w:rPr>
            </w:pPr>
            <w:r w:rsidRPr="00A974AD">
              <w:rPr>
                <w:lang w:eastAsia="en-GB"/>
              </w:rPr>
              <w:t xml:space="preserve">Change vs. </w:t>
            </w:r>
            <w:r>
              <w:rPr>
                <w:lang w:eastAsia="en-GB"/>
              </w:rPr>
              <w:t>Ignoring leakage with r</w:t>
            </w:r>
            <w:r w:rsidRPr="00A974AD">
              <w:rPr>
                <w:lang w:eastAsia="en-GB"/>
              </w:rPr>
              <w:t>=3</w:t>
            </w:r>
            <w:r>
              <w:rPr>
                <w:lang w:eastAsia="en-GB"/>
              </w:rPr>
              <w:t xml:space="preserve"> (pp)</w:t>
            </w:r>
          </w:p>
        </w:tc>
      </w:tr>
      <w:tr w:rsidR="00F44D8C" w:rsidRPr="00A974AD" w14:paraId="134FF5F3" w14:textId="107E1E20" w:rsidTr="000153CB">
        <w:trPr>
          <w:trHeight w:val="290"/>
          <w:jc w:val="center"/>
        </w:trPr>
        <w:tc>
          <w:tcPr>
            <w:tcW w:w="1134" w:type="dxa"/>
            <w:tcBorders>
              <w:top w:val="single" w:sz="8" w:space="0" w:color="auto"/>
              <w:left w:val="nil"/>
              <w:bottom w:val="nil"/>
              <w:right w:val="nil"/>
            </w:tcBorders>
            <w:vAlign w:val="center"/>
            <w:hideMark/>
          </w:tcPr>
          <w:p w14:paraId="046A0858" w14:textId="481A5FEC" w:rsidR="00F44D8C" w:rsidRPr="00A974AD" w:rsidRDefault="00F44D8C" w:rsidP="00F44D8C">
            <w:pPr>
              <w:jc w:val="center"/>
              <w:rPr>
                <w:lang w:eastAsia="en-GB"/>
              </w:rPr>
            </w:pPr>
            <w:r w:rsidRPr="00A974AD">
              <w:rPr>
                <w:lang w:eastAsia="en-GB"/>
              </w:rPr>
              <w:t>Low</w:t>
            </w:r>
          </w:p>
        </w:tc>
        <w:tc>
          <w:tcPr>
            <w:tcW w:w="976" w:type="dxa"/>
            <w:tcBorders>
              <w:top w:val="single" w:sz="8" w:space="0" w:color="auto"/>
              <w:left w:val="nil"/>
              <w:bottom w:val="nil"/>
              <w:right w:val="nil"/>
            </w:tcBorders>
            <w:vAlign w:val="center"/>
            <w:hideMark/>
          </w:tcPr>
          <w:p w14:paraId="72CEB7CF" w14:textId="1CBC07A4" w:rsidR="00F44D8C" w:rsidRPr="00A974AD" w:rsidRDefault="00F44D8C" w:rsidP="00F44D8C">
            <w:pPr>
              <w:jc w:val="center"/>
              <w:rPr>
                <w:lang w:eastAsia="en-GB"/>
              </w:rPr>
            </w:pPr>
            <w:r w:rsidRPr="00A974AD">
              <w:rPr>
                <w:lang w:eastAsia="en-GB"/>
              </w:rPr>
              <w:t>2</w:t>
            </w:r>
          </w:p>
        </w:tc>
        <w:tc>
          <w:tcPr>
            <w:tcW w:w="1056" w:type="dxa"/>
            <w:tcBorders>
              <w:top w:val="single" w:sz="8" w:space="0" w:color="auto"/>
              <w:left w:val="nil"/>
              <w:bottom w:val="nil"/>
              <w:right w:val="nil"/>
            </w:tcBorders>
            <w:vAlign w:val="center"/>
            <w:hideMark/>
          </w:tcPr>
          <w:p w14:paraId="7F6E87F7" w14:textId="618F978D" w:rsidR="00F44D8C" w:rsidRPr="00A974AD" w:rsidRDefault="00F44D8C" w:rsidP="00F44D8C">
            <w:pPr>
              <w:jc w:val="center"/>
              <w:rPr>
                <w:lang w:eastAsia="en-GB"/>
              </w:rPr>
            </w:pPr>
            <w:r>
              <w:rPr>
                <w:lang w:eastAsia="en-GB"/>
              </w:rPr>
              <w:t>17.7</w:t>
            </w:r>
          </w:p>
        </w:tc>
        <w:tc>
          <w:tcPr>
            <w:tcW w:w="1370" w:type="dxa"/>
            <w:tcBorders>
              <w:top w:val="single" w:sz="8" w:space="0" w:color="auto"/>
              <w:left w:val="nil"/>
              <w:bottom w:val="nil"/>
              <w:right w:val="nil"/>
            </w:tcBorders>
            <w:vAlign w:val="center"/>
            <w:hideMark/>
          </w:tcPr>
          <w:p w14:paraId="4E631407" w14:textId="4899C1B3" w:rsidR="00F44D8C" w:rsidRPr="00A974AD" w:rsidRDefault="00F44D8C" w:rsidP="00F44D8C">
            <w:pPr>
              <w:jc w:val="center"/>
              <w:rPr>
                <w:lang w:eastAsia="en-GB"/>
              </w:rPr>
            </w:pPr>
            <w:r>
              <w:rPr>
                <w:lang w:eastAsia="en-GB"/>
              </w:rPr>
              <w:t>21.8</w:t>
            </w:r>
          </w:p>
        </w:tc>
        <w:tc>
          <w:tcPr>
            <w:tcW w:w="1134" w:type="dxa"/>
            <w:tcBorders>
              <w:top w:val="single" w:sz="8" w:space="0" w:color="auto"/>
              <w:left w:val="nil"/>
              <w:bottom w:val="nil"/>
              <w:right w:val="nil"/>
            </w:tcBorders>
            <w:vAlign w:val="center"/>
            <w:hideMark/>
          </w:tcPr>
          <w:p w14:paraId="4A042FC7" w14:textId="5CC2D8EF" w:rsidR="00F44D8C" w:rsidRPr="00DC6D46" w:rsidRDefault="00F44D8C" w:rsidP="00F44D8C">
            <w:pPr>
              <w:jc w:val="center"/>
              <w:rPr>
                <w:lang w:eastAsia="en-GB"/>
              </w:rPr>
            </w:pPr>
            <w:r>
              <w:rPr>
                <w:lang w:eastAsia="en-GB"/>
              </w:rPr>
              <w:t>23</w:t>
            </w:r>
          </w:p>
        </w:tc>
        <w:tc>
          <w:tcPr>
            <w:tcW w:w="2268" w:type="dxa"/>
            <w:gridSpan w:val="2"/>
            <w:tcBorders>
              <w:top w:val="single" w:sz="8" w:space="0" w:color="auto"/>
              <w:left w:val="nil"/>
              <w:bottom w:val="nil"/>
              <w:right w:val="nil"/>
            </w:tcBorders>
            <w:vAlign w:val="center"/>
            <w:hideMark/>
          </w:tcPr>
          <w:p w14:paraId="1DA9B9F7" w14:textId="0EE4DE82" w:rsidR="00F44D8C" w:rsidRPr="004A3379" w:rsidRDefault="00F44D8C" w:rsidP="00F44D8C">
            <w:pPr>
              <w:jc w:val="center"/>
              <w:rPr>
                <w:lang w:eastAsia="en-GB"/>
              </w:rPr>
            </w:pPr>
            <w:r w:rsidRPr="00A974AD">
              <w:rPr>
                <w:lang w:eastAsia="en-GB"/>
              </w:rPr>
              <w:t>-</w:t>
            </w:r>
            <w:r>
              <w:rPr>
                <w:lang w:eastAsia="en-GB"/>
              </w:rPr>
              <w:t>3</w:t>
            </w:r>
          </w:p>
        </w:tc>
      </w:tr>
      <w:tr w:rsidR="00F44D8C" w:rsidRPr="00A974AD" w14:paraId="320663E9" w14:textId="243AE3D4" w:rsidTr="000153CB">
        <w:trPr>
          <w:trHeight w:val="290"/>
          <w:jc w:val="center"/>
        </w:trPr>
        <w:tc>
          <w:tcPr>
            <w:tcW w:w="1134" w:type="dxa"/>
            <w:tcBorders>
              <w:top w:val="nil"/>
              <w:left w:val="nil"/>
              <w:bottom w:val="nil"/>
              <w:right w:val="nil"/>
            </w:tcBorders>
            <w:vAlign w:val="center"/>
            <w:hideMark/>
          </w:tcPr>
          <w:p w14:paraId="7D9B2E1C" w14:textId="51566660" w:rsidR="00F44D8C" w:rsidRPr="00A974AD" w:rsidRDefault="00F44D8C" w:rsidP="00F44D8C">
            <w:pPr>
              <w:jc w:val="center"/>
              <w:rPr>
                <w:lang w:eastAsia="en-GB"/>
              </w:rPr>
            </w:pPr>
          </w:p>
        </w:tc>
        <w:tc>
          <w:tcPr>
            <w:tcW w:w="976" w:type="dxa"/>
            <w:tcBorders>
              <w:top w:val="nil"/>
              <w:left w:val="nil"/>
              <w:bottom w:val="nil"/>
              <w:right w:val="nil"/>
            </w:tcBorders>
            <w:vAlign w:val="center"/>
            <w:hideMark/>
          </w:tcPr>
          <w:p w14:paraId="4544E946" w14:textId="3E61286E" w:rsidR="00F44D8C" w:rsidRPr="00A974AD" w:rsidRDefault="00F44D8C" w:rsidP="00F44D8C">
            <w:pPr>
              <w:jc w:val="center"/>
              <w:rPr>
                <w:lang w:eastAsia="en-GB"/>
              </w:rPr>
            </w:pPr>
            <w:r w:rsidRPr="00A974AD">
              <w:rPr>
                <w:lang w:eastAsia="en-GB"/>
              </w:rPr>
              <w:t>3</w:t>
            </w:r>
          </w:p>
        </w:tc>
        <w:tc>
          <w:tcPr>
            <w:tcW w:w="1056" w:type="dxa"/>
            <w:tcBorders>
              <w:top w:val="nil"/>
              <w:left w:val="nil"/>
              <w:bottom w:val="nil"/>
              <w:right w:val="nil"/>
            </w:tcBorders>
            <w:vAlign w:val="center"/>
            <w:hideMark/>
          </w:tcPr>
          <w:p w14:paraId="7FB5FB11" w14:textId="064805F5" w:rsidR="00F44D8C" w:rsidRPr="00A974AD" w:rsidRDefault="00F44D8C" w:rsidP="00F44D8C">
            <w:pPr>
              <w:jc w:val="center"/>
              <w:rPr>
                <w:lang w:eastAsia="en-GB"/>
              </w:rPr>
            </w:pPr>
            <w:r w:rsidRPr="00A974AD">
              <w:rPr>
                <w:lang w:eastAsia="en-GB"/>
              </w:rPr>
              <w:t>1</w:t>
            </w:r>
            <w:r>
              <w:rPr>
                <w:lang w:eastAsia="en-GB"/>
              </w:rPr>
              <w:t>8.9</w:t>
            </w:r>
          </w:p>
        </w:tc>
        <w:tc>
          <w:tcPr>
            <w:tcW w:w="1370" w:type="dxa"/>
            <w:tcBorders>
              <w:top w:val="nil"/>
              <w:left w:val="nil"/>
              <w:bottom w:val="nil"/>
              <w:right w:val="nil"/>
            </w:tcBorders>
            <w:vAlign w:val="center"/>
            <w:hideMark/>
          </w:tcPr>
          <w:p w14:paraId="036DB6D0" w14:textId="27116F19" w:rsidR="00F44D8C" w:rsidRPr="00A974AD" w:rsidRDefault="00F44D8C" w:rsidP="00F44D8C">
            <w:pPr>
              <w:jc w:val="center"/>
              <w:rPr>
                <w:lang w:eastAsia="en-GB"/>
              </w:rPr>
            </w:pPr>
            <w:r w:rsidRPr="00A974AD">
              <w:rPr>
                <w:lang w:eastAsia="en-GB"/>
              </w:rPr>
              <w:t>2</w:t>
            </w:r>
            <w:r>
              <w:rPr>
                <w:lang w:eastAsia="en-GB"/>
              </w:rPr>
              <w:t>2.2</w:t>
            </w:r>
          </w:p>
        </w:tc>
        <w:tc>
          <w:tcPr>
            <w:tcW w:w="1134" w:type="dxa"/>
            <w:tcBorders>
              <w:top w:val="nil"/>
              <w:left w:val="nil"/>
              <w:bottom w:val="nil"/>
              <w:right w:val="nil"/>
            </w:tcBorders>
            <w:vAlign w:val="center"/>
            <w:hideMark/>
          </w:tcPr>
          <w:p w14:paraId="230AF1F3" w14:textId="421D1D69" w:rsidR="00F44D8C" w:rsidRPr="00DC6D46" w:rsidRDefault="00F44D8C" w:rsidP="00F44D8C">
            <w:pPr>
              <w:jc w:val="center"/>
              <w:rPr>
                <w:lang w:eastAsia="en-GB"/>
              </w:rPr>
            </w:pPr>
            <w:r>
              <w:rPr>
                <w:lang w:eastAsia="en-GB"/>
              </w:rPr>
              <w:t>17</w:t>
            </w:r>
          </w:p>
        </w:tc>
        <w:tc>
          <w:tcPr>
            <w:tcW w:w="2268" w:type="dxa"/>
            <w:gridSpan w:val="2"/>
            <w:tcBorders>
              <w:top w:val="nil"/>
              <w:left w:val="nil"/>
              <w:bottom w:val="nil"/>
              <w:right w:val="nil"/>
            </w:tcBorders>
            <w:vAlign w:val="center"/>
            <w:hideMark/>
          </w:tcPr>
          <w:p w14:paraId="75F0CD71" w14:textId="39CCDFB0" w:rsidR="00F44D8C" w:rsidRPr="004A3379" w:rsidRDefault="00F44D8C" w:rsidP="00F44D8C">
            <w:pPr>
              <w:jc w:val="center"/>
              <w:rPr>
                <w:lang w:eastAsia="en-GB"/>
              </w:rPr>
            </w:pPr>
            <w:r w:rsidRPr="00A974AD">
              <w:rPr>
                <w:lang w:eastAsia="en-GB"/>
              </w:rPr>
              <w:t>0</w:t>
            </w:r>
          </w:p>
        </w:tc>
      </w:tr>
      <w:tr w:rsidR="00F44D8C" w:rsidRPr="00A974AD" w14:paraId="4E373022" w14:textId="1FCAC53B" w:rsidTr="000153CB">
        <w:trPr>
          <w:trHeight w:val="290"/>
          <w:jc w:val="center"/>
        </w:trPr>
        <w:tc>
          <w:tcPr>
            <w:tcW w:w="1134" w:type="dxa"/>
            <w:tcBorders>
              <w:top w:val="nil"/>
              <w:left w:val="nil"/>
              <w:bottom w:val="nil"/>
              <w:right w:val="nil"/>
            </w:tcBorders>
            <w:vAlign w:val="center"/>
            <w:hideMark/>
          </w:tcPr>
          <w:p w14:paraId="3A339EDD" w14:textId="0242F39E" w:rsidR="00F44D8C" w:rsidRPr="00A974AD" w:rsidRDefault="00F44D8C" w:rsidP="00F44D8C">
            <w:pPr>
              <w:jc w:val="center"/>
              <w:rPr>
                <w:lang w:eastAsia="en-GB"/>
              </w:rPr>
            </w:pPr>
          </w:p>
        </w:tc>
        <w:tc>
          <w:tcPr>
            <w:tcW w:w="976" w:type="dxa"/>
            <w:tcBorders>
              <w:top w:val="nil"/>
              <w:left w:val="nil"/>
              <w:bottom w:val="nil"/>
              <w:right w:val="nil"/>
            </w:tcBorders>
            <w:vAlign w:val="center"/>
            <w:hideMark/>
          </w:tcPr>
          <w:p w14:paraId="6962471E" w14:textId="5D555CCA" w:rsidR="00F44D8C" w:rsidRPr="00A974AD" w:rsidRDefault="00F44D8C" w:rsidP="00F44D8C">
            <w:pPr>
              <w:jc w:val="center"/>
              <w:rPr>
                <w:lang w:eastAsia="en-GB"/>
              </w:rPr>
            </w:pPr>
            <w:r w:rsidRPr="00A974AD">
              <w:rPr>
                <w:lang w:eastAsia="en-GB"/>
              </w:rPr>
              <w:t>4</w:t>
            </w:r>
          </w:p>
        </w:tc>
        <w:tc>
          <w:tcPr>
            <w:tcW w:w="1056" w:type="dxa"/>
            <w:tcBorders>
              <w:top w:val="nil"/>
              <w:left w:val="nil"/>
              <w:bottom w:val="nil"/>
              <w:right w:val="nil"/>
            </w:tcBorders>
            <w:vAlign w:val="center"/>
            <w:hideMark/>
          </w:tcPr>
          <w:p w14:paraId="7A4F4AFF" w14:textId="4FFC5D57" w:rsidR="00F44D8C" w:rsidRPr="00A974AD" w:rsidRDefault="00F44D8C" w:rsidP="00F44D8C">
            <w:pPr>
              <w:jc w:val="center"/>
              <w:rPr>
                <w:lang w:eastAsia="en-GB"/>
              </w:rPr>
            </w:pPr>
            <w:r>
              <w:rPr>
                <w:lang w:eastAsia="en-GB"/>
              </w:rPr>
              <w:t>20.3</w:t>
            </w:r>
          </w:p>
        </w:tc>
        <w:tc>
          <w:tcPr>
            <w:tcW w:w="1370" w:type="dxa"/>
            <w:tcBorders>
              <w:top w:val="nil"/>
              <w:left w:val="nil"/>
              <w:bottom w:val="nil"/>
              <w:right w:val="nil"/>
            </w:tcBorders>
            <w:vAlign w:val="center"/>
            <w:hideMark/>
          </w:tcPr>
          <w:p w14:paraId="4EFD1791" w14:textId="4F0200AF" w:rsidR="00F44D8C" w:rsidRPr="00A974AD" w:rsidRDefault="00F44D8C" w:rsidP="00F44D8C">
            <w:pPr>
              <w:jc w:val="center"/>
              <w:rPr>
                <w:lang w:eastAsia="en-GB"/>
              </w:rPr>
            </w:pPr>
            <w:r>
              <w:rPr>
                <w:lang w:eastAsia="en-GB"/>
              </w:rPr>
              <w:t>23.8</w:t>
            </w:r>
          </w:p>
        </w:tc>
        <w:tc>
          <w:tcPr>
            <w:tcW w:w="1134" w:type="dxa"/>
            <w:tcBorders>
              <w:top w:val="nil"/>
              <w:left w:val="nil"/>
              <w:bottom w:val="nil"/>
              <w:right w:val="nil"/>
            </w:tcBorders>
            <w:vAlign w:val="center"/>
            <w:hideMark/>
          </w:tcPr>
          <w:p w14:paraId="5E7DE420" w14:textId="4A13FFC3" w:rsidR="00F44D8C" w:rsidRPr="00DC6D46" w:rsidRDefault="00F44D8C" w:rsidP="00F44D8C">
            <w:pPr>
              <w:jc w:val="center"/>
              <w:rPr>
                <w:lang w:eastAsia="en-GB"/>
              </w:rPr>
            </w:pPr>
            <w:r>
              <w:rPr>
                <w:lang w:eastAsia="en-GB"/>
              </w:rPr>
              <w:t>17</w:t>
            </w:r>
          </w:p>
        </w:tc>
        <w:tc>
          <w:tcPr>
            <w:tcW w:w="2268" w:type="dxa"/>
            <w:gridSpan w:val="2"/>
            <w:tcBorders>
              <w:top w:val="nil"/>
              <w:left w:val="nil"/>
              <w:bottom w:val="nil"/>
              <w:right w:val="nil"/>
            </w:tcBorders>
            <w:vAlign w:val="center"/>
            <w:hideMark/>
          </w:tcPr>
          <w:p w14:paraId="1EA58049" w14:textId="674DD7A8" w:rsidR="00F44D8C" w:rsidRPr="004A3379" w:rsidRDefault="00F44D8C" w:rsidP="00F44D8C">
            <w:pPr>
              <w:jc w:val="center"/>
              <w:rPr>
                <w:lang w:eastAsia="en-GB"/>
              </w:rPr>
            </w:pPr>
            <w:r>
              <w:rPr>
                <w:lang w:eastAsia="en-GB"/>
              </w:rPr>
              <w:t>0</w:t>
            </w:r>
          </w:p>
        </w:tc>
      </w:tr>
      <w:tr w:rsidR="00F44D8C" w:rsidRPr="00A974AD" w14:paraId="1EFD3FDE" w14:textId="06B64A4F" w:rsidTr="000153CB">
        <w:trPr>
          <w:trHeight w:val="290"/>
          <w:jc w:val="center"/>
        </w:trPr>
        <w:tc>
          <w:tcPr>
            <w:tcW w:w="1134" w:type="dxa"/>
            <w:tcBorders>
              <w:top w:val="nil"/>
              <w:left w:val="nil"/>
              <w:bottom w:val="nil"/>
              <w:right w:val="nil"/>
            </w:tcBorders>
            <w:vAlign w:val="center"/>
            <w:hideMark/>
          </w:tcPr>
          <w:p w14:paraId="363E6A5C" w14:textId="48A8F0E1" w:rsidR="00F44D8C" w:rsidRPr="00A974AD" w:rsidRDefault="00F44D8C" w:rsidP="00F44D8C">
            <w:pPr>
              <w:jc w:val="center"/>
              <w:rPr>
                <w:lang w:eastAsia="en-GB"/>
              </w:rPr>
            </w:pPr>
            <w:r w:rsidRPr="00A974AD">
              <w:rPr>
                <w:lang w:eastAsia="en-GB"/>
              </w:rPr>
              <w:t>High</w:t>
            </w:r>
          </w:p>
        </w:tc>
        <w:tc>
          <w:tcPr>
            <w:tcW w:w="976" w:type="dxa"/>
            <w:tcBorders>
              <w:top w:val="nil"/>
              <w:left w:val="nil"/>
              <w:bottom w:val="nil"/>
              <w:right w:val="nil"/>
            </w:tcBorders>
            <w:vAlign w:val="center"/>
            <w:hideMark/>
          </w:tcPr>
          <w:p w14:paraId="13831561" w14:textId="3826566F" w:rsidR="00F44D8C" w:rsidRPr="00A974AD" w:rsidRDefault="00F44D8C" w:rsidP="00F44D8C">
            <w:pPr>
              <w:jc w:val="center"/>
              <w:rPr>
                <w:lang w:eastAsia="en-GB"/>
              </w:rPr>
            </w:pPr>
            <w:r w:rsidRPr="00A974AD">
              <w:rPr>
                <w:lang w:eastAsia="en-GB"/>
              </w:rPr>
              <w:t>2</w:t>
            </w:r>
          </w:p>
        </w:tc>
        <w:tc>
          <w:tcPr>
            <w:tcW w:w="1056" w:type="dxa"/>
            <w:tcBorders>
              <w:top w:val="nil"/>
              <w:left w:val="nil"/>
              <w:bottom w:val="nil"/>
              <w:right w:val="nil"/>
            </w:tcBorders>
            <w:vAlign w:val="center"/>
            <w:hideMark/>
          </w:tcPr>
          <w:p w14:paraId="26D7E86E" w14:textId="1AB82E4E" w:rsidR="00F44D8C" w:rsidRPr="00A974AD" w:rsidRDefault="00F44D8C" w:rsidP="00F44D8C">
            <w:pPr>
              <w:jc w:val="center"/>
              <w:rPr>
                <w:lang w:eastAsia="en-GB"/>
              </w:rPr>
            </w:pPr>
            <w:r>
              <w:rPr>
                <w:lang w:eastAsia="en-GB"/>
              </w:rPr>
              <w:t>57.4</w:t>
            </w:r>
          </w:p>
        </w:tc>
        <w:tc>
          <w:tcPr>
            <w:tcW w:w="1370" w:type="dxa"/>
            <w:tcBorders>
              <w:top w:val="nil"/>
              <w:left w:val="nil"/>
              <w:bottom w:val="nil"/>
              <w:right w:val="nil"/>
            </w:tcBorders>
            <w:vAlign w:val="center"/>
            <w:hideMark/>
          </w:tcPr>
          <w:p w14:paraId="43FC94A9" w14:textId="5B5FAECC" w:rsidR="00F44D8C" w:rsidRPr="00A974AD" w:rsidRDefault="00F44D8C" w:rsidP="00F44D8C">
            <w:pPr>
              <w:jc w:val="center"/>
              <w:rPr>
                <w:lang w:eastAsia="en-GB"/>
              </w:rPr>
            </w:pPr>
            <w:r>
              <w:rPr>
                <w:lang w:eastAsia="en-GB"/>
              </w:rPr>
              <w:t>233.0</w:t>
            </w:r>
          </w:p>
        </w:tc>
        <w:tc>
          <w:tcPr>
            <w:tcW w:w="1134" w:type="dxa"/>
            <w:tcBorders>
              <w:top w:val="nil"/>
              <w:left w:val="nil"/>
              <w:bottom w:val="nil"/>
              <w:right w:val="nil"/>
            </w:tcBorders>
            <w:vAlign w:val="center"/>
            <w:hideMark/>
          </w:tcPr>
          <w:p w14:paraId="4BDFE2EC" w14:textId="229F1439" w:rsidR="00F44D8C" w:rsidRPr="00DC6D46" w:rsidRDefault="00F44D8C" w:rsidP="00F44D8C">
            <w:pPr>
              <w:jc w:val="center"/>
              <w:rPr>
                <w:lang w:eastAsia="en-GB"/>
              </w:rPr>
            </w:pPr>
            <w:r>
              <w:rPr>
                <w:lang w:eastAsia="en-GB"/>
              </w:rPr>
              <w:t>306</w:t>
            </w:r>
          </w:p>
        </w:tc>
        <w:tc>
          <w:tcPr>
            <w:tcW w:w="2268" w:type="dxa"/>
            <w:gridSpan w:val="2"/>
            <w:tcBorders>
              <w:top w:val="nil"/>
              <w:left w:val="nil"/>
              <w:bottom w:val="nil"/>
              <w:right w:val="nil"/>
            </w:tcBorders>
            <w:vAlign w:val="center"/>
            <w:hideMark/>
          </w:tcPr>
          <w:p w14:paraId="6711552B" w14:textId="286D426F" w:rsidR="00F44D8C" w:rsidRPr="004A3379" w:rsidRDefault="00F44D8C" w:rsidP="00F44D8C">
            <w:pPr>
              <w:jc w:val="center"/>
              <w:rPr>
                <w:lang w:eastAsia="en-GB"/>
              </w:rPr>
            </w:pPr>
            <w:r w:rsidRPr="00A974AD">
              <w:rPr>
                <w:lang w:eastAsia="en-GB"/>
              </w:rPr>
              <w:t>-</w:t>
            </w:r>
            <w:r>
              <w:rPr>
                <w:lang w:eastAsia="en-GB"/>
              </w:rPr>
              <w:t>25</w:t>
            </w:r>
          </w:p>
        </w:tc>
      </w:tr>
      <w:tr w:rsidR="00F44D8C" w:rsidRPr="00A974AD" w14:paraId="1749302C" w14:textId="75A43A23" w:rsidTr="000153CB">
        <w:trPr>
          <w:trHeight w:val="290"/>
          <w:jc w:val="center"/>
        </w:trPr>
        <w:tc>
          <w:tcPr>
            <w:tcW w:w="1134" w:type="dxa"/>
            <w:tcBorders>
              <w:top w:val="nil"/>
              <w:left w:val="nil"/>
              <w:bottom w:val="nil"/>
              <w:right w:val="nil"/>
            </w:tcBorders>
            <w:vAlign w:val="center"/>
            <w:hideMark/>
          </w:tcPr>
          <w:p w14:paraId="7487FB0A" w14:textId="1A4D70F9" w:rsidR="00F44D8C" w:rsidRPr="00A974AD" w:rsidRDefault="00F44D8C" w:rsidP="00F44D8C">
            <w:pPr>
              <w:jc w:val="center"/>
              <w:rPr>
                <w:lang w:eastAsia="en-GB"/>
              </w:rPr>
            </w:pPr>
          </w:p>
        </w:tc>
        <w:tc>
          <w:tcPr>
            <w:tcW w:w="976" w:type="dxa"/>
            <w:tcBorders>
              <w:top w:val="nil"/>
              <w:left w:val="nil"/>
              <w:bottom w:val="nil"/>
              <w:right w:val="nil"/>
            </w:tcBorders>
            <w:vAlign w:val="center"/>
            <w:hideMark/>
          </w:tcPr>
          <w:p w14:paraId="1FB6B535" w14:textId="4FD0B967" w:rsidR="00F44D8C" w:rsidRPr="00A974AD" w:rsidRDefault="00F44D8C" w:rsidP="00F44D8C">
            <w:pPr>
              <w:jc w:val="center"/>
              <w:rPr>
                <w:lang w:eastAsia="en-GB"/>
              </w:rPr>
            </w:pPr>
            <w:r w:rsidRPr="00A974AD">
              <w:rPr>
                <w:lang w:eastAsia="en-GB"/>
              </w:rPr>
              <w:t>3</w:t>
            </w:r>
          </w:p>
        </w:tc>
        <w:tc>
          <w:tcPr>
            <w:tcW w:w="1056" w:type="dxa"/>
            <w:tcBorders>
              <w:top w:val="nil"/>
              <w:left w:val="nil"/>
              <w:bottom w:val="nil"/>
              <w:right w:val="nil"/>
            </w:tcBorders>
            <w:vAlign w:val="center"/>
            <w:hideMark/>
          </w:tcPr>
          <w:p w14:paraId="3F526E6C" w14:textId="7A609EAD" w:rsidR="00F44D8C" w:rsidRPr="00A974AD" w:rsidRDefault="00F44D8C" w:rsidP="00F44D8C">
            <w:pPr>
              <w:jc w:val="center"/>
              <w:rPr>
                <w:lang w:eastAsia="en-GB"/>
              </w:rPr>
            </w:pPr>
            <w:r>
              <w:rPr>
                <w:lang w:eastAsia="en-GB"/>
              </w:rPr>
              <w:t>61.3</w:t>
            </w:r>
          </w:p>
        </w:tc>
        <w:tc>
          <w:tcPr>
            <w:tcW w:w="1370" w:type="dxa"/>
            <w:tcBorders>
              <w:top w:val="nil"/>
              <w:left w:val="nil"/>
              <w:bottom w:val="nil"/>
              <w:right w:val="nil"/>
            </w:tcBorders>
            <w:vAlign w:val="center"/>
            <w:hideMark/>
          </w:tcPr>
          <w:p w14:paraId="5862F99A" w14:textId="0C7B5B9F" w:rsidR="00F44D8C" w:rsidRPr="00A974AD" w:rsidRDefault="00F44D8C" w:rsidP="00F44D8C">
            <w:pPr>
              <w:jc w:val="center"/>
              <w:rPr>
                <w:lang w:eastAsia="en-GB"/>
              </w:rPr>
            </w:pPr>
            <w:r>
              <w:rPr>
                <w:lang w:eastAsia="en-GB"/>
              </w:rPr>
              <w:t>264.5</w:t>
            </w:r>
          </w:p>
        </w:tc>
        <w:tc>
          <w:tcPr>
            <w:tcW w:w="1134" w:type="dxa"/>
            <w:tcBorders>
              <w:top w:val="nil"/>
              <w:left w:val="nil"/>
              <w:bottom w:val="nil"/>
              <w:right w:val="nil"/>
            </w:tcBorders>
            <w:vAlign w:val="center"/>
            <w:hideMark/>
          </w:tcPr>
          <w:p w14:paraId="680E7703" w14:textId="28D003ED" w:rsidR="00F44D8C" w:rsidRPr="00DC6D46" w:rsidRDefault="00F44D8C" w:rsidP="00F44D8C">
            <w:pPr>
              <w:jc w:val="center"/>
              <w:rPr>
                <w:lang w:eastAsia="en-GB"/>
              </w:rPr>
            </w:pPr>
            <w:r>
              <w:rPr>
                <w:lang w:eastAsia="en-GB"/>
              </w:rPr>
              <w:t>331</w:t>
            </w:r>
          </w:p>
        </w:tc>
        <w:tc>
          <w:tcPr>
            <w:tcW w:w="2268" w:type="dxa"/>
            <w:gridSpan w:val="2"/>
            <w:tcBorders>
              <w:top w:val="nil"/>
              <w:left w:val="nil"/>
              <w:bottom w:val="nil"/>
              <w:right w:val="nil"/>
            </w:tcBorders>
            <w:vAlign w:val="center"/>
            <w:hideMark/>
          </w:tcPr>
          <w:p w14:paraId="0DF8A7C7" w14:textId="02D23B9B" w:rsidR="00F44D8C" w:rsidRPr="004A3379" w:rsidRDefault="00F44D8C" w:rsidP="00F44D8C">
            <w:pPr>
              <w:jc w:val="center"/>
              <w:rPr>
                <w:lang w:eastAsia="en-GB"/>
              </w:rPr>
            </w:pPr>
            <w:r w:rsidRPr="00A974AD">
              <w:rPr>
                <w:lang w:eastAsia="en-GB"/>
              </w:rPr>
              <w:t>0</w:t>
            </w:r>
          </w:p>
        </w:tc>
      </w:tr>
      <w:tr w:rsidR="00F44D8C" w:rsidRPr="00A974AD" w14:paraId="79EDB8C1" w14:textId="7CEA7CAF" w:rsidTr="000153CB">
        <w:trPr>
          <w:trHeight w:val="290"/>
          <w:jc w:val="center"/>
        </w:trPr>
        <w:tc>
          <w:tcPr>
            <w:tcW w:w="1134" w:type="dxa"/>
            <w:tcBorders>
              <w:top w:val="nil"/>
              <w:left w:val="nil"/>
              <w:bottom w:val="nil"/>
              <w:right w:val="nil"/>
            </w:tcBorders>
            <w:vAlign w:val="center"/>
            <w:hideMark/>
          </w:tcPr>
          <w:p w14:paraId="6DC9C845" w14:textId="385750C5" w:rsidR="00F44D8C" w:rsidRPr="00A974AD" w:rsidRDefault="00F44D8C" w:rsidP="00F44D8C">
            <w:pPr>
              <w:jc w:val="center"/>
              <w:rPr>
                <w:lang w:eastAsia="en-GB"/>
              </w:rPr>
            </w:pPr>
          </w:p>
        </w:tc>
        <w:tc>
          <w:tcPr>
            <w:tcW w:w="976" w:type="dxa"/>
            <w:tcBorders>
              <w:top w:val="nil"/>
              <w:left w:val="nil"/>
              <w:bottom w:val="nil"/>
              <w:right w:val="nil"/>
            </w:tcBorders>
            <w:vAlign w:val="center"/>
            <w:hideMark/>
          </w:tcPr>
          <w:p w14:paraId="7114F96C" w14:textId="22EBA07A" w:rsidR="00F44D8C" w:rsidRPr="00A974AD" w:rsidRDefault="00F44D8C" w:rsidP="00F44D8C">
            <w:pPr>
              <w:jc w:val="center"/>
              <w:rPr>
                <w:lang w:eastAsia="en-GB"/>
              </w:rPr>
            </w:pPr>
            <w:r w:rsidRPr="00A974AD">
              <w:rPr>
                <w:lang w:eastAsia="en-GB"/>
              </w:rPr>
              <w:t>4</w:t>
            </w:r>
          </w:p>
        </w:tc>
        <w:tc>
          <w:tcPr>
            <w:tcW w:w="1056" w:type="dxa"/>
            <w:tcBorders>
              <w:top w:val="nil"/>
              <w:left w:val="nil"/>
              <w:bottom w:val="nil"/>
              <w:right w:val="nil"/>
            </w:tcBorders>
            <w:vAlign w:val="center"/>
            <w:hideMark/>
          </w:tcPr>
          <w:p w14:paraId="4CB195E6" w14:textId="3F5E4D2D" w:rsidR="00F44D8C" w:rsidRPr="00A974AD" w:rsidRDefault="00F44D8C" w:rsidP="00F44D8C">
            <w:pPr>
              <w:jc w:val="center"/>
              <w:rPr>
                <w:lang w:eastAsia="en-GB"/>
              </w:rPr>
            </w:pPr>
            <w:r>
              <w:rPr>
                <w:lang w:eastAsia="en-GB"/>
              </w:rPr>
              <w:t>65.7</w:t>
            </w:r>
          </w:p>
        </w:tc>
        <w:tc>
          <w:tcPr>
            <w:tcW w:w="1370" w:type="dxa"/>
            <w:tcBorders>
              <w:top w:val="nil"/>
              <w:left w:val="nil"/>
              <w:bottom w:val="nil"/>
              <w:right w:val="nil"/>
            </w:tcBorders>
            <w:vAlign w:val="center"/>
            <w:hideMark/>
          </w:tcPr>
          <w:p w14:paraId="53D08786" w14:textId="2AE82428" w:rsidR="00F44D8C" w:rsidRPr="00A974AD" w:rsidRDefault="00F44D8C" w:rsidP="00F44D8C">
            <w:pPr>
              <w:jc w:val="center"/>
              <w:rPr>
                <w:lang w:eastAsia="en-GB"/>
              </w:rPr>
            </w:pPr>
            <w:r>
              <w:rPr>
                <w:lang w:eastAsia="en-GB"/>
              </w:rPr>
              <w:t>302.9</w:t>
            </w:r>
          </w:p>
        </w:tc>
        <w:tc>
          <w:tcPr>
            <w:tcW w:w="1134" w:type="dxa"/>
            <w:tcBorders>
              <w:top w:val="nil"/>
              <w:left w:val="nil"/>
              <w:bottom w:val="nil"/>
              <w:right w:val="nil"/>
            </w:tcBorders>
            <w:vAlign w:val="center"/>
            <w:hideMark/>
          </w:tcPr>
          <w:p w14:paraId="01EBF9E6" w14:textId="29C8021C" w:rsidR="00F44D8C" w:rsidRPr="00DC6D46" w:rsidRDefault="00F44D8C" w:rsidP="00F44D8C">
            <w:pPr>
              <w:jc w:val="center"/>
              <w:rPr>
                <w:lang w:eastAsia="en-GB"/>
              </w:rPr>
            </w:pPr>
            <w:r>
              <w:rPr>
                <w:lang w:eastAsia="en-GB"/>
              </w:rPr>
              <w:t>361</w:t>
            </w:r>
          </w:p>
        </w:tc>
        <w:tc>
          <w:tcPr>
            <w:tcW w:w="2268" w:type="dxa"/>
            <w:gridSpan w:val="2"/>
            <w:tcBorders>
              <w:top w:val="nil"/>
              <w:left w:val="nil"/>
              <w:bottom w:val="nil"/>
              <w:right w:val="nil"/>
            </w:tcBorders>
            <w:vAlign w:val="center"/>
            <w:hideMark/>
          </w:tcPr>
          <w:p w14:paraId="54DE9457" w14:textId="6CBE1BF1" w:rsidR="00F44D8C" w:rsidRPr="004A3379" w:rsidRDefault="00F44D8C" w:rsidP="00F44D8C">
            <w:pPr>
              <w:jc w:val="center"/>
              <w:rPr>
                <w:lang w:eastAsia="en-GB"/>
              </w:rPr>
            </w:pPr>
            <w:r>
              <w:rPr>
                <w:lang w:eastAsia="en-GB"/>
              </w:rPr>
              <w:t>30</w:t>
            </w:r>
          </w:p>
        </w:tc>
      </w:tr>
      <w:tr w:rsidR="006C3BF5" w:rsidRPr="00A974AD" w14:paraId="4DFC574A" w14:textId="4D3E6657" w:rsidTr="000153CB">
        <w:trPr>
          <w:trHeight w:val="320"/>
          <w:jc w:val="center"/>
        </w:trPr>
        <w:tc>
          <w:tcPr>
            <w:tcW w:w="3166" w:type="dxa"/>
            <w:gridSpan w:val="3"/>
            <w:tcBorders>
              <w:top w:val="nil"/>
              <w:left w:val="nil"/>
              <w:bottom w:val="nil"/>
              <w:right w:val="nil"/>
            </w:tcBorders>
            <w:noWrap/>
            <w:vAlign w:val="center"/>
            <w:hideMark/>
          </w:tcPr>
          <w:p w14:paraId="2FD5AB37" w14:textId="11CB407B" w:rsidR="006C3BF5" w:rsidRPr="00A974AD" w:rsidRDefault="006C3BF5" w:rsidP="0026149E">
            <w:pPr>
              <w:rPr>
                <w:lang w:eastAsia="en-GB"/>
              </w:rPr>
            </w:pPr>
            <w:r w:rsidRPr="00A974AD">
              <w:rPr>
                <w:lang w:eastAsia="en-GB"/>
              </w:rPr>
              <w:t xml:space="preserve">(b) </w:t>
            </w:r>
            <w:r w:rsidR="00EE3936" w:rsidRPr="00A974AD">
              <w:rPr>
                <w:lang w:eastAsia="en-GB"/>
              </w:rPr>
              <w:t>Amazon</w:t>
            </w:r>
          </w:p>
        </w:tc>
        <w:tc>
          <w:tcPr>
            <w:tcW w:w="1370" w:type="dxa"/>
            <w:tcBorders>
              <w:top w:val="nil"/>
              <w:left w:val="nil"/>
              <w:bottom w:val="nil"/>
              <w:right w:val="nil"/>
            </w:tcBorders>
            <w:noWrap/>
            <w:vAlign w:val="bottom"/>
            <w:hideMark/>
          </w:tcPr>
          <w:p w14:paraId="3316346C" w14:textId="55C1BC38" w:rsidR="006C3BF5" w:rsidRPr="00A974AD" w:rsidRDefault="006C3BF5" w:rsidP="000153CB">
            <w:pPr>
              <w:jc w:val="center"/>
              <w:rPr>
                <w:lang w:eastAsia="en-GB"/>
              </w:rPr>
            </w:pPr>
          </w:p>
        </w:tc>
        <w:tc>
          <w:tcPr>
            <w:tcW w:w="1134" w:type="dxa"/>
            <w:tcBorders>
              <w:top w:val="nil"/>
              <w:left w:val="nil"/>
              <w:bottom w:val="nil"/>
              <w:right w:val="nil"/>
            </w:tcBorders>
            <w:noWrap/>
            <w:vAlign w:val="bottom"/>
            <w:hideMark/>
          </w:tcPr>
          <w:p w14:paraId="75E5EC19" w14:textId="045E8A7D" w:rsidR="006C3BF5" w:rsidRPr="00A974AD" w:rsidRDefault="006C3BF5" w:rsidP="000153CB">
            <w:pPr>
              <w:jc w:val="center"/>
              <w:rPr>
                <w:lang w:eastAsia="en-GB"/>
              </w:rPr>
            </w:pPr>
          </w:p>
        </w:tc>
        <w:tc>
          <w:tcPr>
            <w:tcW w:w="2268" w:type="dxa"/>
            <w:gridSpan w:val="2"/>
            <w:tcBorders>
              <w:top w:val="nil"/>
              <w:left w:val="nil"/>
              <w:bottom w:val="nil"/>
              <w:right w:val="nil"/>
            </w:tcBorders>
            <w:noWrap/>
            <w:vAlign w:val="bottom"/>
            <w:hideMark/>
          </w:tcPr>
          <w:p w14:paraId="109F6542" w14:textId="39F37E3B" w:rsidR="006C3BF5" w:rsidRPr="00A974AD" w:rsidRDefault="006C3BF5" w:rsidP="000153CB">
            <w:pPr>
              <w:jc w:val="center"/>
              <w:rPr>
                <w:lang w:eastAsia="en-GB"/>
              </w:rPr>
            </w:pPr>
          </w:p>
        </w:tc>
      </w:tr>
      <w:tr w:rsidR="00EE3936" w:rsidRPr="00A974AD" w14:paraId="7CB64A19" w14:textId="1A365EC1" w:rsidTr="000153CB">
        <w:trPr>
          <w:trHeight w:val="290"/>
          <w:jc w:val="center"/>
        </w:trPr>
        <w:tc>
          <w:tcPr>
            <w:tcW w:w="1134" w:type="dxa"/>
            <w:tcBorders>
              <w:top w:val="single" w:sz="8" w:space="0" w:color="auto"/>
              <w:left w:val="nil"/>
              <w:bottom w:val="nil"/>
              <w:right w:val="nil"/>
            </w:tcBorders>
            <w:vAlign w:val="center"/>
            <w:hideMark/>
          </w:tcPr>
          <w:p w14:paraId="64AD8234" w14:textId="1AFF658C" w:rsidR="00EE3936" w:rsidRPr="00A974AD" w:rsidRDefault="00EE3936" w:rsidP="00EE3936">
            <w:pPr>
              <w:jc w:val="center"/>
              <w:rPr>
                <w:lang w:eastAsia="en-GB"/>
              </w:rPr>
            </w:pPr>
            <w:r w:rsidRPr="00A974AD">
              <w:rPr>
                <w:lang w:eastAsia="en-GB"/>
              </w:rPr>
              <w:t>Low</w:t>
            </w:r>
          </w:p>
        </w:tc>
        <w:tc>
          <w:tcPr>
            <w:tcW w:w="976" w:type="dxa"/>
            <w:tcBorders>
              <w:top w:val="single" w:sz="8" w:space="0" w:color="auto"/>
              <w:left w:val="nil"/>
              <w:bottom w:val="nil"/>
              <w:right w:val="nil"/>
            </w:tcBorders>
            <w:vAlign w:val="center"/>
            <w:hideMark/>
          </w:tcPr>
          <w:p w14:paraId="6F68FA4D" w14:textId="14159754" w:rsidR="00EE3936" w:rsidRPr="00A974AD" w:rsidRDefault="00EE3936" w:rsidP="00EE3936">
            <w:pPr>
              <w:jc w:val="center"/>
              <w:rPr>
                <w:lang w:eastAsia="en-GB"/>
              </w:rPr>
            </w:pPr>
            <w:r w:rsidRPr="00A974AD">
              <w:rPr>
                <w:lang w:eastAsia="en-GB"/>
              </w:rPr>
              <w:t>2</w:t>
            </w:r>
          </w:p>
        </w:tc>
        <w:tc>
          <w:tcPr>
            <w:tcW w:w="1056" w:type="dxa"/>
            <w:tcBorders>
              <w:top w:val="single" w:sz="8" w:space="0" w:color="auto"/>
              <w:left w:val="nil"/>
              <w:bottom w:val="nil"/>
              <w:right w:val="nil"/>
            </w:tcBorders>
            <w:vAlign w:val="center"/>
            <w:hideMark/>
          </w:tcPr>
          <w:p w14:paraId="29574E04" w14:textId="67427897" w:rsidR="00EE3936" w:rsidRPr="00A974AD" w:rsidRDefault="00EE3936" w:rsidP="00EE3936">
            <w:pPr>
              <w:jc w:val="center"/>
              <w:rPr>
                <w:lang w:eastAsia="en-GB"/>
              </w:rPr>
            </w:pPr>
            <w:r>
              <w:rPr>
                <w:lang w:eastAsia="en-GB"/>
              </w:rPr>
              <w:t>8.8</w:t>
            </w:r>
          </w:p>
        </w:tc>
        <w:tc>
          <w:tcPr>
            <w:tcW w:w="1370" w:type="dxa"/>
            <w:tcBorders>
              <w:top w:val="single" w:sz="8" w:space="0" w:color="auto"/>
              <w:left w:val="nil"/>
              <w:bottom w:val="nil"/>
              <w:right w:val="nil"/>
            </w:tcBorders>
            <w:vAlign w:val="center"/>
            <w:hideMark/>
          </w:tcPr>
          <w:p w14:paraId="1558B49D" w14:textId="6C13E41F" w:rsidR="00EE3936" w:rsidRPr="00A974AD" w:rsidRDefault="00EE3936" w:rsidP="00EE3936">
            <w:pPr>
              <w:jc w:val="center"/>
              <w:rPr>
                <w:lang w:eastAsia="en-GB"/>
              </w:rPr>
            </w:pPr>
            <w:r>
              <w:rPr>
                <w:lang w:eastAsia="en-GB"/>
              </w:rPr>
              <w:t>15.1</w:t>
            </w:r>
          </w:p>
        </w:tc>
        <w:tc>
          <w:tcPr>
            <w:tcW w:w="1134" w:type="dxa"/>
            <w:tcBorders>
              <w:top w:val="single" w:sz="8" w:space="0" w:color="auto"/>
              <w:left w:val="nil"/>
              <w:bottom w:val="nil"/>
              <w:right w:val="nil"/>
            </w:tcBorders>
            <w:vAlign w:val="center"/>
            <w:hideMark/>
          </w:tcPr>
          <w:p w14:paraId="0715B79E" w14:textId="357921AB" w:rsidR="00EE3936" w:rsidRPr="00A974AD" w:rsidRDefault="00EE3936" w:rsidP="00EE3936">
            <w:pPr>
              <w:jc w:val="center"/>
              <w:rPr>
                <w:lang w:eastAsia="en-GB"/>
              </w:rPr>
            </w:pPr>
            <w:r w:rsidRPr="00DC6D46">
              <w:rPr>
                <w:lang w:eastAsia="en-GB"/>
              </w:rPr>
              <w:t>71</w:t>
            </w:r>
          </w:p>
        </w:tc>
        <w:tc>
          <w:tcPr>
            <w:tcW w:w="2268" w:type="dxa"/>
            <w:gridSpan w:val="2"/>
            <w:tcBorders>
              <w:top w:val="single" w:sz="8" w:space="0" w:color="auto"/>
              <w:left w:val="nil"/>
              <w:bottom w:val="nil"/>
              <w:right w:val="nil"/>
            </w:tcBorders>
            <w:vAlign w:val="center"/>
            <w:hideMark/>
          </w:tcPr>
          <w:p w14:paraId="6731CDEF" w14:textId="360133E5" w:rsidR="00EE3936" w:rsidRPr="00A974AD" w:rsidRDefault="00EE3936" w:rsidP="00EE3936">
            <w:pPr>
              <w:jc w:val="center"/>
              <w:rPr>
                <w:lang w:eastAsia="en-GB"/>
              </w:rPr>
            </w:pPr>
            <w:r w:rsidRPr="004A3379">
              <w:rPr>
                <w:lang w:eastAsia="en-GB"/>
              </w:rPr>
              <w:t>1</w:t>
            </w:r>
          </w:p>
        </w:tc>
      </w:tr>
      <w:tr w:rsidR="00EE3936" w:rsidRPr="00A974AD" w14:paraId="1253302F" w14:textId="6367B2EF" w:rsidTr="000153CB">
        <w:trPr>
          <w:trHeight w:val="290"/>
          <w:jc w:val="center"/>
        </w:trPr>
        <w:tc>
          <w:tcPr>
            <w:tcW w:w="1134" w:type="dxa"/>
            <w:tcBorders>
              <w:top w:val="nil"/>
              <w:left w:val="nil"/>
              <w:bottom w:val="nil"/>
              <w:right w:val="nil"/>
            </w:tcBorders>
            <w:vAlign w:val="center"/>
            <w:hideMark/>
          </w:tcPr>
          <w:p w14:paraId="7845A015" w14:textId="32DDD04E" w:rsidR="00EE3936" w:rsidRPr="00A974AD" w:rsidRDefault="00EE3936" w:rsidP="00EE3936">
            <w:pPr>
              <w:jc w:val="center"/>
              <w:rPr>
                <w:lang w:eastAsia="en-GB"/>
              </w:rPr>
            </w:pPr>
          </w:p>
        </w:tc>
        <w:tc>
          <w:tcPr>
            <w:tcW w:w="976" w:type="dxa"/>
            <w:tcBorders>
              <w:top w:val="nil"/>
              <w:left w:val="nil"/>
              <w:bottom w:val="nil"/>
              <w:right w:val="nil"/>
            </w:tcBorders>
            <w:vAlign w:val="center"/>
            <w:hideMark/>
          </w:tcPr>
          <w:p w14:paraId="221B4156" w14:textId="78D351CB" w:rsidR="00EE3936" w:rsidRPr="00A974AD" w:rsidRDefault="00EE3936" w:rsidP="00EE3936">
            <w:pPr>
              <w:jc w:val="center"/>
              <w:rPr>
                <w:lang w:eastAsia="en-GB"/>
              </w:rPr>
            </w:pPr>
            <w:r w:rsidRPr="00A974AD">
              <w:rPr>
                <w:lang w:eastAsia="en-GB"/>
              </w:rPr>
              <w:t>3</w:t>
            </w:r>
          </w:p>
        </w:tc>
        <w:tc>
          <w:tcPr>
            <w:tcW w:w="1056" w:type="dxa"/>
            <w:tcBorders>
              <w:top w:val="nil"/>
              <w:left w:val="nil"/>
              <w:bottom w:val="nil"/>
              <w:right w:val="nil"/>
            </w:tcBorders>
            <w:vAlign w:val="center"/>
            <w:hideMark/>
          </w:tcPr>
          <w:p w14:paraId="0AA655E4" w14:textId="50563AA9" w:rsidR="00EE3936" w:rsidRPr="00A974AD" w:rsidRDefault="00EE3936" w:rsidP="00EE3936">
            <w:pPr>
              <w:jc w:val="center"/>
              <w:rPr>
                <w:lang w:eastAsia="en-GB"/>
              </w:rPr>
            </w:pPr>
            <w:r w:rsidRPr="00A974AD">
              <w:rPr>
                <w:lang w:eastAsia="en-GB"/>
              </w:rPr>
              <w:t>9.42</w:t>
            </w:r>
          </w:p>
        </w:tc>
        <w:tc>
          <w:tcPr>
            <w:tcW w:w="1370" w:type="dxa"/>
            <w:tcBorders>
              <w:top w:val="nil"/>
              <w:left w:val="nil"/>
              <w:bottom w:val="nil"/>
              <w:right w:val="nil"/>
            </w:tcBorders>
            <w:vAlign w:val="center"/>
            <w:hideMark/>
          </w:tcPr>
          <w:p w14:paraId="2A39B08B" w14:textId="26A8E124" w:rsidR="00EE3936" w:rsidRPr="00A974AD" w:rsidRDefault="00EE3936" w:rsidP="00EE3936">
            <w:pPr>
              <w:jc w:val="center"/>
              <w:rPr>
                <w:lang w:eastAsia="en-GB"/>
              </w:rPr>
            </w:pPr>
            <w:r>
              <w:rPr>
                <w:lang w:eastAsia="en-GB"/>
              </w:rPr>
              <w:t>16.2</w:t>
            </w:r>
          </w:p>
        </w:tc>
        <w:tc>
          <w:tcPr>
            <w:tcW w:w="1134" w:type="dxa"/>
            <w:tcBorders>
              <w:top w:val="nil"/>
              <w:left w:val="nil"/>
              <w:bottom w:val="nil"/>
              <w:right w:val="nil"/>
            </w:tcBorders>
            <w:vAlign w:val="center"/>
            <w:hideMark/>
          </w:tcPr>
          <w:p w14:paraId="02369E7D" w14:textId="0B6452F2" w:rsidR="00EE3936" w:rsidRPr="00A974AD" w:rsidRDefault="00EE3936" w:rsidP="00EE3936">
            <w:pPr>
              <w:jc w:val="center"/>
              <w:rPr>
                <w:lang w:eastAsia="en-GB"/>
              </w:rPr>
            </w:pPr>
            <w:r w:rsidRPr="00DC6D46">
              <w:rPr>
                <w:lang w:eastAsia="en-GB"/>
              </w:rPr>
              <w:t>72</w:t>
            </w:r>
          </w:p>
        </w:tc>
        <w:tc>
          <w:tcPr>
            <w:tcW w:w="2268" w:type="dxa"/>
            <w:gridSpan w:val="2"/>
            <w:tcBorders>
              <w:top w:val="nil"/>
              <w:left w:val="nil"/>
              <w:bottom w:val="nil"/>
              <w:right w:val="nil"/>
            </w:tcBorders>
            <w:vAlign w:val="center"/>
            <w:hideMark/>
          </w:tcPr>
          <w:p w14:paraId="046ADAA9" w14:textId="72C69503" w:rsidR="00EE3936" w:rsidRPr="00A974AD" w:rsidRDefault="00EE3936" w:rsidP="00EE3936">
            <w:pPr>
              <w:jc w:val="center"/>
              <w:rPr>
                <w:lang w:eastAsia="en-GB"/>
              </w:rPr>
            </w:pPr>
            <w:r w:rsidRPr="004A3379">
              <w:rPr>
                <w:lang w:eastAsia="en-GB"/>
              </w:rPr>
              <w:t>0</w:t>
            </w:r>
          </w:p>
        </w:tc>
      </w:tr>
      <w:tr w:rsidR="00EE3936" w:rsidRPr="00A974AD" w14:paraId="61E9157B" w14:textId="07F41C37" w:rsidTr="000153CB">
        <w:trPr>
          <w:trHeight w:val="290"/>
          <w:jc w:val="center"/>
        </w:trPr>
        <w:tc>
          <w:tcPr>
            <w:tcW w:w="1134" w:type="dxa"/>
            <w:tcBorders>
              <w:top w:val="nil"/>
              <w:left w:val="nil"/>
              <w:bottom w:val="nil"/>
              <w:right w:val="nil"/>
            </w:tcBorders>
            <w:vAlign w:val="center"/>
            <w:hideMark/>
          </w:tcPr>
          <w:p w14:paraId="1C6C3AAE" w14:textId="1C48763C" w:rsidR="00EE3936" w:rsidRPr="00A974AD" w:rsidRDefault="00EE3936" w:rsidP="00EE3936">
            <w:pPr>
              <w:jc w:val="center"/>
              <w:rPr>
                <w:lang w:eastAsia="en-GB"/>
              </w:rPr>
            </w:pPr>
          </w:p>
        </w:tc>
        <w:tc>
          <w:tcPr>
            <w:tcW w:w="976" w:type="dxa"/>
            <w:tcBorders>
              <w:top w:val="nil"/>
              <w:left w:val="nil"/>
              <w:bottom w:val="nil"/>
              <w:right w:val="nil"/>
            </w:tcBorders>
            <w:vAlign w:val="center"/>
            <w:hideMark/>
          </w:tcPr>
          <w:p w14:paraId="7F13F7F7" w14:textId="692FD75E" w:rsidR="00EE3936" w:rsidRPr="00A974AD" w:rsidRDefault="00EE3936" w:rsidP="00EE3936">
            <w:pPr>
              <w:jc w:val="center"/>
              <w:rPr>
                <w:lang w:eastAsia="en-GB"/>
              </w:rPr>
            </w:pPr>
            <w:r w:rsidRPr="00A974AD">
              <w:rPr>
                <w:lang w:eastAsia="en-GB"/>
              </w:rPr>
              <w:t>4</w:t>
            </w:r>
          </w:p>
        </w:tc>
        <w:tc>
          <w:tcPr>
            <w:tcW w:w="1056" w:type="dxa"/>
            <w:tcBorders>
              <w:top w:val="nil"/>
              <w:left w:val="nil"/>
              <w:bottom w:val="nil"/>
              <w:right w:val="nil"/>
            </w:tcBorders>
            <w:vAlign w:val="center"/>
            <w:hideMark/>
          </w:tcPr>
          <w:p w14:paraId="3C1CC39E" w14:textId="51666519" w:rsidR="00EE3936" w:rsidRPr="00A974AD" w:rsidRDefault="00EE3936" w:rsidP="00EE3936">
            <w:pPr>
              <w:jc w:val="center"/>
              <w:rPr>
                <w:lang w:eastAsia="en-GB"/>
              </w:rPr>
            </w:pPr>
            <w:r w:rsidRPr="00A974AD">
              <w:rPr>
                <w:lang w:eastAsia="en-GB"/>
              </w:rPr>
              <w:t>1</w:t>
            </w:r>
            <w:r>
              <w:rPr>
                <w:lang w:eastAsia="en-GB"/>
              </w:rPr>
              <w:t>0.1</w:t>
            </w:r>
          </w:p>
        </w:tc>
        <w:tc>
          <w:tcPr>
            <w:tcW w:w="1370" w:type="dxa"/>
            <w:tcBorders>
              <w:top w:val="nil"/>
              <w:left w:val="nil"/>
              <w:bottom w:val="nil"/>
              <w:right w:val="nil"/>
            </w:tcBorders>
            <w:vAlign w:val="center"/>
            <w:hideMark/>
          </w:tcPr>
          <w:p w14:paraId="36895074" w14:textId="44F14692" w:rsidR="00EE3936" w:rsidRPr="00A974AD" w:rsidRDefault="00EE3936" w:rsidP="00EE3936">
            <w:pPr>
              <w:jc w:val="center"/>
              <w:rPr>
                <w:lang w:eastAsia="en-GB"/>
              </w:rPr>
            </w:pPr>
            <w:r>
              <w:rPr>
                <w:lang w:eastAsia="en-GB"/>
              </w:rPr>
              <w:t>17.4</w:t>
            </w:r>
          </w:p>
        </w:tc>
        <w:tc>
          <w:tcPr>
            <w:tcW w:w="1134" w:type="dxa"/>
            <w:tcBorders>
              <w:top w:val="nil"/>
              <w:left w:val="nil"/>
              <w:bottom w:val="nil"/>
              <w:right w:val="nil"/>
            </w:tcBorders>
            <w:vAlign w:val="center"/>
            <w:hideMark/>
          </w:tcPr>
          <w:p w14:paraId="4CE033A1" w14:textId="179D92E9" w:rsidR="00EE3936" w:rsidRPr="00A974AD" w:rsidRDefault="00EE3936" w:rsidP="00EE3936">
            <w:pPr>
              <w:jc w:val="center"/>
              <w:rPr>
                <w:lang w:eastAsia="en-GB"/>
              </w:rPr>
            </w:pPr>
            <w:r w:rsidRPr="00DC6D46">
              <w:rPr>
                <w:lang w:eastAsia="en-GB"/>
              </w:rPr>
              <w:t>72</w:t>
            </w:r>
          </w:p>
        </w:tc>
        <w:tc>
          <w:tcPr>
            <w:tcW w:w="2268" w:type="dxa"/>
            <w:gridSpan w:val="2"/>
            <w:tcBorders>
              <w:top w:val="nil"/>
              <w:left w:val="nil"/>
              <w:bottom w:val="nil"/>
              <w:right w:val="nil"/>
            </w:tcBorders>
            <w:vAlign w:val="center"/>
            <w:hideMark/>
          </w:tcPr>
          <w:p w14:paraId="502977E3" w14:textId="593F8B59" w:rsidR="00EE3936" w:rsidRPr="00A974AD" w:rsidRDefault="00EE3936" w:rsidP="00EE3936">
            <w:pPr>
              <w:jc w:val="center"/>
              <w:rPr>
                <w:lang w:eastAsia="en-GB"/>
              </w:rPr>
            </w:pPr>
            <w:r w:rsidRPr="004A3379">
              <w:rPr>
                <w:lang w:eastAsia="en-GB"/>
              </w:rPr>
              <w:t>0</w:t>
            </w:r>
          </w:p>
        </w:tc>
      </w:tr>
      <w:tr w:rsidR="00EE3936" w:rsidRPr="00A974AD" w14:paraId="01BEDFBB" w14:textId="78BB6A39" w:rsidTr="000153CB">
        <w:trPr>
          <w:trHeight w:val="290"/>
          <w:jc w:val="center"/>
        </w:trPr>
        <w:tc>
          <w:tcPr>
            <w:tcW w:w="1134" w:type="dxa"/>
            <w:tcBorders>
              <w:top w:val="nil"/>
              <w:left w:val="nil"/>
              <w:bottom w:val="nil"/>
              <w:right w:val="nil"/>
            </w:tcBorders>
            <w:vAlign w:val="center"/>
            <w:hideMark/>
          </w:tcPr>
          <w:p w14:paraId="45E9FD9A" w14:textId="69ECB6A1" w:rsidR="00EE3936" w:rsidRPr="00A974AD" w:rsidRDefault="00EE3936" w:rsidP="00EE3936">
            <w:pPr>
              <w:jc w:val="center"/>
              <w:rPr>
                <w:lang w:eastAsia="en-GB"/>
              </w:rPr>
            </w:pPr>
            <w:r w:rsidRPr="00A974AD">
              <w:rPr>
                <w:lang w:eastAsia="en-GB"/>
              </w:rPr>
              <w:t>High</w:t>
            </w:r>
          </w:p>
        </w:tc>
        <w:tc>
          <w:tcPr>
            <w:tcW w:w="976" w:type="dxa"/>
            <w:tcBorders>
              <w:top w:val="nil"/>
              <w:left w:val="nil"/>
              <w:bottom w:val="nil"/>
              <w:right w:val="nil"/>
            </w:tcBorders>
            <w:vAlign w:val="center"/>
            <w:hideMark/>
          </w:tcPr>
          <w:p w14:paraId="3CB2E8B1" w14:textId="2F219A8E" w:rsidR="00EE3936" w:rsidRPr="00A974AD" w:rsidRDefault="00EE3936" w:rsidP="00EE3936">
            <w:pPr>
              <w:jc w:val="center"/>
              <w:rPr>
                <w:lang w:eastAsia="en-GB"/>
              </w:rPr>
            </w:pPr>
            <w:r w:rsidRPr="00A974AD">
              <w:rPr>
                <w:lang w:eastAsia="en-GB"/>
              </w:rPr>
              <w:t>2</w:t>
            </w:r>
          </w:p>
        </w:tc>
        <w:tc>
          <w:tcPr>
            <w:tcW w:w="1056" w:type="dxa"/>
            <w:tcBorders>
              <w:top w:val="nil"/>
              <w:left w:val="nil"/>
              <w:bottom w:val="nil"/>
              <w:right w:val="nil"/>
            </w:tcBorders>
            <w:vAlign w:val="center"/>
            <w:hideMark/>
          </w:tcPr>
          <w:p w14:paraId="3695AFC9" w14:textId="09F4A8BE" w:rsidR="00EE3936" w:rsidRPr="00A974AD" w:rsidRDefault="00EE3936" w:rsidP="00EE3936">
            <w:pPr>
              <w:jc w:val="center"/>
              <w:rPr>
                <w:lang w:eastAsia="en-GB"/>
              </w:rPr>
            </w:pPr>
            <w:r>
              <w:rPr>
                <w:lang w:eastAsia="en-GB"/>
              </w:rPr>
              <w:t>15.1</w:t>
            </w:r>
          </w:p>
        </w:tc>
        <w:tc>
          <w:tcPr>
            <w:tcW w:w="1370" w:type="dxa"/>
            <w:tcBorders>
              <w:top w:val="nil"/>
              <w:left w:val="nil"/>
              <w:bottom w:val="nil"/>
              <w:right w:val="nil"/>
            </w:tcBorders>
            <w:vAlign w:val="center"/>
            <w:hideMark/>
          </w:tcPr>
          <w:p w14:paraId="2785718F" w14:textId="614C46AF" w:rsidR="00EE3936" w:rsidRPr="00A974AD" w:rsidRDefault="00EE3936" w:rsidP="00EE3936">
            <w:pPr>
              <w:jc w:val="center"/>
              <w:rPr>
                <w:lang w:eastAsia="en-GB"/>
              </w:rPr>
            </w:pPr>
            <w:r>
              <w:rPr>
                <w:lang w:eastAsia="en-GB"/>
              </w:rPr>
              <w:t>36.7</w:t>
            </w:r>
          </w:p>
        </w:tc>
        <w:tc>
          <w:tcPr>
            <w:tcW w:w="1134" w:type="dxa"/>
            <w:tcBorders>
              <w:top w:val="nil"/>
              <w:left w:val="nil"/>
              <w:bottom w:val="nil"/>
              <w:right w:val="nil"/>
            </w:tcBorders>
            <w:vAlign w:val="center"/>
            <w:hideMark/>
          </w:tcPr>
          <w:p w14:paraId="456255FD" w14:textId="368BB055" w:rsidR="00EE3936" w:rsidRPr="00A974AD" w:rsidRDefault="00EE3936" w:rsidP="00EE3936">
            <w:pPr>
              <w:jc w:val="center"/>
              <w:rPr>
                <w:lang w:eastAsia="en-GB"/>
              </w:rPr>
            </w:pPr>
            <w:r w:rsidRPr="00DC6D46">
              <w:rPr>
                <w:lang w:eastAsia="en-GB"/>
              </w:rPr>
              <w:t>143</w:t>
            </w:r>
          </w:p>
        </w:tc>
        <w:tc>
          <w:tcPr>
            <w:tcW w:w="2268" w:type="dxa"/>
            <w:gridSpan w:val="2"/>
            <w:tcBorders>
              <w:top w:val="nil"/>
              <w:left w:val="nil"/>
              <w:bottom w:val="nil"/>
              <w:right w:val="nil"/>
            </w:tcBorders>
            <w:vAlign w:val="center"/>
            <w:hideMark/>
          </w:tcPr>
          <w:p w14:paraId="688998FC" w14:textId="02A0262D" w:rsidR="00EE3936" w:rsidRPr="00A974AD" w:rsidRDefault="00EE3936" w:rsidP="00EE3936">
            <w:pPr>
              <w:jc w:val="center"/>
              <w:rPr>
                <w:lang w:eastAsia="en-GB"/>
              </w:rPr>
            </w:pPr>
            <w:r w:rsidRPr="004A3379">
              <w:rPr>
                <w:lang w:eastAsia="en-GB"/>
              </w:rPr>
              <w:t>-2</w:t>
            </w:r>
          </w:p>
        </w:tc>
      </w:tr>
      <w:tr w:rsidR="00EE3936" w:rsidRPr="00A974AD" w14:paraId="5846B932" w14:textId="09A6F8C1" w:rsidTr="000153CB">
        <w:trPr>
          <w:trHeight w:val="290"/>
          <w:jc w:val="center"/>
        </w:trPr>
        <w:tc>
          <w:tcPr>
            <w:tcW w:w="1134" w:type="dxa"/>
            <w:tcBorders>
              <w:top w:val="nil"/>
              <w:left w:val="nil"/>
              <w:right w:val="nil"/>
            </w:tcBorders>
            <w:vAlign w:val="center"/>
            <w:hideMark/>
          </w:tcPr>
          <w:p w14:paraId="1299B6CB" w14:textId="48E70108" w:rsidR="00EE3936" w:rsidRPr="00A974AD" w:rsidRDefault="00EE3936" w:rsidP="00EE3936">
            <w:pPr>
              <w:jc w:val="center"/>
              <w:rPr>
                <w:lang w:eastAsia="en-GB"/>
              </w:rPr>
            </w:pPr>
          </w:p>
        </w:tc>
        <w:tc>
          <w:tcPr>
            <w:tcW w:w="976" w:type="dxa"/>
            <w:tcBorders>
              <w:top w:val="nil"/>
              <w:left w:val="nil"/>
              <w:right w:val="nil"/>
            </w:tcBorders>
            <w:vAlign w:val="center"/>
            <w:hideMark/>
          </w:tcPr>
          <w:p w14:paraId="2E064385" w14:textId="100874F4" w:rsidR="00EE3936" w:rsidRPr="00A974AD" w:rsidRDefault="00EE3936" w:rsidP="00EE3936">
            <w:pPr>
              <w:jc w:val="center"/>
              <w:rPr>
                <w:lang w:eastAsia="en-GB"/>
              </w:rPr>
            </w:pPr>
            <w:r w:rsidRPr="00A974AD">
              <w:rPr>
                <w:lang w:eastAsia="en-GB"/>
              </w:rPr>
              <w:t>3</w:t>
            </w:r>
          </w:p>
        </w:tc>
        <w:tc>
          <w:tcPr>
            <w:tcW w:w="1056" w:type="dxa"/>
            <w:tcBorders>
              <w:top w:val="nil"/>
              <w:left w:val="nil"/>
              <w:right w:val="nil"/>
            </w:tcBorders>
            <w:vAlign w:val="center"/>
            <w:hideMark/>
          </w:tcPr>
          <w:p w14:paraId="41591185" w14:textId="7B9FFE5F" w:rsidR="00EE3936" w:rsidRPr="00A974AD" w:rsidRDefault="00EE3936" w:rsidP="00EE3936">
            <w:pPr>
              <w:jc w:val="center"/>
              <w:rPr>
                <w:lang w:eastAsia="en-GB"/>
              </w:rPr>
            </w:pPr>
            <w:r w:rsidRPr="00A974AD">
              <w:rPr>
                <w:lang w:eastAsia="en-GB"/>
              </w:rPr>
              <w:t>16.1</w:t>
            </w:r>
          </w:p>
        </w:tc>
        <w:tc>
          <w:tcPr>
            <w:tcW w:w="1370" w:type="dxa"/>
            <w:tcBorders>
              <w:top w:val="nil"/>
              <w:left w:val="nil"/>
              <w:right w:val="nil"/>
            </w:tcBorders>
            <w:vAlign w:val="center"/>
            <w:hideMark/>
          </w:tcPr>
          <w:p w14:paraId="1101EABE" w14:textId="312A8C04" w:rsidR="00EE3936" w:rsidRPr="00A974AD" w:rsidRDefault="00EE3936" w:rsidP="00EE3936">
            <w:pPr>
              <w:jc w:val="center"/>
              <w:rPr>
                <w:lang w:eastAsia="en-GB"/>
              </w:rPr>
            </w:pPr>
            <w:r>
              <w:rPr>
                <w:lang w:eastAsia="en-GB"/>
              </w:rPr>
              <w:t>39.5</w:t>
            </w:r>
          </w:p>
        </w:tc>
        <w:tc>
          <w:tcPr>
            <w:tcW w:w="1134" w:type="dxa"/>
            <w:tcBorders>
              <w:top w:val="nil"/>
              <w:left w:val="nil"/>
              <w:right w:val="nil"/>
            </w:tcBorders>
            <w:vAlign w:val="center"/>
            <w:hideMark/>
          </w:tcPr>
          <w:p w14:paraId="1197432F" w14:textId="66A85837" w:rsidR="00EE3936" w:rsidRPr="00A974AD" w:rsidRDefault="00EE3936" w:rsidP="00EE3936">
            <w:pPr>
              <w:jc w:val="center"/>
              <w:rPr>
                <w:lang w:eastAsia="en-GB"/>
              </w:rPr>
            </w:pPr>
            <w:r w:rsidRPr="00DC6D46">
              <w:rPr>
                <w:lang w:eastAsia="en-GB"/>
              </w:rPr>
              <w:t>145</w:t>
            </w:r>
          </w:p>
        </w:tc>
        <w:tc>
          <w:tcPr>
            <w:tcW w:w="2268" w:type="dxa"/>
            <w:gridSpan w:val="2"/>
            <w:tcBorders>
              <w:top w:val="nil"/>
              <w:left w:val="nil"/>
              <w:right w:val="nil"/>
            </w:tcBorders>
            <w:vAlign w:val="center"/>
            <w:hideMark/>
          </w:tcPr>
          <w:p w14:paraId="72F9127A" w14:textId="23BFDF46" w:rsidR="00EE3936" w:rsidRPr="00A974AD" w:rsidRDefault="00EE3936" w:rsidP="00EE3936">
            <w:pPr>
              <w:jc w:val="center"/>
              <w:rPr>
                <w:lang w:eastAsia="en-GB"/>
              </w:rPr>
            </w:pPr>
            <w:r w:rsidRPr="004A3379">
              <w:rPr>
                <w:lang w:eastAsia="en-GB"/>
              </w:rPr>
              <w:t>0</w:t>
            </w:r>
          </w:p>
        </w:tc>
      </w:tr>
      <w:tr w:rsidR="00EE3936" w:rsidRPr="00A974AD" w14:paraId="0C193C8C" w14:textId="5A93CDF1" w:rsidTr="000153CB">
        <w:trPr>
          <w:trHeight w:val="290"/>
          <w:jc w:val="center"/>
        </w:trPr>
        <w:tc>
          <w:tcPr>
            <w:tcW w:w="1134" w:type="dxa"/>
            <w:tcBorders>
              <w:top w:val="nil"/>
              <w:left w:val="nil"/>
              <w:bottom w:val="single" w:sz="8" w:space="0" w:color="auto"/>
              <w:right w:val="nil"/>
            </w:tcBorders>
            <w:vAlign w:val="center"/>
            <w:hideMark/>
          </w:tcPr>
          <w:p w14:paraId="2C3B9C24" w14:textId="65A1AA40" w:rsidR="00EE3936" w:rsidRPr="00A974AD" w:rsidRDefault="00EE3936" w:rsidP="00EE3936">
            <w:pPr>
              <w:jc w:val="center"/>
              <w:rPr>
                <w:lang w:eastAsia="en-GB"/>
              </w:rPr>
            </w:pPr>
          </w:p>
        </w:tc>
        <w:tc>
          <w:tcPr>
            <w:tcW w:w="976" w:type="dxa"/>
            <w:tcBorders>
              <w:top w:val="nil"/>
              <w:left w:val="nil"/>
              <w:bottom w:val="single" w:sz="8" w:space="0" w:color="auto"/>
              <w:right w:val="nil"/>
            </w:tcBorders>
            <w:vAlign w:val="center"/>
            <w:hideMark/>
          </w:tcPr>
          <w:p w14:paraId="05E1D6EA" w14:textId="460B8CE5" w:rsidR="00EE3936" w:rsidRPr="00A974AD" w:rsidRDefault="00EE3936" w:rsidP="00EE3936">
            <w:pPr>
              <w:jc w:val="center"/>
              <w:rPr>
                <w:lang w:eastAsia="en-GB"/>
              </w:rPr>
            </w:pPr>
            <w:r w:rsidRPr="00A974AD">
              <w:rPr>
                <w:lang w:eastAsia="en-GB"/>
              </w:rPr>
              <w:t>4</w:t>
            </w:r>
          </w:p>
        </w:tc>
        <w:tc>
          <w:tcPr>
            <w:tcW w:w="1056" w:type="dxa"/>
            <w:tcBorders>
              <w:top w:val="nil"/>
              <w:left w:val="nil"/>
              <w:bottom w:val="single" w:sz="8" w:space="0" w:color="auto"/>
              <w:right w:val="nil"/>
            </w:tcBorders>
            <w:vAlign w:val="center"/>
            <w:hideMark/>
          </w:tcPr>
          <w:p w14:paraId="43FE8D93" w14:textId="02520B6D" w:rsidR="00EE3936" w:rsidRPr="00A974AD" w:rsidRDefault="00EE3936" w:rsidP="00EE3936">
            <w:pPr>
              <w:jc w:val="center"/>
              <w:rPr>
                <w:lang w:eastAsia="en-GB"/>
              </w:rPr>
            </w:pPr>
            <w:r>
              <w:rPr>
                <w:lang w:eastAsia="en-GB"/>
              </w:rPr>
              <w:t>17.3</w:t>
            </w:r>
          </w:p>
        </w:tc>
        <w:tc>
          <w:tcPr>
            <w:tcW w:w="1370" w:type="dxa"/>
            <w:tcBorders>
              <w:top w:val="nil"/>
              <w:left w:val="nil"/>
              <w:bottom w:val="single" w:sz="8" w:space="0" w:color="auto"/>
              <w:right w:val="nil"/>
            </w:tcBorders>
            <w:vAlign w:val="center"/>
            <w:hideMark/>
          </w:tcPr>
          <w:p w14:paraId="178A0D95" w14:textId="5C987CCB" w:rsidR="00EE3936" w:rsidRPr="00A974AD" w:rsidRDefault="00EE3936" w:rsidP="00EE3936">
            <w:pPr>
              <w:jc w:val="center"/>
              <w:rPr>
                <w:lang w:eastAsia="en-GB"/>
              </w:rPr>
            </w:pPr>
            <w:r>
              <w:rPr>
                <w:lang w:eastAsia="en-GB"/>
              </w:rPr>
              <w:t>42.8</w:t>
            </w:r>
          </w:p>
        </w:tc>
        <w:tc>
          <w:tcPr>
            <w:tcW w:w="1134" w:type="dxa"/>
            <w:tcBorders>
              <w:top w:val="nil"/>
              <w:left w:val="nil"/>
              <w:bottom w:val="single" w:sz="8" w:space="0" w:color="auto"/>
              <w:right w:val="nil"/>
            </w:tcBorders>
            <w:vAlign w:val="center"/>
            <w:hideMark/>
          </w:tcPr>
          <w:p w14:paraId="2637C40E" w14:textId="31CBF440" w:rsidR="00EE3936" w:rsidRPr="00A974AD" w:rsidRDefault="00EE3936" w:rsidP="00EE3936">
            <w:pPr>
              <w:jc w:val="center"/>
              <w:rPr>
                <w:lang w:eastAsia="en-GB"/>
              </w:rPr>
            </w:pPr>
            <w:r w:rsidRPr="00DC6D46">
              <w:rPr>
                <w:lang w:eastAsia="en-GB"/>
              </w:rPr>
              <w:t>147</w:t>
            </w:r>
          </w:p>
        </w:tc>
        <w:tc>
          <w:tcPr>
            <w:tcW w:w="2268" w:type="dxa"/>
            <w:gridSpan w:val="2"/>
            <w:tcBorders>
              <w:top w:val="nil"/>
              <w:left w:val="nil"/>
              <w:bottom w:val="single" w:sz="8" w:space="0" w:color="auto"/>
              <w:right w:val="nil"/>
            </w:tcBorders>
            <w:vAlign w:val="center"/>
            <w:hideMark/>
          </w:tcPr>
          <w:p w14:paraId="44690608" w14:textId="7EB9EB3B" w:rsidR="00EE3936" w:rsidRPr="00A974AD" w:rsidRDefault="00EE3936" w:rsidP="00EE3936">
            <w:pPr>
              <w:jc w:val="center"/>
              <w:rPr>
                <w:lang w:eastAsia="en-GB"/>
              </w:rPr>
            </w:pPr>
            <w:r w:rsidRPr="004A3379">
              <w:rPr>
                <w:lang w:eastAsia="en-GB"/>
              </w:rPr>
              <w:t>2</w:t>
            </w:r>
          </w:p>
        </w:tc>
      </w:tr>
    </w:tbl>
    <w:p w14:paraId="3F347FF5" w14:textId="30BA2BE5" w:rsidR="004E23E2" w:rsidRDefault="004E23E2" w:rsidP="006C3BF5"/>
    <w:p w14:paraId="3E463D7D" w14:textId="43D990E8" w:rsidR="004E23E2" w:rsidRDefault="004E23E2">
      <w:r>
        <w:br w:type="page"/>
      </w:r>
    </w:p>
    <w:p w14:paraId="0C98F23F" w14:textId="3292D083" w:rsidR="004E23E2" w:rsidRPr="004E23E2" w:rsidRDefault="004E23E2" w:rsidP="006C3BF5">
      <w:pPr>
        <w:rPr>
          <w:lang w:val="pt-BR"/>
        </w:rPr>
      </w:pPr>
    </w:p>
    <w:p w14:paraId="73B64354" w14:textId="1B16AAA0" w:rsidR="00147497" w:rsidRDefault="00147497" w:rsidP="00147497">
      <w:pPr>
        <w:pStyle w:val="Caption"/>
        <w:keepNext/>
      </w:pPr>
      <w:bookmarkStart w:id="52" w:name="_Toc221109377"/>
      <w:r>
        <w:t xml:space="preserve">Supplementary Table </w:t>
      </w:r>
      <w:fldSimple w:instr=" SEQ Supplementary_Table \* ARABIC ">
        <w:r w:rsidR="00584816">
          <w:rPr>
            <w:noProof/>
          </w:rPr>
          <w:t>5</w:t>
        </w:r>
      </w:fldSimple>
      <w:r>
        <w:t xml:space="preserve">. </w:t>
      </w:r>
      <w:r w:rsidR="009D5E5E">
        <w:t xml:space="preserve"> </w:t>
      </w:r>
      <w:r w:rsidR="004F6B82">
        <w:t>C</w:t>
      </w:r>
      <w:r w:rsidR="009D5E5E">
        <w:t>arbon costs from restoration.</w:t>
      </w:r>
      <w:bookmarkEnd w:id="52"/>
    </w:p>
    <w:p w14:paraId="4A6C21FC" w14:textId="1801AF2D" w:rsidR="00E3178F" w:rsidRPr="004F6B82" w:rsidRDefault="004D6805" w:rsidP="00E3178F">
      <w:pPr>
        <w:rPr>
          <w:sz w:val="18"/>
          <w:szCs w:val="18"/>
        </w:rPr>
      </w:pPr>
      <w:r>
        <w:rPr>
          <w:sz w:val="18"/>
          <w:szCs w:val="18"/>
        </w:rPr>
        <w:t>C</w:t>
      </w:r>
      <w:r w:rsidR="004F6B82">
        <w:rPr>
          <w:sz w:val="18"/>
          <w:szCs w:val="18"/>
        </w:rPr>
        <w:t xml:space="preserve">arbon costs </w:t>
      </w:r>
      <w:proofErr w:type="gramStart"/>
      <w:r w:rsidR="004F6B82">
        <w:rPr>
          <w:sz w:val="18"/>
          <w:szCs w:val="18"/>
        </w:rPr>
        <w:t>estimates</w:t>
      </w:r>
      <w:proofErr w:type="gramEnd"/>
      <w:r>
        <w:rPr>
          <w:sz w:val="18"/>
          <w:szCs w:val="18"/>
        </w:rPr>
        <w:t xml:space="preserve"> extracted</w:t>
      </w:r>
      <w:r w:rsidR="004F6B82">
        <w:rPr>
          <w:sz w:val="18"/>
          <w:szCs w:val="18"/>
        </w:rPr>
        <w:t xml:space="preserve"> from the literature</w:t>
      </w:r>
      <w:r w:rsidR="00F80684">
        <w:rPr>
          <w:sz w:val="18"/>
          <w:szCs w:val="18"/>
        </w:rPr>
        <w:t xml:space="preserve">, reflecting the </w:t>
      </w:r>
      <w:r w:rsidR="005406C6">
        <w:rPr>
          <w:sz w:val="18"/>
          <w:szCs w:val="18"/>
        </w:rPr>
        <w:t xml:space="preserve">costs per tonne of </w:t>
      </w:r>
      <w:r w:rsidR="00544E48">
        <w:rPr>
          <w:sz w:val="18"/>
          <w:szCs w:val="18"/>
        </w:rPr>
        <w:t>CO</w:t>
      </w:r>
      <w:r w:rsidR="00544E48" w:rsidRPr="00544E48">
        <w:rPr>
          <w:sz w:val="18"/>
          <w:szCs w:val="18"/>
          <w:vertAlign w:val="subscript"/>
        </w:rPr>
        <w:t>2</w:t>
      </w:r>
      <w:r w:rsidR="00544E48">
        <w:rPr>
          <w:sz w:val="18"/>
          <w:szCs w:val="18"/>
        </w:rPr>
        <w:t xml:space="preserve">e </w:t>
      </w:r>
      <w:r w:rsidR="005406C6">
        <w:rPr>
          <w:sz w:val="18"/>
          <w:szCs w:val="18"/>
        </w:rPr>
        <w:t xml:space="preserve">generated by </w:t>
      </w:r>
      <w:r w:rsidR="002B644B">
        <w:rPr>
          <w:sz w:val="18"/>
          <w:szCs w:val="18"/>
        </w:rPr>
        <w:t xml:space="preserve">restoration </w:t>
      </w:r>
      <w:r w:rsidR="005406C6">
        <w:rPr>
          <w:sz w:val="18"/>
          <w:szCs w:val="18"/>
        </w:rPr>
        <w:t>projects</w:t>
      </w:r>
      <w:r w:rsidR="00CF5F6C">
        <w:rPr>
          <w:sz w:val="18"/>
          <w:szCs w:val="1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E14D22" w:rsidRPr="009D5EA3" w14:paraId="661CE69E" w14:textId="77777777" w:rsidTr="00F13EFC">
        <w:tc>
          <w:tcPr>
            <w:tcW w:w="4508" w:type="dxa"/>
            <w:tcBorders>
              <w:top w:val="single" w:sz="4" w:space="0" w:color="auto"/>
              <w:bottom w:val="single" w:sz="4" w:space="0" w:color="auto"/>
            </w:tcBorders>
          </w:tcPr>
          <w:p w14:paraId="4F1C30C0" w14:textId="1DBD458D" w:rsidR="00E14D22" w:rsidRPr="00C25303" w:rsidRDefault="00C25303">
            <w:pPr>
              <w:rPr>
                <w:b/>
                <w:bCs/>
              </w:rPr>
            </w:pPr>
            <w:r w:rsidRPr="00C25303">
              <w:rPr>
                <w:b/>
                <w:bCs/>
              </w:rPr>
              <w:t>USD</w:t>
            </w:r>
            <w:r w:rsidR="009D5EA3" w:rsidRPr="00C25303">
              <w:rPr>
                <w:b/>
                <w:bCs/>
              </w:rPr>
              <w:t xml:space="preserve"> tonne of CO</w:t>
            </w:r>
            <w:r w:rsidR="009D5EA3" w:rsidRPr="00C25303">
              <w:rPr>
                <w:b/>
                <w:bCs/>
                <w:vertAlign w:val="subscript"/>
              </w:rPr>
              <w:t>2</w:t>
            </w:r>
            <w:r w:rsidR="009D5EA3" w:rsidRPr="00C25303">
              <w:rPr>
                <w:b/>
                <w:bCs/>
              </w:rPr>
              <w:t xml:space="preserve"> e</w:t>
            </w:r>
            <w:r w:rsidR="009D5EA3" w:rsidRPr="00C25303">
              <w:rPr>
                <w:b/>
                <w:bCs/>
                <w:vertAlign w:val="superscript"/>
              </w:rPr>
              <w:t>-1</w:t>
            </w:r>
          </w:p>
        </w:tc>
        <w:tc>
          <w:tcPr>
            <w:tcW w:w="4508" w:type="dxa"/>
            <w:tcBorders>
              <w:top w:val="single" w:sz="4" w:space="0" w:color="auto"/>
              <w:bottom w:val="single" w:sz="4" w:space="0" w:color="auto"/>
            </w:tcBorders>
          </w:tcPr>
          <w:p w14:paraId="07872180" w14:textId="4BB42743" w:rsidR="00E14D22" w:rsidRPr="00C25303" w:rsidRDefault="005C7EE8">
            <w:pPr>
              <w:rPr>
                <w:b/>
                <w:bCs/>
              </w:rPr>
            </w:pPr>
            <w:r>
              <w:rPr>
                <w:b/>
                <w:bCs/>
              </w:rPr>
              <w:t>Targeted area</w:t>
            </w:r>
          </w:p>
        </w:tc>
      </w:tr>
      <w:tr w:rsidR="00E14D22" w:rsidRPr="009D5EA3" w14:paraId="3366DB3E" w14:textId="77777777" w:rsidTr="00F13EFC">
        <w:tc>
          <w:tcPr>
            <w:tcW w:w="4508" w:type="dxa"/>
            <w:tcBorders>
              <w:top w:val="single" w:sz="4" w:space="0" w:color="auto"/>
            </w:tcBorders>
          </w:tcPr>
          <w:p w14:paraId="7DC8214C" w14:textId="0D7BF81D" w:rsidR="00E14D22" w:rsidRPr="009D5EA3" w:rsidRDefault="004F72B0">
            <w:r w:rsidRPr="004F72B0">
              <w:t>18–29</w:t>
            </w:r>
          </w:p>
        </w:tc>
        <w:tc>
          <w:tcPr>
            <w:tcW w:w="4508" w:type="dxa"/>
            <w:tcBorders>
              <w:top w:val="single" w:sz="4" w:space="0" w:color="auto"/>
            </w:tcBorders>
          </w:tcPr>
          <w:p w14:paraId="01B26204" w14:textId="07ECBF10" w:rsidR="00E14D22" w:rsidRPr="009D5EA3" w:rsidRDefault="006B0D5C">
            <w:r w:rsidRPr="006B0D5C">
              <w:t>Atlantic Forest</w:t>
            </w:r>
            <w:r w:rsidR="00147497">
              <w:fldChar w:fldCharType="begin"/>
            </w:r>
            <w:r w:rsidR="00D740BA">
              <w:instrText xml:space="preserve"> ADDIN ZOTERO_ITEM CSL_CITATION {"citationID":"RGTvgU5U","properties":{"formattedCitation":"\\super 32\\nosupersub{}","plainCitation":"32","noteIndex":0},"citationItems":[{"id":6938,"uris":["http://zotero.org/users/3309187/items/VQKIYNT8"],"itemData":{"id":6938,"type":"article-journal","abstract":"Knowing which restoration approach provides the best returns on investment for accumulating carbon is essential to foster restoration planning, financing, and implementation. Here, we explored the cost-effectiveness and drivers of aboveground and soil carbon accumulation in restored forests across an agricultural landscape of Brazil's Atlantic Forest. The recovery of aboveground and soil carbon stocks, as well as the implementation and land opportunity costs, was assessed across chronosequences (10–60 years) of second-growth forests and mixed-species tree plantings and old growth, reference forest remnants. Plantations accumulated approximately 50% more aboveground carbon than second-growth forests throughout the chronosequence. When controlling for soil clay content, soil carbon stocks were higher in reference than in restored forests, but they were comparable between plantations and second-growth forests. After 60 years of stand development, recovery of total carbon stocks in both restoration approaches reached only half of the average stocks of reference forests. Total cost-effectiveness for carbon accumulation, including both implementation and land opportunity costs, was on average 60% higher for second-growth forests than for plantations (15.1 and 9.4 kgC US$−1, respectively). Although tree plantations initially showed higher rates of carbon storage than second-growth forests, their higher implementation and land opportunity costs make them less cost-effective for carbon farming. Our results further suggest that, at current pricing levels, carbon markets alone have a limited potential to up-scale restoration efforts in Brazil's Atlantic Forest.","container-title":"Land Degradation &amp; Development","DOI":"10.1002/ldr.3764","ISSN":"1099-145X","issue":"2","language":"en","license":"© 2020 John Wiley &amp; Sons, Ltd.","note":"_eprint: https://onlinelibrary.wiley.com/doi/pdf/10.1002/ldr.3764","page":"830-841","source":"Wiley Online Library","title":"The cost of restoring carbon stocks in Brazil's Atlantic Forest","volume":"32","author":[{"family":"Brancalion","given":"Pedro H. S."},{"family":"Guillemot","given":"Joannès"},{"family":"César","given":"Ricardo G."},{"family":"Andrade","given":"Henrique S."},{"family":"Mendes","given":"Alex"},{"family":"Sorrini","given":"Taísi B."},{"family":"Piccolo","given":"Marisa D. C."},{"family":"Peluci","given":"Marina C."},{"family":"Moreno","given":"Vanessa D. S."},{"family":"Colletta","given":"Gabriel"},{"family":"Chazdon","given":"Robin L."}],"issued":{"date-parts":[["2021"]]}}}],"schema":"https://github.com/citation-style-language/schema/raw/master/csl-citation.json"} </w:instrText>
            </w:r>
            <w:r w:rsidR="00147497">
              <w:fldChar w:fldCharType="separate"/>
            </w:r>
            <w:r w:rsidR="00D740BA" w:rsidRPr="00D740BA">
              <w:rPr>
                <w:rFonts w:ascii="Aptos" w:hAnsi="Aptos" w:cs="Times New Roman"/>
                <w:kern w:val="0"/>
                <w:vertAlign w:val="superscript"/>
              </w:rPr>
              <w:t>32</w:t>
            </w:r>
            <w:r w:rsidR="00147497">
              <w:fldChar w:fldCharType="end"/>
            </w:r>
          </w:p>
        </w:tc>
      </w:tr>
      <w:tr w:rsidR="00E14D22" w:rsidRPr="009D5EA3" w14:paraId="3AB546EA" w14:textId="77777777" w:rsidTr="00F13EFC">
        <w:tc>
          <w:tcPr>
            <w:tcW w:w="4508" w:type="dxa"/>
          </w:tcPr>
          <w:p w14:paraId="0BF59E50" w14:textId="219B4185" w:rsidR="00E14D22" w:rsidRPr="009D5EA3" w:rsidRDefault="00697950">
            <w:r>
              <w:t>23.80</w:t>
            </w:r>
          </w:p>
        </w:tc>
        <w:tc>
          <w:tcPr>
            <w:tcW w:w="4508" w:type="dxa"/>
          </w:tcPr>
          <w:p w14:paraId="68C723CC" w14:textId="1FE9969E" w:rsidR="00E14D22" w:rsidRPr="009D5EA3" w:rsidRDefault="006B0D5C">
            <w:r>
              <w:t>Median value for tropical forests</w:t>
            </w:r>
            <w:r w:rsidR="00147497">
              <w:fldChar w:fldCharType="begin"/>
            </w:r>
            <w:r w:rsidR="00D740BA">
              <w:instrText xml:space="preserve"> ADDIN ZOTERO_ITEM CSL_CITATION {"citationID":"SdFXiAP0","properties":{"formattedCitation":"\\super 33\\nosupersub{}","plainCitation":"33","noteIndex":0},"citationItems":[{"id":6072,"uris":["http://zotero.org/users/3309187/items/G8TDZQYY"],"itemData":{"id":6072,"type":"article-journal","abstract":"Mitigating climate change cost-effectively requires identifying least-cost-per-ton GHG abatement methods. Here, we estimate and map GHG abatement cost (US$ per tCO2) for two common reforestation methods: natural regeneration and plantations. We do so by producing and integrating new maps of implementation costs and opportunity costs of reforestation, likely plantation genus and carbon accumulation by means of natural regeneration and plantations, accounting for storage in harvested wood products. We find natural regeneration (46%) and plantations (54%) would each have lower abatement cost across about half the area considered suitable for reforestation of 138 low- and middle-income countries. Using the more cost-effective method at each location, the 30</w:instrText>
            </w:r>
            <w:r w:rsidR="00D740BA">
              <w:rPr>
                <w:rFonts w:ascii="Arial" w:hAnsi="Arial" w:cs="Arial"/>
              </w:rPr>
              <w:instrText> </w:instrText>
            </w:r>
            <w:r w:rsidR="00D740BA">
              <w:instrText>year, time-discounted abatement potential of reforestation below US$50 per tCO2 is 31.4</w:instrText>
            </w:r>
            <w:r w:rsidR="00D740BA">
              <w:rPr>
                <w:rFonts w:ascii="Arial" w:hAnsi="Arial" w:cs="Arial"/>
              </w:rPr>
              <w:instrText> </w:instrText>
            </w:r>
            <w:r w:rsidR="00D740BA">
              <w:instrText>GtCO2 (24.2</w:instrText>
            </w:r>
            <w:r w:rsidR="00D740BA">
              <w:rPr>
                <w:rFonts w:ascii="Aptos" w:hAnsi="Aptos" w:cs="Aptos"/>
              </w:rPr>
              <w:instrText>–</w:instrText>
            </w:r>
            <w:r w:rsidR="00D740BA">
              <w:instrText>34.3</w:instrText>
            </w:r>
            <w:r w:rsidR="00D740BA">
              <w:rPr>
                <w:rFonts w:ascii="Arial" w:hAnsi="Arial" w:cs="Arial"/>
              </w:rPr>
              <w:instrText> </w:instrText>
            </w:r>
            <w:r w:rsidR="00D740BA">
              <w:instrText>GtCO2 below US$20</w:instrText>
            </w:r>
            <w:r w:rsidR="00D740BA">
              <w:rPr>
                <w:rFonts w:ascii="Aptos" w:hAnsi="Aptos" w:cs="Aptos"/>
              </w:rPr>
              <w:instrText>–</w:instrText>
            </w:r>
            <w:r w:rsidR="00D740BA">
              <w:instrText>100 per tCO2)</w:instrText>
            </w:r>
            <w:r w:rsidR="00D740BA">
              <w:rPr>
                <w:rFonts w:ascii="Aptos" w:hAnsi="Aptos" w:cs="Aptos"/>
              </w:rPr>
              <w:instrText>—</w:instrText>
            </w:r>
            <w:r w:rsidR="00D740BA">
              <w:instrText xml:space="preserve">44% more than natural regeneration alone or 39% more than plantations alone. We find that reforestation offers 10.3 (2.8) times more abatement below US$20 per tCO2 (US$50 per tCO2) than the most recent IPCC estimate.","container-title":"Nature Climate Change","DOI":"10.1038/s41558-024-02068-1","ISSN":"1758-6798","journalAbbreviation":"Nat. Clim. Chang.","language":"en","license":"2024 The Author(s)","page":"1-7","publisher":"Nature Publishing Group","source":"www.nature.com","title":"Cost-effectiveness of natural forest regeneration and plantations for climate mitigation","author":[{"family":"Busch","given":"Jonah"},{"family":"Bukoski","given":"Jacob J."},{"family":"Cook-Patton","given":"Susan C."},{"family":"Griscom","given":"Bronson"},{"family":"Kaczan","given":"David"},{"family":"Potts","given":"Matthew D."},{"family":"Yi","given":"Yuanyuan"},{"family":"Vincent","given":"Jeffrey R."}],"issued":{"date-parts":[["2024",7,24]]}}}],"schema":"https://github.com/citation-style-language/schema/raw/master/csl-citation.json"} </w:instrText>
            </w:r>
            <w:r w:rsidR="00147497">
              <w:fldChar w:fldCharType="separate"/>
            </w:r>
            <w:r w:rsidR="00D740BA" w:rsidRPr="00D740BA">
              <w:rPr>
                <w:rFonts w:ascii="Aptos" w:hAnsi="Aptos" w:cs="Times New Roman"/>
                <w:kern w:val="0"/>
                <w:vertAlign w:val="superscript"/>
              </w:rPr>
              <w:t>33</w:t>
            </w:r>
            <w:r w:rsidR="00147497">
              <w:fldChar w:fldCharType="end"/>
            </w:r>
          </w:p>
        </w:tc>
      </w:tr>
      <w:tr w:rsidR="00697950" w:rsidRPr="009D5EA3" w14:paraId="5F5B1BC6" w14:textId="77777777" w:rsidTr="00F13EFC">
        <w:tc>
          <w:tcPr>
            <w:tcW w:w="4508" w:type="dxa"/>
            <w:tcBorders>
              <w:bottom w:val="single" w:sz="4" w:space="0" w:color="auto"/>
            </w:tcBorders>
          </w:tcPr>
          <w:p w14:paraId="42784024" w14:textId="6EF8372D" w:rsidR="00697950" w:rsidRDefault="002C7268" w:rsidP="002C7268">
            <w:r>
              <w:t>20-75</w:t>
            </w:r>
          </w:p>
        </w:tc>
        <w:tc>
          <w:tcPr>
            <w:tcW w:w="4508" w:type="dxa"/>
            <w:tcBorders>
              <w:bottom w:val="single" w:sz="4" w:space="0" w:color="auto"/>
            </w:tcBorders>
          </w:tcPr>
          <w:p w14:paraId="1A418A16" w14:textId="6CE5F939" w:rsidR="00697950" w:rsidRDefault="008165DF">
            <w:r>
              <w:t xml:space="preserve">Range of values from the </w:t>
            </w:r>
            <w:r w:rsidR="000E7701">
              <w:t>Tropics</w:t>
            </w:r>
            <w:r w:rsidR="00147497">
              <w:fldChar w:fldCharType="begin"/>
            </w:r>
            <w:r w:rsidR="00D740BA">
              <w:instrText xml:space="preserve"> ADDIN ZOTERO_ITEM CSL_CITATION {"citationID":"0fV54ix7","properties":{"formattedCitation":"\\super 34\\nosupersub{}","plainCitation":"34","noteIndex":0},"citationItems":[{"id":6950,"uris":["http://zotero.org/users/3309187/items/2BFN8IXI"],"itemData":{"id":6950,"type":"article-journal","abstract":"Forests are critical for stabilizing our climate, but costs of mitigation over space, time, and stakeholder group remain uncertain. Using the Global Timber Model, we project mitigation potential and costs for four abatement activities across 16 regions for carbon price scenarios of $5–$100/tCO2. We project 0.6–6.0 GtCO2 yr−1 in global mitigation by 2055 at costs of 2–393 billion USD yr−1, with avoided tropical deforestation comprising 30–54% of total mitigation. Higher prices incentivize larger mitigation proportions via rotation and forest management activities in temperate and boreal biomes. Forest area increases 415–875 Mha relative to the baseline by 2055 at prices $35–$100/tCO2, with intensive plantations comprising &lt;7% of this increase. Mitigation costs borne by private land managers comprise less than one-quarter of total costs. For forests to contribute ~10% of mitigation needed to limit global warming to 1.5</w:instrText>
            </w:r>
            <w:r w:rsidR="00D740BA">
              <w:rPr>
                <w:rFonts w:ascii="Arial" w:hAnsi="Arial" w:cs="Arial"/>
              </w:rPr>
              <w:instrText> </w:instrText>
            </w:r>
            <w:r w:rsidR="00D740BA">
              <w:rPr>
                <w:rFonts w:ascii="Aptos" w:hAnsi="Aptos" w:cs="Aptos"/>
              </w:rPr>
              <w:instrText>°</w:instrText>
            </w:r>
            <w:r w:rsidR="00D740BA">
              <w:instrText xml:space="preserve">C, carbon prices will need to reach $281/tCO2 in 2055.","container-title":"Nature Communications","DOI":"10.1038/s41467-020-19578-z","ISSN":"2041-1723","issue":"1","journalAbbreviation":"Nat Commun","language":"en","license":"2020 This is a U.S. government work and not under copyright protection in the U.S.; foreign copyright protection may apply","page":"5946","publisher":"Nature Publishing Group","source":"www.nature.com","title":"The economic costs of planting, preserving, and managing the world’s forests to mitigate climate change","volume":"11","author":[{"family":"Austin","given":"K. G."},{"family":"Baker","given":"J. S."},{"family":"Sohngen","given":"B. L."},{"family":"Wade","given":"C. M."},{"family":"Daigneault","given":"A."},{"family":"Ohrel","given":"S. B."},{"family":"Ragnauth","given":"S."},{"family":"Bean","given":"A."}],"issued":{"date-parts":[["2020",12,1]]}}}],"schema":"https://github.com/citation-style-language/schema/raw/master/csl-citation.json"} </w:instrText>
            </w:r>
            <w:r w:rsidR="00147497">
              <w:fldChar w:fldCharType="separate"/>
            </w:r>
            <w:r w:rsidR="00D740BA" w:rsidRPr="00D740BA">
              <w:rPr>
                <w:rFonts w:ascii="Aptos" w:hAnsi="Aptos" w:cs="Times New Roman"/>
                <w:kern w:val="0"/>
                <w:vertAlign w:val="superscript"/>
              </w:rPr>
              <w:t>34</w:t>
            </w:r>
            <w:r w:rsidR="00147497">
              <w:fldChar w:fldCharType="end"/>
            </w:r>
          </w:p>
        </w:tc>
      </w:tr>
    </w:tbl>
    <w:p w14:paraId="48355687" w14:textId="77777777" w:rsidR="002B797C" w:rsidRPr="009D5EA3" w:rsidRDefault="002B797C"/>
    <w:p w14:paraId="7132AADC" w14:textId="6F5C6FAE" w:rsidR="004E23E2" w:rsidRPr="009D5EA3" w:rsidRDefault="004E23E2">
      <w:r w:rsidRPr="009D5EA3">
        <w:br w:type="page"/>
      </w:r>
    </w:p>
    <w:p w14:paraId="4C434294" w14:textId="0CC33DA6" w:rsidR="004E23E2" w:rsidRDefault="004E23E2" w:rsidP="004E23E2">
      <w:pPr>
        <w:pStyle w:val="Caption"/>
      </w:pPr>
      <w:bookmarkStart w:id="53" w:name="_Ref219733200"/>
      <w:bookmarkStart w:id="54" w:name="_Toc221109378"/>
      <w:r w:rsidRPr="008B3787">
        <w:lastRenderedPageBreak/>
        <w:t xml:space="preserve">Supplementary Table </w:t>
      </w:r>
      <w:r>
        <w:fldChar w:fldCharType="begin"/>
      </w:r>
      <w:r w:rsidRPr="008B3787">
        <w:instrText xml:space="preserve"> SEQ Supplementary_Table \* ARABIC </w:instrText>
      </w:r>
      <w:r>
        <w:fldChar w:fldCharType="separate"/>
      </w:r>
      <w:r w:rsidR="00584816">
        <w:rPr>
          <w:noProof/>
        </w:rPr>
        <w:t>6</w:t>
      </w:r>
      <w:r>
        <w:rPr>
          <w:noProof/>
        </w:rPr>
        <w:fldChar w:fldCharType="end"/>
      </w:r>
      <w:bookmarkEnd w:id="53"/>
      <w:r w:rsidRPr="008B3787">
        <w:t xml:space="preserve">.  </w:t>
      </w:r>
      <w:r w:rsidRPr="00E60CA6">
        <w:t>Forest restoration costs under different methods for Brazilian biomes.</w:t>
      </w:r>
      <w:bookmarkEnd w:id="54"/>
      <w:r w:rsidRPr="00E60CA6">
        <w:t xml:space="preserve"> </w:t>
      </w:r>
    </w:p>
    <w:p w14:paraId="4B5E002E" w14:textId="77777777" w:rsidR="004E23E2" w:rsidRDefault="004E23E2" w:rsidP="004E23E2">
      <w:pPr>
        <w:pStyle w:val="captiondescription"/>
        <w:rPr>
          <w:b/>
          <w:bCs/>
        </w:rPr>
      </w:pPr>
      <w:r w:rsidRPr="007C7E02">
        <w:t xml:space="preserve">Forest restoration costs under different methods for Brazilian biomes. Forest restoration costs (in 2021 USD per hectare) under different restoration methods, for the Atlantic Forest and Amazon biomes. Restoration methods are classified as Assisted, Intermediate, and Active. Assisted refers to natural regeneration supported by minimal intervention (e.g., fencing, control of invasive species). Intermediate involves partial planting combined with natural regeneration. Active entails full planting of native species with intensive site preparation. The "Mechanization" column indicates whether mechanical soil preparation and planting were used (Y = Yes, N = No). Cost estimates are based on operational data provided by </w:t>
      </w:r>
      <w:proofErr w:type="spellStart"/>
      <w:r w:rsidRPr="007C7E02">
        <w:t>reg.reen</w:t>
      </w:r>
      <w:proofErr w:type="spellEnd"/>
      <w:r w:rsidRPr="007C7E02">
        <w:t>, a project developer in Brazil.</w:t>
      </w:r>
    </w:p>
    <w:p w14:paraId="7039CB6F" w14:textId="77777777" w:rsidR="004E23E2" w:rsidRPr="00DD7A27" w:rsidRDefault="004E23E2" w:rsidP="004E23E2"/>
    <w:tbl>
      <w:tblPr>
        <w:tblStyle w:val="TableGrid"/>
        <w:tblW w:w="0" w:type="auto"/>
        <w:jc w:val="center"/>
        <w:tblLook w:val="04A0" w:firstRow="1" w:lastRow="0" w:firstColumn="1" w:lastColumn="0" w:noHBand="0" w:noVBand="1"/>
      </w:tblPr>
      <w:tblGrid>
        <w:gridCol w:w="2267"/>
        <w:gridCol w:w="2287"/>
        <w:gridCol w:w="2235"/>
        <w:gridCol w:w="2237"/>
      </w:tblGrid>
      <w:tr w:rsidR="004E23E2" w:rsidRPr="00664AF1" w14:paraId="152AE7BF" w14:textId="77777777" w:rsidTr="00684E07">
        <w:trPr>
          <w:jc w:val="center"/>
        </w:trPr>
        <w:tc>
          <w:tcPr>
            <w:tcW w:w="2337" w:type="dxa"/>
            <w:tcBorders>
              <w:top w:val="single" w:sz="4" w:space="0" w:color="auto"/>
              <w:left w:val="nil"/>
              <w:bottom w:val="single" w:sz="4" w:space="0" w:color="auto"/>
              <w:right w:val="nil"/>
            </w:tcBorders>
          </w:tcPr>
          <w:p w14:paraId="743E62A6" w14:textId="77777777" w:rsidR="004E23E2" w:rsidRPr="00DD7A27" w:rsidRDefault="004E23E2" w:rsidP="00684E07">
            <w:pPr>
              <w:pStyle w:val="TableCaption"/>
              <w:rPr>
                <w:sz w:val="22"/>
                <w:szCs w:val="22"/>
              </w:rPr>
            </w:pPr>
            <w:r w:rsidRPr="00DD7A27">
              <w:rPr>
                <w:sz w:val="22"/>
                <w:szCs w:val="22"/>
              </w:rPr>
              <w:t>Restoration type</w:t>
            </w:r>
          </w:p>
        </w:tc>
        <w:tc>
          <w:tcPr>
            <w:tcW w:w="2337" w:type="dxa"/>
            <w:tcBorders>
              <w:top w:val="single" w:sz="4" w:space="0" w:color="auto"/>
              <w:left w:val="nil"/>
              <w:bottom w:val="single" w:sz="4" w:space="0" w:color="auto"/>
              <w:right w:val="nil"/>
            </w:tcBorders>
          </w:tcPr>
          <w:p w14:paraId="185B67ED" w14:textId="77777777" w:rsidR="004E23E2" w:rsidRPr="00DD7A27" w:rsidRDefault="004E23E2" w:rsidP="00684E07">
            <w:pPr>
              <w:pStyle w:val="TableCaption"/>
              <w:rPr>
                <w:sz w:val="22"/>
                <w:szCs w:val="22"/>
              </w:rPr>
            </w:pPr>
            <w:r w:rsidRPr="00DD7A27">
              <w:rPr>
                <w:sz w:val="22"/>
                <w:szCs w:val="22"/>
              </w:rPr>
              <w:t>Mechanization</w:t>
            </w:r>
          </w:p>
        </w:tc>
        <w:tc>
          <w:tcPr>
            <w:tcW w:w="2338" w:type="dxa"/>
            <w:tcBorders>
              <w:top w:val="single" w:sz="4" w:space="0" w:color="auto"/>
              <w:left w:val="nil"/>
              <w:bottom w:val="single" w:sz="4" w:space="0" w:color="auto"/>
              <w:right w:val="nil"/>
            </w:tcBorders>
          </w:tcPr>
          <w:p w14:paraId="05AEBF0D" w14:textId="77777777" w:rsidR="004E23E2" w:rsidRPr="00DD7A27" w:rsidRDefault="004E23E2" w:rsidP="00684E07">
            <w:pPr>
              <w:pStyle w:val="TableCaption"/>
              <w:rPr>
                <w:sz w:val="22"/>
                <w:szCs w:val="22"/>
              </w:rPr>
            </w:pPr>
            <w:r w:rsidRPr="00DD7A27">
              <w:rPr>
                <w:sz w:val="22"/>
                <w:szCs w:val="22"/>
              </w:rPr>
              <w:t>Atlantic Forest</w:t>
            </w:r>
          </w:p>
        </w:tc>
        <w:tc>
          <w:tcPr>
            <w:tcW w:w="2338" w:type="dxa"/>
            <w:tcBorders>
              <w:top w:val="single" w:sz="4" w:space="0" w:color="auto"/>
              <w:left w:val="nil"/>
              <w:bottom w:val="single" w:sz="4" w:space="0" w:color="auto"/>
              <w:right w:val="nil"/>
            </w:tcBorders>
          </w:tcPr>
          <w:p w14:paraId="1BE401EF" w14:textId="77777777" w:rsidR="004E23E2" w:rsidRPr="00DD7A27" w:rsidRDefault="004E23E2" w:rsidP="00684E07">
            <w:pPr>
              <w:pStyle w:val="TableCaption"/>
              <w:rPr>
                <w:sz w:val="22"/>
                <w:szCs w:val="22"/>
              </w:rPr>
            </w:pPr>
            <w:r w:rsidRPr="00DD7A27">
              <w:rPr>
                <w:sz w:val="22"/>
                <w:szCs w:val="22"/>
              </w:rPr>
              <w:t>Amazon Forest</w:t>
            </w:r>
          </w:p>
        </w:tc>
      </w:tr>
      <w:tr w:rsidR="004E23E2" w:rsidRPr="00664AF1" w14:paraId="75338F3E" w14:textId="77777777" w:rsidTr="00684E07">
        <w:trPr>
          <w:jc w:val="center"/>
        </w:trPr>
        <w:tc>
          <w:tcPr>
            <w:tcW w:w="2337" w:type="dxa"/>
            <w:tcBorders>
              <w:top w:val="single" w:sz="4" w:space="0" w:color="auto"/>
              <w:left w:val="nil"/>
              <w:bottom w:val="nil"/>
              <w:right w:val="nil"/>
            </w:tcBorders>
          </w:tcPr>
          <w:p w14:paraId="2A094D86" w14:textId="77777777" w:rsidR="004E23E2" w:rsidRPr="00DD7A27" w:rsidRDefault="004E23E2" w:rsidP="00684E07">
            <w:pPr>
              <w:pStyle w:val="TableCaption"/>
              <w:rPr>
                <w:b w:val="0"/>
                <w:bCs w:val="0"/>
                <w:sz w:val="22"/>
                <w:szCs w:val="22"/>
              </w:rPr>
            </w:pPr>
            <w:r w:rsidRPr="00DD7A27">
              <w:rPr>
                <w:b w:val="0"/>
                <w:bCs w:val="0"/>
                <w:sz w:val="22"/>
                <w:szCs w:val="22"/>
              </w:rPr>
              <w:t>Assisted</w:t>
            </w:r>
          </w:p>
        </w:tc>
        <w:tc>
          <w:tcPr>
            <w:tcW w:w="2337" w:type="dxa"/>
            <w:tcBorders>
              <w:top w:val="single" w:sz="4" w:space="0" w:color="auto"/>
              <w:left w:val="nil"/>
              <w:bottom w:val="nil"/>
              <w:right w:val="nil"/>
            </w:tcBorders>
          </w:tcPr>
          <w:p w14:paraId="41EFDDEE" w14:textId="77777777" w:rsidR="004E23E2" w:rsidRPr="00DD7A27" w:rsidRDefault="004E23E2" w:rsidP="00684E07">
            <w:pPr>
              <w:pStyle w:val="TableCaption"/>
              <w:rPr>
                <w:b w:val="0"/>
                <w:bCs w:val="0"/>
                <w:sz w:val="22"/>
                <w:szCs w:val="22"/>
              </w:rPr>
            </w:pPr>
            <w:r w:rsidRPr="00DD7A27">
              <w:rPr>
                <w:b w:val="0"/>
                <w:bCs w:val="0"/>
                <w:sz w:val="22"/>
                <w:szCs w:val="22"/>
              </w:rPr>
              <w:t>N</w:t>
            </w:r>
          </w:p>
        </w:tc>
        <w:tc>
          <w:tcPr>
            <w:tcW w:w="2338" w:type="dxa"/>
            <w:tcBorders>
              <w:top w:val="single" w:sz="4" w:space="0" w:color="auto"/>
              <w:left w:val="nil"/>
              <w:bottom w:val="nil"/>
              <w:right w:val="nil"/>
            </w:tcBorders>
          </w:tcPr>
          <w:p w14:paraId="2A21BB8B" w14:textId="77777777" w:rsidR="004E23E2" w:rsidRPr="00DD7A27" w:rsidRDefault="004E23E2" w:rsidP="00684E07">
            <w:pPr>
              <w:pStyle w:val="TableCaption"/>
              <w:rPr>
                <w:b w:val="0"/>
                <w:bCs w:val="0"/>
                <w:sz w:val="22"/>
                <w:szCs w:val="22"/>
              </w:rPr>
            </w:pPr>
            <w:r w:rsidRPr="00DD7A27">
              <w:rPr>
                <w:b w:val="0"/>
                <w:bCs w:val="0"/>
                <w:sz w:val="22"/>
                <w:szCs w:val="22"/>
              </w:rPr>
              <w:t>232</w:t>
            </w:r>
          </w:p>
        </w:tc>
        <w:tc>
          <w:tcPr>
            <w:tcW w:w="2338" w:type="dxa"/>
            <w:tcBorders>
              <w:top w:val="single" w:sz="4" w:space="0" w:color="auto"/>
              <w:left w:val="nil"/>
              <w:bottom w:val="nil"/>
              <w:right w:val="nil"/>
            </w:tcBorders>
          </w:tcPr>
          <w:p w14:paraId="6B24934B" w14:textId="77777777" w:rsidR="004E23E2" w:rsidRPr="00DD7A27" w:rsidRDefault="004E23E2" w:rsidP="00684E07">
            <w:pPr>
              <w:pStyle w:val="TableCaption"/>
              <w:rPr>
                <w:b w:val="0"/>
                <w:bCs w:val="0"/>
                <w:sz w:val="22"/>
                <w:szCs w:val="22"/>
              </w:rPr>
            </w:pPr>
            <w:r w:rsidRPr="00DD7A27">
              <w:rPr>
                <w:b w:val="0"/>
                <w:bCs w:val="0"/>
                <w:sz w:val="22"/>
                <w:szCs w:val="22"/>
              </w:rPr>
              <w:t>140</w:t>
            </w:r>
          </w:p>
        </w:tc>
      </w:tr>
      <w:tr w:rsidR="004E23E2" w:rsidRPr="00664AF1" w14:paraId="3E5A0126" w14:textId="77777777" w:rsidTr="00684E07">
        <w:trPr>
          <w:jc w:val="center"/>
        </w:trPr>
        <w:tc>
          <w:tcPr>
            <w:tcW w:w="2337" w:type="dxa"/>
            <w:tcBorders>
              <w:top w:val="nil"/>
              <w:left w:val="nil"/>
              <w:bottom w:val="nil"/>
              <w:right w:val="nil"/>
            </w:tcBorders>
          </w:tcPr>
          <w:p w14:paraId="560B260C" w14:textId="77777777" w:rsidR="004E23E2" w:rsidRPr="00DD7A27" w:rsidRDefault="004E23E2" w:rsidP="00684E07">
            <w:pPr>
              <w:pStyle w:val="TableCaption"/>
              <w:rPr>
                <w:b w:val="0"/>
                <w:bCs w:val="0"/>
                <w:sz w:val="22"/>
                <w:szCs w:val="22"/>
              </w:rPr>
            </w:pPr>
            <w:r w:rsidRPr="00DD7A27">
              <w:rPr>
                <w:b w:val="0"/>
                <w:bCs w:val="0"/>
                <w:sz w:val="22"/>
                <w:szCs w:val="22"/>
              </w:rPr>
              <w:t>Intermediate</w:t>
            </w:r>
          </w:p>
        </w:tc>
        <w:tc>
          <w:tcPr>
            <w:tcW w:w="2337" w:type="dxa"/>
            <w:tcBorders>
              <w:top w:val="nil"/>
              <w:left w:val="nil"/>
              <w:bottom w:val="nil"/>
              <w:right w:val="nil"/>
            </w:tcBorders>
          </w:tcPr>
          <w:p w14:paraId="04BF8330" w14:textId="77777777" w:rsidR="004E23E2" w:rsidRPr="00DD7A27" w:rsidRDefault="004E23E2" w:rsidP="00684E07">
            <w:pPr>
              <w:pStyle w:val="TableCaption"/>
              <w:rPr>
                <w:b w:val="0"/>
                <w:bCs w:val="0"/>
                <w:sz w:val="22"/>
                <w:szCs w:val="22"/>
              </w:rPr>
            </w:pPr>
            <w:r w:rsidRPr="00DD7A27">
              <w:rPr>
                <w:b w:val="0"/>
                <w:bCs w:val="0"/>
                <w:sz w:val="22"/>
                <w:szCs w:val="22"/>
              </w:rPr>
              <w:t>N</w:t>
            </w:r>
          </w:p>
        </w:tc>
        <w:tc>
          <w:tcPr>
            <w:tcW w:w="2338" w:type="dxa"/>
            <w:tcBorders>
              <w:top w:val="nil"/>
              <w:left w:val="nil"/>
              <w:bottom w:val="nil"/>
              <w:right w:val="nil"/>
            </w:tcBorders>
          </w:tcPr>
          <w:p w14:paraId="42188056" w14:textId="77777777" w:rsidR="004E23E2" w:rsidRPr="00DD7A27" w:rsidRDefault="004E23E2" w:rsidP="00684E07">
            <w:pPr>
              <w:pStyle w:val="TableCaption"/>
              <w:rPr>
                <w:b w:val="0"/>
                <w:bCs w:val="0"/>
                <w:sz w:val="22"/>
                <w:szCs w:val="22"/>
              </w:rPr>
            </w:pPr>
            <w:r w:rsidRPr="00DD7A27">
              <w:rPr>
                <w:b w:val="0"/>
                <w:bCs w:val="0"/>
                <w:sz w:val="22"/>
                <w:szCs w:val="22"/>
              </w:rPr>
              <w:t>759</w:t>
            </w:r>
          </w:p>
        </w:tc>
        <w:tc>
          <w:tcPr>
            <w:tcW w:w="2338" w:type="dxa"/>
            <w:tcBorders>
              <w:top w:val="nil"/>
              <w:left w:val="nil"/>
              <w:bottom w:val="nil"/>
              <w:right w:val="nil"/>
            </w:tcBorders>
          </w:tcPr>
          <w:p w14:paraId="41002A0D" w14:textId="77777777" w:rsidR="004E23E2" w:rsidRPr="00DD7A27" w:rsidRDefault="004E23E2" w:rsidP="00684E07">
            <w:pPr>
              <w:pStyle w:val="TableCaption"/>
              <w:rPr>
                <w:b w:val="0"/>
                <w:bCs w:val="0"/>
                <w:sz w:val="22"/>
                <w:szCs w:val="22"/>
              </w:rPr>
            </w:pPr>
            <w:r w:rsidRPr="00DD7A27">
              <w:rPr>
                <w:b w:val="0"/>
                <w:bCs w:val="0"/>
                <w:sz w:val="22"/>
                <w:szCs w:val="22"/>
              </w:rPr>
              <w:t>680</w:t>
            </w:r>
          </w:p>
        </w:tc>
      </w:tr>
      <w:tr w:rsidR="004E23E2" w:rsidRPr="00664AF1" w14:paraId="0FCC6811" w14:textId="77777777" w:rsidTr="00684E07">
        <w:trPr>
          <w:jc w:val="center"/>
        </w:trPr>
        <w:tc>
          <w:tcPr>
            <w:tcW w:w="2337" w:type="dxa"/>
            <w:tcBorders>
              <w:top w:val="nil"/>
              <w:left w:val="nil"/>
              <w:bottom w:val="nil"/>
              <w:right w:val="nil"/>
            </w:tcBorders>
          </w:tcPr>
          <w:p w14:paraId="1DEAF323" w14:textId="77777777" w:rsidR="004E23E2" w:rsidRPr="00DD7A27" w:rsidRDefault="004E23E2" w:rsidP="00684E07">
            <w:pPr>
              <w:pStyle w:val="TableCaption"/>
              <w:rPr>
                <w:b w:val="0"/>
                <w:bCs w:val="0"/>
                <w:sz w:val="22"/>
                <w:szCs w:val="22"/>
              </w:rPr>
            </w:pPr>
            <w:r w:rsidRPr="00DD7A27">
              <w:rPr>
                <w:b w:val="0"/>
                <w:bCs w:val="0"/>
                <w:sz w:val="22"/>
                <w:szCs w:val="22"/>
              </w:rPr>
              <w:t>Intermediate</w:t>
            </w:r>
          </w:p>
        </w:tc>
        <w:tc>
          <w:tcPr>
            <w:tcW w:w="2337" w:type="dxa"/>
            <w:tcBorders>
              <w:top w:val="nil"/>
              <w:left w:val="nil"/>
              <w:bottom w:val="nil"/>
              <w:right w:val="nil"/>
            </w:tcBorders>
          </w:tcPr>
          <w:p w14:paraId="597E4182" w14:textId="77777777" w:rsidR="004E23E2" w:rsidRPr="00DD7A27" w:rsidRDefault="004E23E2" w:rsidP="00684E07">
            <w:pPr>
              <w:pStyle w:val="TableCaption"/>
              <w:rPr>
                <w:b w:val="0"/>
                <w:bCs w:val="0"/>
                <w:sz w:val="22"/>
                <w:szCs w:val="22"/>
              </w:rPr>
            </w:pPr>
            <w:r w:rsidRPr="00DD7A27">
              <w:rPr>
                <w:b w:val="0"/>
                <w:bCs w:val="0"/>
                <w:sz w:val="22"/>
                <w:szCs w:val="22"/>
              </w:rPr>
              <w:t>Y</w:t>
            </w:r>
          </w:p>
        </w:tc>
        <w:tc>
          <w:tcPr>
            <w:tcW w:w="2338" w:type="dxa"/>
            <w:tcBorders>
              <w:top w:val="nil"/>
              <w:left w:val="nil"/>
              <w:bottom w:val="nil"/>
              <w:right w:val="nil"/>
            </w:tcBorders>
          </w:tcPr>
          <w:p w14:paraId="5BA3F01E" w14:textId="77777777" w:rsidR="004E23E2" w:rsidRPr="00DD7A27" w:rsidRDefault="004E23E2" w:rsidP="00684E07">
            <w:pPr>
              <w:pStyle w:val="TableCaption"/>
              <w:rPr>
                <w:b w:val="0"/>
                <w:bCs w:val="0"/>
                <w:sz w:val="22"/>
                <w:szCs w:val="22"/>
              </w:rPr>
            </w:pPr>
            <w:r w:rsidRPr="00DD7A27">
              <w:rPr>
                <w:b w:val="0"/>
                <w:bCs w:val="0"/>
                <w:sz w:val="22"/>
                <w:szCs w:val="22"/>
              </w:rPr>
              <w:t>2421</w:t>
            </w:r>
          </w:p>
        </w:tc>
        <w:tc>
          <w:tcPr>
            <w:tcW w:w="2338" w:type="dxa"/>
            <w:tcBorders>
              <w:top w:val="nil"/>
              <w:left w:val="nil"/>
              <w:bottom w:val="nil"/>
              <w:right w:val="nil"/>
            </w:tcBorders>
          </w:tcPr>
          <w:p w14:paraId="3B3F8B36" w14:textId="77777777" w:rsidR="004E23E2" w:rsidRPr="00DD7A27" w:rsidRDefault="004E23E2" w:rsidP="00684E07">
            <w:pPr>
              <w:pStyle w:val="TableCaption"/>
              <w:rPr>
                <w:b w:val="0"/>
                <w:bCs w:val="0"/>
                <w:sz w:val="22"/>
                <w:szCs w:val="22"/>
              </w:rPr>
            </w:pPr>
            <w:r w:rsidRPr="00DD7A27">
              <w:rPr>
                <w:b w:val="0"/>
                <w:bCs w:val="0"/>
                <w:sz w:val="22"/>
                <w:szCs w:val="22"/>
              </w:rPr>
              <w:t>1976</w:t>
            </w:r>
          </w:p>
        </w:tc>
      </w:tr>
      <w:tr w:rsidR="004E23E2" w:rsidRPr="00664AF1" w14:paraId="17FEB7CD" w14:textId="77777777" w:rsidTr="00684E07">
        <w:trPr>
          <w:jc w:val="center"/>
        </w:trPr>
        <w:tc>
          <w:tcPr>
            <w:tcW w:w="2337" w:type="dxa"/>
            <w:tcBorders>
              <w:top w:val="nil"/>
              <w:left w:val="nil"/>
              <w:bottom w:val="nil"/>
              <w:right w:val="nil"/>
            </w:tcBorders>
          </w:tcPr>
          <w:p w14:paraId="2FC118A9" w14:textId="77777777" w:rsidR="004E23E2" w:rsidRPr="00DD7A27" w:rsidRDefault="004E23E2" w:rsidP="00684E07">
            <w:pPr>
              <w:pStyle w:val="TableCaption"/>
              <w:rPr>
                <w:b w:val="0"/>
                <w:bCs w:val="0"/>
                <w:sz w:val="22"/>
                <w:szCs w:val="22"/>
              </w:rPr>
            </w:pPr>
            <w:r w:rsidRPr="00DD7A27">
              <w:rPr>
                <w:b w:val="0"/>
                <w:bCs w:val="0"/>
                <w:sz w:val="22"/>
                <w:szCs w:val="22"/>
              </w:rPr>
              <w:t>Active</w:t>
            </w:r>
          </w:p>
        </w:tc>
        <w:tc>
          <w:tcPr>
            <w:tcW w:w="2337" w:type="dxa"/>
            <w:tcBorders>
              <w:top w:val="nil"/>
              <w:left w:val="nil"/>
              <w:bottom w:val="nil"/>
              <w:right w:val="nil"/>
            </w:tcBorders>
          </w:tcPr>
          <w:p w14:paraId="1DDBE5FC" w14:textId="77777777" w:rsidR="004E23E2" w:rsidRPr="00DD7A27" w:rsidRDefault="004E23E2" w:rsidP="00684E07">
            <w:pPr>
              <w:pStyle w:val="TableCaption"/>
              <w:rPr>
                <w:b w:val="0"/>
                <w:bCs w:val="0"/>
                <w:sz w:val="22"/>
                <w:szCs w:val="22"/>
              </w:rPr>
            </w:pPr>
            <w:r w:rsidRPr="00DD7A27">
              <w:rPr>
                <w:b w:val="0"/>
                <w:bCs w:val="0"/>
                <w:sz w:val="22"/>
                <w:szCs w:val="22"/>
              </w:rPr>
              <w:t>N</w:t>
            </w:r>
          </w:p>
        </w:tc>
        <w:tc>
          <w:tcPr>
            <w:tcW w:w="2338" w:type="dxa"/>
            <w:tcBorders>
              <w:top w:val="nil"/>
              <w:left w:val="nil"/>
              <w:bottom w:val="nil"/>
              <w:right w:val="nil"/>
            </w:tcBorders>
          </w:tcPr>
          <w:p w14:paraId="1812BF2E" w14:textId="77777777" w:rsidR="004E23E2" w:rsidRPr="00DD7A27" w:rsidRDefault="004E23E2" w:rsidP="00684E07">
            <w:pPr>
              <w:pStyle w:val="TableCaption"/>
              <w:rPr>
                <w:b w:val="0"/>
                <w:bCs w:val="0"/>
                <w:sz w:val="22"/>
                <w:szCs w:val="22"/>
              </w:rPr>
            </w:pPr>
            <w:r w:rsidRPr="00DD7A27">
              <w:rPr>
                <w:b w:val="0"/>
                <w:bCs w:val="0"/>
                <w:sz w:val="22"/>
                <w:szCs w:val="22"/>
              </w:rPr>
              <w:t>808</w:t>
            </w:r>
          </w:p>
        </w:tc>
        <w:tc>
          <w:tcPr>
            <w:tcW w:w="2338" w:type="dxa"/>
            <w:tcBorders>
              <w:top w:val="nil"/>
              <w:left w:val="nil"/>
              <w:bottom w:val="nil"/>
              <w:right w:val="nil"/>
            </w:tcBorders>
          </w:tcPr>
          <w:p w14:paraId="223CF7E4" w14:textId="77777777" w:rsidR="004E23E2" w:rsidRPr="00DD7A27" w:rsidRDefault="004E23E2" w:rsidP="00684E07">
            <w:pPr>
              <w:pStyle w:val="TableCaption"/>
              <w:rPr>
                <w:b w:val="0"/>
                <w:bCs w:val="0"/>
                <w:sz w:val="22"/>
                <w:szCs w:val="22"/>
              </w:rPr>
            </w:pPr>
            <w:r w:rsidRPr="00DD7A27">
              <w:rPr>
                <w:b w:val="0"/>
                <w:bCs w:val="0"/>
                <w:sz w:val="22"/>
                <w:szCs w:val="22"/>
              </w:rPr>
              <w:t>826</w:t>
            </w:r>
          </w:p>
        </w:tc>
      </w:tr>
      <w:tr w:rsidR="004E23E2" w:rsidRPr="00664AF1" w14:paraId="283D894A" w14:textId="77777777" w:rsidTr="00684E07">
        <w:trPr>
          <w:jc w:val="center"/>
        </w:trPr>
        <w:tc>
          <w:tcPr>
            <w:tcW w:w="2337" w:type="dxa"/>
            <w:tcBorders>
              <w:top w:val="nil"/>
              <w:left w:val="nil"/>
              <w:bottom w:val="single" w:sz="4" w:space="0" w:color="auto"/>
              <w:right w:val="nil"/>
            </w:tcBorders>
          </w:tcPr>
          <w:p w14:paraId="21DE0260" w14:textId="77777777" w:rsidR="004E23E2" w:rsidRPr="00DD7A27" w:rsidRDefault="004E23E2" w:rsidP="00684E07">
            <w:pPr>
              <w:pStyle w:val="TableCaption"/>
              <w:rPr>
                <w:b w:val="0"/>
                <w:bCs w:val="0"/>
                <w:sz w:val="22"/>
                <w:szCs w:val="22"/>
              </w:rPr>
            </w:pPr>
            <w:r w:rsidRPr="00DD7A27">
              <w:rPr>
                <w:b w:val="0"/>
                <w:bCs w:val="0"/>
                <w:sz w:val="22"/>
                <w:szCs w:val="22"/>
              </w:rPr>
              <w:t>Active</w:t>
            </w:r>
          </w:p>
        </w:tc>
        <w:tc>
          <w:tcPr>
            <w:tcW w:w="2337" w:type="dxa"/>
            <w:tcBorders>
              <w:top w:val="nil"/>
              <w:left w:val="nil"/>
              <w:bottom w:val="single" w:sz="4" w:space="0" w:color="auto"/>
              <w:right w:val="nil"/>
            </w:tcBorders>
          </w:tcPr>
          <w:p w14:paraId="5D0DDA9D" w14:textId="77777777" w:rsidR="004E23E2" w:rsidRPr="00DD7A27" w:rsidRDefault="004E23E2" w:rsidP="00684E07">
            <w:pPr>
              <w:pStyle w:val="TableCaption"/>
              <w:rPr>
                <w:b w:val="0"/>
                <w:bCs w:val="0"/>
                <w:sz w:val="22"/>
                <w:szCs w:val="22"/>
              </w:rPr>
            </w:pPr>
            <w:r w:rsidRPr="00DD7A27">
              <w:rPr>
                <w:b w:val="0"/>
                <w:bCs w:val="0"/>
                <w:sz w:val="22"/>
                <w:szCs w:val="22"/>
              </w:rPr>
              <w:t>Y</w:t>
            </w:r>
          </w:p>
        </w:tc>
        <w:tc>
          <w:tcPr>
            <w:tcW w:w="2338" w:type="dxa"/>
            <w:tcBorders>
              <w:top w:val="nil"/>
              <w:left w:val="nil"/>
              <w:bottom w:val="single" w:sz="4" w:space="0" w:color="auto"/>
              <w:right w:val="nil"/>
            </w:tcBorders>
          </w:tcPr>
          <w:p w14:paraId="7788ACA5" w14:textId="77777777" w:rsidR="004E23E2" w:rsidRPr="00DD7A27" w:rsidRDefault="004E23E2" w:rsidP="00684E07">
            <w:pPr>
              <w:pStyle w:val="TableCaption"/>
              <w:rPr>
                <w:b w:val="0"/>
                <w:bCs w:val="0"/>
                <w:sz w:val="22"/>
                <w:szCs w:val="22"/>
              </w:rPr>
            </w:pPr>
            <w:r w:rsidRPr="00DD7A27">
              <w:rPr>
                <w:b w:val="0"/>
                <w:bCs w:val="0"/>
                <w:sz w:val="22"/>
                <w:szCs w:val="22"/>
              </w:rPr>
              <w:t>4206</w:t>
            </w:r>
          </w:p>
        </w:tc>
        <w:tc>
          <w:tcPr>
            <w:tcW w:w="2338" w:type="dxa"/>
            <w:tcBorders>
              <w:top w:val="nil"/>
              <w:left w:val="nil"/>
              <w:bottom w:val="single" w:sz="4" w:space="0" w:color="auto"/>
              <w:right w:val="nil"/>
            </w:tcBorders>
          </w:tcPr>
          <w:p w14:paraId="5154408F" w14:textId="77777777" w:rsidR="004E23E2" w:rsidRPr="00DD7A27" w:rsidRDefault="004E23E2" w:rsidP="00684E07">
            <w:pPr>
              <w:pStyle w:val="TableCaption"/>
              <w:rPr>
                <w:b w:val="0"/>
                <w:bCs w:val="0"/>
                <w:sz w:val="22"/>
                <w:szCs w:val="22"/>
              </w:rPr>
            </w:pPr>
            <w:r w:rsidRPr="00DD7A27">
              <w:rPr>
                <w:b w:val="0"/>
                <w:bCs w:val="0"/>
                <w:sz w:val="22"/>
                <w:szCs w:val="22"/>
              </w:rPr>
              <w:t>3677</w:t>
            </w:r>
          </w:p>
        </w:tc>
      </w:tr>
    </w:tbl>
    <w:p w14:paraId="5BC89F77" w14:textId="77777777" w:rsidR="004E23E2" w:rsidRDefault="004E23E2" w:rsidP="004E23E2">
      <w:pPr>
        <w:rPr>
          <w:sz w:val="20"/>
          <w:szCs w:val="20"/>
        </w:rPr>
      </w:pPr>
    </w:p>
    <w:p w14:paraId="1409A04E" w14:textId="204B7848" w:rsidR="00206617" w:rsidRDefault="00206617">
      <w:pPr>
        <w:rPr>
          <w:sz w:val="20"/>
          <w:szCs w:val="20"/>
        </w:rPr>
      </w:pPr>
      <w:r>
        <w:rPr>
          <w:sz w:val="20"/>
          <w:szCs w:val="20"/>
        </w:rPr>
        <w:br w:type="page"/>
      </w:r>
    </w:p>
    <w:p w14:paraId="07181D97" w14:textId="404C2F78" w:rsidR="00C93ED2" w:rsidRPr="00096591" w:rsidRDefault="00C93ED2" w:rsidP="00C93ED2">
      <w:pPr>
        <w:pStyle w:val="Heading1"/>
        <w:rPr>
          <w:lang w:val="pt-BR"/>
        </w:rPr>
      </w:pPr>
      <w:bookmarkStart w:id="55" w:name="_Toc225254936"/>
      <w:r w:rsidRPr="00096591">
        <w:rPr>
          <w:lang w:val="pt-BR"/>
        </w:rPr>
        <w:lastRenderedPageBreak/>
        <w:t>Supplementary References</w:t>
      </w:r>
      <w:bookmarkEnd w:id="55"/>
    </w:p>
    <w:p w14:paraId="00EAAB44" w14:textId="77777777" w:rsidR="00D740BA" w:rsidRPr="002518D9" w:rsidRDefault="009B1689" w:rsidP="00D36B7E">
      <w:pPr>
        <w:pStyle w:val="Bibliography"/>
        <w:spacing w:line="240" w:lineRule="auto"/>
        <w:rPr>
          <w:rFonts w:cs="Times New Roman"/>
          <w:kern w:val="0"/>
        </w:rPr>
      </w:pPr>
      <w:r w:rsidRPr="002518D9">
        <w:fldChar w:fldCharType="begin"/>
      </w:r>
      <w:r w:rsidR="00D740BA" w:rsidRPr="002518D9">
        <w:rPr>
          <w:lang w:val="pt-BR"/>
        </w:rPr>
        <w:instrText xml:space="preserve"> ADDIN ZOTERO_BIBL {"uncited":[],"omitted":[],"custom":[]} CSL_BIBLIOGRAPHY </w:instrText>
      </w:r>
      <w:r w:rsidRPr="002518D9">
        <w:fldChar w:fldCharType="separate"/>
      </w:r>
      <w:r w:rsidR="00D740BA" w:rsidRPr="002518D9">
        <w:rPr>
          <w:rFonts w:cs="Times New Roman"/>
          <w:kern w:val="0"/>
        </w:rPr>
        <w:t>1.</w:t>
      </w:r>
      <w:r w:rsidR="00D740BA" w:rsidRPr="002518D9">
        <w:rPr>
          <w:rFonts w:cs="Times New Roman"/>
          <w:kern w:val="0"/>
        </w:rPr>
        <w:tab/>
        <w:t>IBGE. Censo Agropecuário: Tabela 6754. (2017).</w:t>
      </w:r>
    </w:p>
    <w:p w14:paraId="45B9055A" w14:textId="77777777" w:rsidR="00D740BA" w:rsidRPr="002518D9" w:rsidRDefault="00D740BA" w:rsidP="00D36B7E">
      <w:pPr>
        <w:pStyle w:val="Bibliography"/>
        <w:spacing w:line="240" w:lineRule="auto"/>
        <w:rPr>
          <w:rFonts w:cs="Times New Roman"/>
          <w:kern w:val="0"/>
          <w:lang w:val="pt-BR"/>
        </w:rPr>
      </w:pPr>
      <w:r w:rsidRPr="002518D9">
        <w:rPr>
          <w:rFonts w:cs="Times New Roman"/>
          <w:kern w:val="0"/>
          <w:lang w:val="pt-BR"/>
        </w:rPr>
        <w:t>2.</w:t>
      </w:r>
      <w:r w:rsidRPr="002518D9">
        <w:rPr>
          <w:rFonts w:cs="Times New Roman"/>
          <w:kern w:val="0"/>
          <w:lang w:val="pt-BR"/>
        </w:rPr>
        <w:tab/>
        <w:t xml:space="preserve">LAPIG. Atlas das Pastagens. </w:t>
      </w:r>
      <w:r w:rsidRPr="002518D9">
        <w:rPr>
          <w:rFonts w:cs="Times New Roman"/>
          <w:i/>
          <w:iCs/>
          <w:kern w:val="0"/>
          <w:lang w:val="pt-BR"/>
        </w:rPr>
        <w:t>Atlas das Pastagens</w:t>
      </w:r>
      <w:r w:rsidRPr="002518D9">
        <w:rPr>
          <w:rFonts w:cs="Times New Roman"/>
          <w:kern w:val="0"/>
          <w:lang w:val="pt-BR"/>
        </w:rPr>
        <w:t xml:space="preserve"> https://atlasdaspastagens.ufg.br/ (2024).</w:t>
      </w:r>
    </w:p>
    <w:p w14:paraId="660F29A2" w14:textId="77777777" w:rsidR="00D740BA" w:rsidRPr="002518D9" w:rsidRDefault="00D740BA" w:rsidP="00D36B7E">
      <w:pPr>
        <w:pStyle w:val="Bibliography"/>
        <w:spacing w:line="240" w:lineRule="auto"/>
        <w:rPr>
          <w:rFonts w:cs="Times New Roman"/>
          <w:kern w:val="0"/>
          <w:lang w:val="pt-BR"/>
        </w:rPr>
      </w:pPr>
      <w:r w:rsidRPr="002518D9">
        <w:rPr>
          <w:rFonts w:cs="Times New Roman"/>
          <w:kern w:val="0"/>
          <w:lang w:val="pt-BR"/>
        </w:rPr>
        <w:t>3.</w:t>
      </w:r>
      <w:r w:rsidRPr="002518D9">
        <w:rPr>
          <w:rFonts w:cs="Times New Roman"/>
          <w:kern w:val="0"/>
          <w:lang w:val="pt-BR"/>
        </w:rPr>
        <w:tab/>
        <w:t>CONAB. Oferta e demanda de carnes. https://www.conab.gov.br/info-agro/analises-do-mercado-agropecuario-e-extrativista/analises-do-mercado/oferta-e-demanda-de-carnes (2024).</w:t>
      </w:r>
    </w:p>
    <w:p w14:paraId="6EBD0C48" w14:textId="77777777" w:rsidR="00D740BA" w:rsidRPr="002518D9" w:rsidRDefault="00D740BA" w:rsidP="00D36B7E">
      <w:pPr>
        <w:pStyle w:val="Bibliography"/>
        <w:spacing w:line="240" w:lineRule="auto"/>
        <w:rPr>
          <w:rFonts w:cs="Times New Roman"/>
          <w:kern w:val="0"/>
          <w:lang w:val="pt-BR"/>
        </w:rPr>
      </w:pPr>
      <w:r w:rsidRPr="002518D9">
        <w:rPr>
          <w:rFonts w:cs="Times New Roman"/>
          <w:kern w:val="0"/>
          <w:lang w:val="pt-BR"/>
        </w:rPr>
        <w:t>4.</w:t>
      </w:r>
      <w:r w:rsidRPr="002518D9">
        <w:rPr>
          <w:rFonts w:cs="Times New Roman"/>
          <w:kern w:val="0"/>
          <w:lang w:val="pt-BR"/>
        </w:rPr>
        <w:tab/>
        <w:t>IBGE. Pesquisa Trimestral do Abate de Animais. https://sidra.ibge.gov.br/tabela/1094 (2024).</w:t>
      </w:r>
    </w:p>
    <w:p w14:paraId="658D1D97" w14:textId="77777777" w:rsidR="00D740BA" w:rsidRPr="002518D9" w:rsidRDefault="00D740BA" w:rsidP="00D36B7E">
      <w:pPr>
        <w:pStyle w:val="Bibliography"/>
        <w:spacing w:line="240" w:lineRule="auto"/>
        <w:rPr>
          <w:rFonts w:cs="Times New Roman"/>
          <w:kern w:val="0"/>
        </w:rPr>
      </w:pPr>
      <w:r w:rsidRPr="002518D9">
        <w:rPr>
          <w:rFonts w:cs="Times New Roman"/>
          <w:kern w:val="0"/>
          <w:lang w:val="pt-BR"/>
        </w:rPr>
        <w:t>5.</w:t>
      </w:r>
      <w:r w:rsidRPr="002518D9">
        <w:rPr>
          <w:rFonts w:cs="Times New Roman"/>
          <w:kern w:val="0"/>
          <w:lang w:val="pt-BR"/>
        </w:rPr>
        <w:tab/>
        <w:t xml:space="preserve">Carlos, S. D. M. </w:t>
      </w:r>
      <w:r w:rsidRPr="002518D9">
        <w:rPr>
          <w:rFonts w:cs="Times New Roman"/>
          <w:i/>
          <w:iCs/>
          <w:kern w:val="0"/>
          <w:lang w:val="pt-BR"/>
        </w:rPr>
        <w:t>et al.</w:t>
      </w:r>
      <w:r w:rsidRPr="002518D9">
        <w:rPr>
          <w:rFonts w:cs="Times New Roman"/>
          <w:kern w:val="0"/>
          <w:lang w:val="pt-BR"/>
        </w:rPr>
        <w:t xml:space="preserve"> </w:t>
      </w:r>
      <w:r w:rsidRPr="002518D9">
        <w:rPr>
          <w:rFonts w:cs="Times New Roman"/>
          <w:i/>
          <w:iCs/>
          <w:kern w:val="0"/>
        </w:rPr>
        <w:t>Costs of Recovering Degraded Pastures in the Brazilian States and Biomes</w:t>
      </w:r>
      <w:r w:rsidRPr="002518D9">
        <w:rPr>
          <w:rFonts w:cs="Times New Roman"/>
          <w:kern w:val="0"/>
        </w:rPr>
        <w:t>. https://agro.fgv.br/sites/default/files/2023-02/costs_of_recovering_degraded_pastures_in_the_brazilian_states_and_biomes_0.pdf (2022).</w:t>
      </w:r>
    </w:p>
    <w:p w14:paraId="71B5185F" w14:textId="77777777" w:rsidR="00D740BA" w:rsidRPr="002518D9" w:rsidRDefault="00D740BA" w:rsidP="00D36B7E">
      <w:pPr>
        <w:pStyle w:val="Bibliography"/>
        <w:spacing w:line="240" w:lineRule="auto"/>
        <w:rPr>
          <w:rFonts w:cs="Times New Roman"/>
          <w:kern w:val="0"/>
          <w:lang w:val="pt-BR"/>
        </w:rPr>
      </w:pPr>
      <w:r w:rsidRPr="002518D9">
        <w:rPr>
          <w:rFonts w:cs="Times New Roman"/>
          <w:kern w:val="0"/>
          <w:lang w:val="pt-BR"/>
        </w:rPr>
        <w:t>6.</w:t>
      </w:r>
      <w:r w:rsidRPr="002518D9">
        <w:rPr>
          <w:rFonts w:cs="Times New Roman"/>
          <w:kern w:val="0"/>
          <w:lang w:val="pt-BR"/>
        </w:rPr>
        <w:tab/>
        <w:t xml:space="preserve">IBGE. </w:t>
      </w:r>
      <w:r w:rsidRPr="002518D9">
        <w:rPr>
          <w:rFonts w:cs="Times New Roman"/>
          <w:i/>
          <w:iCs/>
          <w:kern w:val="0"/>
          <w:lang w:val="pt-BR"/>
        </w:rPr>
        <w:t>Divisão regional do Brasil em regiões geográficas imediatas e regiões geográficas intermediárias</w:t>
      </w:r>
      <w:r w:rsidRPr="002518D9">
        <w:rPr>
          <w:rFonts w:cs="Times New Roman"/>
          <w:kern w:val="0"/>
          <w:lang w:val="pt-BR"/>
        </w:rPr>
        <w:t>. (IBGE, Rio de Janeiro, 2017).</w:t>
      </w:r>
    </w:p>
    <w:p w14:paraId="4B74F1A4" w14:textId="77777777" w:rsidR="00D740BA" w:rsidRPr="002518D9" w:rsidRDefault="00D740BA" w:rsidP="00D36B7E">
      <w:pPr>
        <w:pStyle w:val="Bibliography"/>
        <w:spacing w:line="240" w:lineRule="auto"/>
        <w:rPr>
          <w:rFonts w:cs="Times New Roman"/>
          <w:kern w:val="0"/>
          <w:lang w:val="pt-BR"/>
        </w:rPr>
      </w:pPr>
      <w:r w:rsidRPr="002518D9">
        <w:rPr>
          <w:rFonts w:cs="Times New Roman"/>
          <w:kern w:val="0"/>
          <w:lang w:val="pt-BR"/>
        </w:rPr>
        <w:t>7.</w:t>
      </w:r>
      <w:r w:rsidRPr="002518D9">
        <w:rPr>
          <w:rFonts w:cs="Times New Roman"/>
          <w:kern w:val="0"/>
          <w:lang w:val="pt-BR"/>
        </w:rPr>
        <w:tab/>
        <w:t xml:space="preserve">G. Fischer </w:t>
      </w:r>
      <w:r w:rsidRPr="002518D9">
        <w:rPr>
          <w:rFonts w:cs="Times New Roman"/>
          <w:i/>
          <w:iCs/>
          <w:kern w:val="0"/>
          <w:lang w:val="pt-BR"/>
        </w:rPr>
        <w:t>et al.</w:t>
      </w:r>
      <w:r w:rsidRPr="002518D9">
        <w:rPr>
          <w:rFonts w:cs="Times New Roman"/>
          <w:kern w:val="0"/>
          <w:lang w:val="pt-BR"/>
        </w:rPr>
        <w:t xml:space="preserve"> </w:t>
      </w:r>
      <w:r w:rsidRPr="002518D9">
        <w:rPr>
          <w:rFonts w:cs="Times New Roman"/>
          <w:i/>
          <w:iCs/>
          <w:kern w:val="0"/>
          <w:lang w:val="pt-BR"/>
        </w:rPr>
        <w:t>Global Agro-Ecological Zones v4 – Model Documentation</w:t>
      </w:r>
      <w:r w:rsidRPr="002518D9">
        <w:rPr>
          <w:rFonts w:cs="Times New Roman"/>
          <w:kern w:val="0"/>
          <w:lang w:val="pt-BR"/>
        </w:rPr>
        <w:t>. (FAO</w:t>
      </w:r>
      <w:r w:rsidRPr="002518D9">
        <w:rPr>
          <w:rFonts w:ascii="Arial" w:hAnsi="Arial" w:cs="Arial"/>
          <w:kern w:val="0"/>
          <w:lang w:val="pt-BR"/>
        </w:rPr>
        <w:t> </w:t>
      </w:r>
      <w:r w:rsidRPr="002518D9">
        <w:rPr>
          <w:rFonts w:cs="Times New Roman"/>
          <w:kern w:val="0"/>
          <w:lang w:val="pt-BR"/>
        </w:rPr>
        <w:t>;, 2021).</w:t>
      </w:r>
    </w:p>
    <w:p w14:paraId="6067079A" w14:textId="77777777" w:rsidR="00D740BA" w:rsidRPr="002518D9" w:rsidRDefault="00D740BA" w:rsidP="00D36B7E">
      <w:pPr>
        <w:pStyle w:val="Bibliography"/>
        <w:spacing w:line="240" w:lineRule="auto"/>
        <w:rPr>
          <w:rFonts w:cs="Times New Roman"/>
          <w:kern w:val="0"/>
        </w:rPr>
      </w:pPr>
      <w:r w:rsidRPr="002518D9">
        <w:rPr>
          <w:rFonts w:cs="Times New Roman"/>
          <w:kern w:val="0"/>
          <w:lang w:val="pt-BR"/>
        </w:rPr>
        <w:t>8.</w:t>
      </w:r>
      <w:r w:rsidRPr="002518D9">
        <w:rPr>
          <w:rFonts w:cs="Times New Roman"/>
          <w:kern w:val="0"/>
          <w:lang w:val="pt-BR"/>
        </w:rPr>
        <w:tab/>
        <w:t xml:space="preserve">Jarvis, A., H.I. Reuter, A. Nelson, &amp; E. Guevara. </w:t>
      </w:r>
      <w:r w:rsidRPr="002518D9">
        <w:rPr>
          <w:rFonts w:cs="Times New Roman"/>
          <w:kern w:val="0"/>
        </w:rPr>
        <w:t>Hole-filled SRTM for the globe Version 4. available from the CGIAR-CSI SRTM 90m Database (2008).</w:t>
      </w:r>
    </w:p>
    <w:p w14:paraId="6B9B95C7" w14:textId="77777777" w:rsidR="00D740BA" w:rsidRPr="002518D9" w:rsidRDefault="00D740BA" w:rsidP="00D36B7E">
      <w:pPr>
        <w:pStyle w:val="Bibliography"/>
        <w:spacing w:line="240" w:lineRule="auto"/>
        <w:rPr>
          <w:rFonts w:cs="Times New Roman"/>
          <w:kern w:val="0"/>
        </w:rPr>
      </w:pPr>
      <w:r w:rsidRPr="002518D9">
        <w:rPr>
          <w:rFonts w:cs="Times New Roman"/>
          <w:kern w:val="0"/>
          <w:lang w:val="pt-BR"/>
        </w:rPr>
        <w:t>9.</w:t>
      </w:r>
      <w:r w:rsidRPr="002518D9">
        <w:rPr>
          <w:rFonts w:cs="Times New Roman"/>
          <w:kern w:val="0"/>
          <w:lang w:val="pt-BR"/>
        </w:rPr>
        <w:tab/>
        <w:t xml:space="preserve">Alves-Pinto, H. N. </w:t>
      </w:r>
      <w:r w:rsidRPr="002518D9">
        <w:rPr>
          <w:rFonts w:cs="Times New Roman"/>
          <w:i/>
          <w:iCs/>
          <w:kern w:val="0"/>
          <w:lang w:val="pt-BR"/>
        </w:rPr>
        <w:t>et al.</w:t>
      </w:r>
      <w:r w:rsidRPr="002518D9">
        <w:rPr>
          <w:rFonts w:cs="Times New Roman"/>
          <w:kern w:val="0"/>
          <w:lang w:val="pt-BR"/>
        </w:rPr>
        <w:t xml:space="preserve"> </w:t>
      </w:r>
      <w:r w:rsidRPr="002518D9">
        <w:rPr>
          <w:rFonts w:cs="Times New Roman"/>
          <w:kern w:val="0"/>
        </w:rPr>
        <w:t xml:space="preserve">Reconciling rural development and ecological restoration: Strategies and policy recommendations for the Brazilian Atlantic Forest. </w:t>
      </w:r>
      <w:r w:rsidRPr="002518D9">
        <w:rPr>
          <w:rFonts w:cs="Times New Roman"/>
          <w:i/>
          <w:iCs/>
          <w:kern w:val="0"/>
        </w:rPr>
        <w:t>Land Use Policy</w:t>
      </w:r>
      <w:r w:rsidRPr="002518D9">
        <w:rPr>
          <w:rFonts w:cs="Times New Roman"/>
          <w:kern w:val="0"/>
        </w:rPr>
        <w:t xml:space="preserve"> </w:t>
      </w:r>
      <w:r w:rsidRPr="002518D9">
        <w:rPr>
          <w:rFonts w:cs="Times New Roman"/>
          <w:b/>
          <w:bCs/>
          <w:kern w:val="0"/>
        </w:rPr>
        <w:t>60</w:t>
      </w:r>
      <w:r w:rsidRPr="002518D9">
        <w:rPr>
          <w:rFonts w:cs="Times New Roman"/>
          <w:kern w:val="0"/>
        </w:rPr>
        <w:t>, 419–426 (2017).</w:t>
      </w:r>
    </w:p>
    <w:p w14:paraId="4ACDF6A4" w14:textId="77777777" w:rsidR="00D740BA" w:rsidRPr="002518D9" w:rsidRDefault="00D740BA" w:rsidP="00D36B7E">
      <w:pPr>
        <w:pStyle w:val="Bibliography"/>
        <w:spacing w:line="240" w:lineRule="auto"/>
        <w:rPr>
          <w:rFonts w:cs="Times New Roman"/>
          <w:kern w:val="0"/>
        </w:rPr>
      </w:pPr>
      <w:r w:rsidRPr="002518D9">
        <w:rPr>
          <w:rFonts w:cs="Times New Roman"/>
          <w:kern w:val="0"/>
        </w:rPr>
        <w:t>10.</w:t>
      </w:r>
      <w:r w:rsidRPr="002518D9">
        <w:rPr>
          <w:rFonts w:cs="Times New Roman"/>
          <w:kern w:val="0"/>
        </w:rPr>
        <w:tab/>
        <w:t xml:space="preserve">Arantes, A. E., Couto, V. R. de M., Sano, E. E. &amp; Ferreira, L. G. Livestock intensification potential in Brazil based on agricultural census and satellite data analysis. </w:t>
      </w:r>
      <w:r w:rsidRPr="002518D9">
        <w:rPr>
          <w:rFonts w:cs="Times New Roman"/>
          <w:i/>
          <w:iCs/>
          <w:kern w:val="0"/>
        </w:rPr>
        <w:t>Pesqui. Agropecuária Bras.</w:t>
      </w:r>
      <w:r w:rsidRPr="002518D9">
        <w:rPr>
          <w:rFonts w:cs="Times New Roman"/>
          <w:kern w:val="0"/>
        </w:rPr>
        <w:t xml:space="preserve"> </w:t>
      </w:r>
      <w:r w:rsidRPr="002518D9">
        <w:rPr>
          <w:rFonts w:cs="Times New Roman"/>
          <w:b/>
          <w:bCs/>
          <w:kern w:val="0"/>
        </w:rPr>
        <w:t>53</w:t>
      </w:r>
      <w:r w:rsidRPr="002518D9">
        <w:rPr>
          <w:rFonts w:cs="Times New Roman"/>
          <w:kern w:val="0"/>
        </w:rPr>
        <w:t>, 1053–1060 (2018).</w:t>
      </w:r>
    </w:p>
    <w:p w14:paraId="5A7BDB73" w14:textId="77777777" w:rsidR="00D740BA" w:rsidRPr="002518D9" w:rsidRDefault="00D740BA" w:rsidP="00D36B7E">
      <w:pPr>
        <w:pStyle w:val="Bibliography"/>
        <w:spacing w:line="240" w:lineRule="auto"/>
        <w:rPr>
          <w:rFonts w:cs="Times New Roman"/>
          <w:kern w:val="0"/>
        </w:rPr>
      </w:pPr>
      <w:r w:rsidRPr="002518D9">
        <w:rPr>
          <w:rFonts w:cs="Times New Roman"/>
          <w:kern w:val="0"/>
        </w:rPr>
        <w:t>11.</w:t>
      </w:r>
      <w:r w:rsidRPr="002518D9">
        <w:rPr>
          <w:rFonts w:cs="Times New Roman"/>
          <w:kern w:val="0"/>
        </w:rPr>
        <w:tab/>
        <w:t xml:space="preserve">Strassburg, B. B. N. </w:t>
      </w:r>
      <w:r w:rsidRPr="002518D9">
        <w:rPr>
          <w:rFonts w:cs="Times New Roman"/>
          <w:i/>
          <w:iCs/>
          <w:kern w:val="0"/>
        </w:rPr>
        <w:t>et al.</w:t>
      </w:r>
      <w:r w:rsidRPr="002518D9">
        <w:rPr>
          <w:rFonts w:cs="Times New Roman"/>
          <w:kern w:val="0"/>
        </w:rPr>
        <w:t xml:space="preserve"> When enough should be enough: Improving the use of current agricultural lands could meet production demands and spare natural habitats in Brazil. </w:t>
      </w:r>
      <w:r w:rsidRPr="002518D9">
        <w:rPr>
          <w:rFonts w:cs="Times New Roman"/>
          <w:i/>
          <w:iCs/>
          <w:kern w:val="0"/>
        </w:rPr>
        <w:t>Glob. Environ. Change</w:t>
      </w:r>
      <w:r w:rsidRPr="002518D9">
        <w:rPr>
          <w:rFonts w:cs="Times New Roman"/>
          <w:kern w:val="0"/>
        </w:rPr>
        <w:t xml:space="preserve"> </w:t>
      </w:r>
      <w:r w:rsidRPr="002518D9">
        <w:rPr>
          <w:rFonts w:cs="Times New Roman"/>
          <w:b/>
          <w:bCs/>
          <w:kern w:val="0"/>
        </w:rPr>
        <w:t>28</w:t>
      </w:r>
      <w:r w:rsidRPr="002518D9">
        <w:rPr>
          <w:rFonts w:cs="Times New Roman"/>
          <w:kern w:val="0"/>
        </w:rPr>
        <w:t>, 84–97 (2014).</w:t>
      </w:r>
    </w:p>
    <w:p w14:paraId="5C9EBDDE" w14:textId="77777777" w:rsidR="00D740BA" w:rsidRPr="002518D9" w:rsidRDefault="00D740BA" w:rsidP="00D36B7E">
      <w:pPr>
        <w:pStyle w:val="Bibliography"/>
        <w:spacing w:line="240" w:lineRule="auto"/>
        <w:rPr>
          <w:rFonts w:cs="Times New Roman"/>
          <w:kern w:val="0"/>
        </w:rPr>
      </w:pPr>
      <w:r w:rsidRPr="002518D9">
        <w:rPr>
          <w:rFonts w:cs="Times New Roman"/>
          <w:kern w:val="0"/>
        </w:rPr>
        <w:t>12.</w:t>
      </w:r>
      <w:r w:rsidRPr="002518D9">
        <w:rPr>
          <w:rFonts w:cs="Times New Roman"/>
          <w:kern w:val="0"/>
        </w:rPr>
        <w:tab/>
        <w:t xml:space="preserve">Wirsenius, S. &amp; d’Albertas Gomes de Carvalho, F. </w:t>
      </w:r>
      <w:r w:rsidRPr="002518D9">
        <w:rPr>
          <w:rFonts w:cs="Times New Roman"/>
          <w:i/>
          <w:iCs/>
          <w:kern w:val="0"/>
        </w:rPr>
        <w:t>BeefSC: A Model for Calculating Optimal Stocking Rates and Costs of Beef. Description of Model (v. 1.0) and Input Data for Application on Brazilian Beef Production</w:t>
      </w:r>
      <w:r w:rsidRPr="002518D9">
        <w:rPr>
          <w:rFonts w:cs="Times New Roman"/>
          <w:kern w:val="0"/>
        </w:rPr>
        <w:t>. https://zenodo.org/records/18845417 (2026) doi:10.5281/zenodo.18845417.</w:t>
      </w:r>
    </w:p>
    <w:p w14:paraId="50E6C77D" w14:textId="77777777" w:rsidR="00D740BA" w:rsidRPr="002518D9" w:rsidRDefault="00D740BA" w:rsidP="00D36B7E">
      <w:pPr>
        <w:pStyle w:val="Bibliography"/>
        <w:spacing w:line="240" w:lineRule="auto"/>
        <w:rPr>
          <w:rFonts w:cs="Times New Roman"/>
          <w:kern w:val="0"/>
        </w:rPr>
      </w:pPr>
      <w:r w:rsidRPr="002518D9">
        <w:rPr>
          <w:rFonts w:cs="Times New Roman"/>
          <w:kern w:val="0"/>
        </w:rPr>
        <w:t>13.</w:t>
      </w:r>
      <w:r w:rsidRPr="002518D9">
        <w:rPr>
          <w:rFonts w:cs="Times New Roman"/>
          <w:kern w:val="0"/>
        </w:rPr>
        <w:tab/>
        <w:t xml:space="preserve">Brazil. Ministry of Agriculture, Livestock and Food Supply. </w:t>
      </w:r>
      <w:r w:rsidRPr="002518D9">
        <w:rPr>
          <w:rFonts w:cs="Times New Roman"/>
          <w:i/>
          <w:iCs/>
          <w:kern w:val="0"/>
        </w:rPr>
        <w:t>Plan for Adaptation and Low Carbon Emission in Agriculture Strategic Vision for a New Cycle</w:t>
      </w:r>
      <w:r w:rsidRPr="002518D9">
        <w:rPr>
          <w:rFonts w:cs="Times New Roman"/>
          <w:kern w:val="0"/>
        </w:rPr>
        <w:t>. https://www.gov.br/agricultura/pt-br/assuntos/sustentabilidade/planoabc-abcmais/publicacoes/abc-english.pdf (2021).</w:t>
      </w:r>
    </w:p>
    <w:p w14:paraId="407FD815" w14:textId="77777777" w:rsidR="00D740BA" w:rsidRPr="002518D9" w:rsidRDefault="00D740BA" w:rsidP="00D36B7E">
      <w:pPr>
        <w:pStyle w:val="Bibliography"/>
        <w:spacing w:line="240" w:lineRule="auto"/>
        <w:rPr>
          <w:rFonts w:cs="Times New Roman"/>
          <w:kern w:val="0"/>
        </w:rPr>
      </w:pPr>
      <w:r w:rsidRPr="002518D9">
        <w:rPr>
          <w:rFonts w:cs="Times New Roman"/>
          <w:kern w:val="0"/>
        </w:rPr>
        <w:t>14.</w:t>
      </w:r>
      <w:r w:rsidRPr="002518D9">
        <w:rPr>
          <w:rFonts w:cs="Times New Roman"/>
          <w:kern w:val="0"/>
        </w:rPr>
        <w:tab/>
        <w:t xml:space="preserve">Williams, B. A. </w:t>
      </w:r>
      <w:r w:rsidRPr="002518D9">
        <w:rPr>
          <w:rFonts w:cs="Times New Roman"/>
          <w:i/>
          <w:iCs/>
          <w:kern w:val="0"/>
        </w:rPr>
        <w:t>et al.</w:t>
      </w:r>
      <w:r w:rsidRPr="002518D9">
        <w:rPr>
          <w:rFonts w:cs="Times New Roman"/>
          <w:kern w:val="0"/>
        </w:rPr>
        <w:t xml:space="preserve"> Global potential for natural regeneration in deforested tropical regions. </w:t>
      </w:r>
      <w:r w:rsidRPr="002518D9">
        <w:rPr>
          <w:rFonts w:cs="Times New Roman"/>
          <w:i/>
          <w:iCs/>
          <w:kern w:val="0"/>
        </w:rPr>
        <w:t>Nature</w:t>
      </w:r>
      <w:r w:rsidRPr="002518D9">
        <w:rPr>
          <w:rFonts w:cs="Times New Roman"/>
          <w:kern w:val="0"/>
        </w:rPr>
        <w:t xml:space="preserve"> 1–7 (2024) doi:10.1038/s41586-024-08106-4.</w:t>
      </w:r>
    </w:p>
    <w:p w14:paraId="03917706" w14:textId="77777777" w:rsidR="00D740BA" w:rsidRPr="002518D9" w:rsidRDefault="00D740BA" w:rsidP="00D36B7E">
      <w:pPr>
        <w:pStyle w:val="Bibliography"/>
        <w:spacing w:line="240" w:lineRule="auto"/>
        <w:rPr>
          <w:rFonts w:cs="Times New Roman"/>
          <w:kern w:val="0"/>
        </w:rPr>
      </w:pPr>
      <w:r w:rsidRPr="002518D9">
        <w:rPr>
          <w:rFonts w:cs="Times New Roman"/>
          <w:kern w:val="0"/>
        </w:rPr>
        <w:t>15.</w:t>
      </w:r>
      <w:r w:rsidRPr="002518D9">
        <w:rPr>
          <w:rFonts w:cs="Times New Roman"/>
          <w:kern w:val="0"/>
        </w:rPr>
        <w:tab/>
        <w:t xml:space="preserve">Crouzeilles, R. </w:t>
      </w:r>
      <w:r w:rsidRPr="002518D9">
        <w:rPr>
          <w:rFonts w:cs="Times New Roman"/>
          <w:i/>
          <w:iCs/>
          <w:kern w:val="0"/>
        </w:rPr>
        <w:t>et al.</w:t>
      </w:r>
      <w:r w:rsidRPr="002518D9">
        <w:rPr>
          <w:rFonts w:cs="Times New Roman"/>
          <w:kern w:val="0"/>
        </w:rPr>
        <w:t xml:space="preserve"> A global meta-analysis on the ecological drivers of forest restoration success. </w:t>
      </w:r>
      <w:r w:rsidRPr="002518D9">
        <w:rPr>
          <w:rFonts w:cs="Times New Roman"/>
          <w:i/>
          <w:iCs/>
          <w:kern w:val="0"/>
        </w:rPr>
        <w:t>Nat. Commun.</w:t>
      </w:r>
      <w:r w:rsidRPr="002518D9">
        <w:rPr>
          <w:rFonts w:cs="Times New Roman"/>
          <w:kern w:val="0"/>
        </w:rPr>
        <w:t xml:space="preserve"> </w:t>
      </w:r>
      <w:r w:rsidRPr="002518D9">
        <w:rPr>
          <w:rFonts w:cs="Times New Roman"/>
          <w:b/>
          <w:bCs/>
          <w:kern w:val="0"/>
        </w:rPr>
        <w:t>7</w:t>
      </w:r>
      <w:r w:rsidRPr="002518D9">
        <w:rPr>
          <w:rFonts w:cs="Times New Roman"/>
          <w:kern w:val="0"/>
        </w:rPr>
        <w:t>, 11666 (2016).</w:t>
      </w:r>
    </w:p>
    <w:p w14:paraId="7E8FC90A" w14:textId="77777777" w:rsidR="00D740BA" w:rsidRPr="002518D9" w:rsidRDefault="00D740BA" w:rsidP="00D36B7E">
      <w:pPr>
        <w:pStyle w:val="Bibliography"/>
        <w:spacing w:line="240" w:lineRule="auto"/>
        <w:rPr>
          <w:rFonts w:cs="Times New Roman"/>
          <w:kern w:val="0"/>
        </w:rPr>
      </w:pPr>
      <w:r w:rsidRPr="002518D9">
        <w:rPr>
          <w:rFonts w:cs="Times New Roman"/>
          <w:kern w:val="0"/>
        </w:rPr>
        <w:t>16.</w:t>
      </w:r>
      <w:r w:rsidRPr="002518D9">
        <w:rPr>
          <w:rFonts w:cs="Times New Roman"/>
          <w:kern w:val="0"/>
        </w:rPr>
        <w:tab/>
        <w:t xml:space="preserve">Chazdon, R. L. &amp; Guariguata, M. R. Natural regeneration as a tool for large-scale forest restoration in the tropics: prospects and challenges. </w:t>
      </w:r>
      <w:r w:rsidRPr="002518D9">
        <w:rPr>
          <w:rFonts w:cs="Times New Roman"/>
          <w:i/>
          <w:iCs/>
          <w:kern w:val="0"/>
        </w:rPr>
        <w:t>Biotropica</w:t>
      </w:r>
      <w:r w:rsidRPr="002518D9">
        <w:rPr>
          <w:rFonts w:cs="Times New Roman"/>
          <w:kern w:val="0"/>
        </w:rPr>
        <w:t xml:space="preserve"> </w:t>
      </w:r>
      <w:r w:rsidRPr="002518D9">
        <w:rPr>
          <w:rFonts w:cs="Times New Roman"/>
          <w:b/>
          <w:bCs/>
          <w:kern w:val="0"/>
        </w:rPr>
        <w:t>48</w:t>
      </w:r>
      <w:r w:rsidRPr="002518D9">
        <w:rPr>
          <w:rFonts w:cs="Times New Roman"/>
          <w:kern w:val="0"/>
        </w:rPr>
        <w:t>, 716–730 (2016).</w:t>
      </w:r>
    </w:p>
    <w:p w14:paraId="6D2076BF" w14:textId="77777777" w:rsidR="00D740BA" w:rsidRPr="002518D9" w:rsidRDefault="00D740BA" w:rsidP="00D36B7E">
      <w:pPr>
        <w:pStyle w:val="Bibliography"/>
        <w:spacing w:line="240" w:lineRule="auto"/>
        <w:rPr>
          <w:rFonts w:cs="Times New Roman"/>
          <w:kern w:val="0"/>
        </w:rPr>
      </w:pPr>
      <w:r w:rsidRPr="002518D9">
        <w:rPr>
          <w:rFonts w:cs="Times New Roman"/>
          <w:kern w:val="0"/>
        </w:rPr>
        <w:t>17.</w:t>
      </w:r>
      <w:r w:rsidRPr="002518D9">
        <w:rPr>
          <w:rFonts w:cs="Times New Roman"/>
          <w:kern w:val="0"/>
        </w:rPr>
        <w:tab/>
        <w:t xml:space="preserve">Fick, S. E. &amp; Hijmans, R. J. WorldClim 2: new 1-km spatial resolution climate surfaces for global land areas. </w:t>
      </w:r>
      <w:r w:rsidRPr="002518D9">
        <w:rPr>
          <w:rFonts w:cs="Times New Roman"/>
          <w:i/>
          <w:iCs/>
          <w:kern w:val="0"/>
        </w:rPr>
        <w:t>Int. J. Climatol.</w:t>
      </w:r>
      <w:r w:rsidRPr="002518D9">
        <w:rPr>
          <w:rFonts w:cs="Times New Roman"/>
          <w:kern w:val="0"/>
        </w:rPr>
        <w:t xml:space="preserve"> </w:t>
      </w:r>
      <w:r w:rsidRPr="002518D9">
        <w:rPr>
          <w:rFonts w:cs="Times New Roman"/>
          <w:b/>
          <w:bCs/>
          <w:kern w:val="0"/>
        </w:rPr>
        <w:t>37</w:t>
      </w:r>
      <w:r w:rsidRPr="002518D9">
        <w:rPr>
          <w:rFonts w:cs="Times New Roman"/>
          <w:kern w:val="0"/>
        </w:rPr>
        <w:t>, 4302–4315 (2017).</w:t>
      </w:r>
    </w:p>
    <w:p w14:paraId="11786FCE" w14:textId="77777777" w:rsidR="00D740BA" w:rsidRPr="002518D9" w:rsidRDefault="00D740BA" w:rsidP="00D36B7E">
      <w:pPr>
        <w:pStyle w:val="Bibliography"/>
        <w:spacing w:line="240" w:lineRule="auto"/>
        <w:rPr>
          <w:rFonts w:cs="Times New Roman"/>
          <w:kern w:val="0"/>
        </w:rPr>
      </w:pPr>
      <w:r w:rsidRPr="002518D9">
        <w:rPr>
          <w:rFonts w:cs="Times New Roman"/>
          <w:kern w:val="0"/>
        </w:rPr>
        <w:t>18.</w:t>
      </w:r>
      <w:r w:rsidRPr="002518D9">
        <w:rPr>
          <w:rFonts w:cs="Times New Roman"/>
          <w:kern w:val="0"/>
        </w:rPr>
        <w:tab/>
        <w:t xml:space="preserve">Hengl, T. </w:t>
      </w:r>
      <w:r w:rsidRPr="002518D9">
        <w:rPr>
          <w:rFonts w:cs="Times New Roman"/>
          <w:i/>
          <w:iCs/>
          <w:kern w:val="0"/>
        </w:rPr>
        <w:t>et al.</w:t>
      </w:r>
      <w:r w:rsidRPr="002518D9">
        <w:rPr>
          <w:rFonts w:cs="Times New Roman"/>
          <w:kern w:val="0"/>
        </w:rPr>
        <w:t xml:space="preserve"> SoilGrids250m: Global gridded soil information based on machine learning. </w:t>
      </w:r>
      <w:r w:rsidRPr="002518D9">
        <w:rPr>
          <w:rFonts w:cs="Times New Roman"/>
          <w:i/>
          <w:iCs/>
          <w:kern w:val="0"/>
        </w:rPr>
        <w:t>PLOS ONE</w:t>
      </w:r>
      <w:r w:rsidRPr="002518D9">
        <w:rPr>
          <w:rFonts w:cs="Times New Roman"/>
          <w:kern w:val="0"/>
        </w:rPr>
        <w:t xml:space="preserve"> </w:t>
      </w:r>
      <w:r w:rsidRPr="002518D9">
        <w:rPr>
          <w:rFonts w:cs="Times New Roman"/>
          <w:b/>
          <w:bCs/>
          <w:kern w:val="0"/>
        </w:rPr>
        <w:t>12</w:t>
      </w:r>
      <w:r w:rsidRPr="002518D9">
        <w:rPr>
          <w:rFonts w:cs="Times New Roman"/>
          <w:kern w:val="0"/>
        </w:rPr>
        <w:t>, e0169748 (2017).</w:t>
      </w:r>
    </w:p>
    <w:p w14:paraId="5465F366" w14:textId="77777777" w:rsidR="00D740BA" w:rsidRPr="002518D9" w:rsidRDefault="00D740BA" w:rsidP="00D36B7E">
      <w:pPr>
        <w:pStyle w:val="Bibliography"/>
        <w:spacing w:line="240" w:lineRule="auto"/>
        <w:rPr>
          <w:rFonts w:cs="Times New Roman"/>
          <w:kern w:val="0"/>
        </w:rPr>
      </w:pPr>
      <w:r w:rsidRPr="002518D9">
        <w:rPr>
          <w:rFonts w:cs="Times New Roman"/>
          <w:kern w:val="0"/>
        </w:rPr>
        <w:lastRenderedPageBreak/>
        <w:t>19.</w:t>
      </w:r>
      <w:r w:rsidRPr="002518D9">
        <w:rPr>
          <w:rFonts w:cs="Times New Roman"/>
          <w:kern w:val="0"/>
        </w:rPr>
        <w:tab/>
        <w:t xml:space="preserve">Joly, C. A., Metzger, J. P. &amp; Tabarelli, M. Experiences from the Brazilian Atlantic Forest: ecological findings and conservation initiatives. </w:t>
      </w:r>
      <w:r w:rsidRPr="002518D9">
        <w:rPr>
          <w:rFonts w:cs="Times New Roman"/>
          <w:i/>
          <w:iCs/>
          <w:kern w:val="0"/>
        </w:rPr>
        <w:t>New Phytol.</w:t>
      </w:r>
      <w:r w:rsidRPr="002518D9">
        <w:rPr>
          <w:rFonts w:cs="Times New Roman"/>
          <w:kern w:val="0"/>
        </w:rPr>
        <w:t xml:space="preserve"> </w:t>
      </w:r>
      <w:r w:rsidRPr="002518D9">
        <w:rPr>
          <w:rFonts w:cs="Times New Roman"/>
          <w:b/>
          <w:bCs/>
          <w:kern w:val="0"/>
        </w:rPr>
        <w:t>204</w:t>
      </w:r>
      <w:r w:rsidRPr="002518D9">
        <w:rPr>
          <w:rFonts w:cs="Times New Roman"/>
          <w:kern w:val="0"/>
        </w:rPr>
        <w:t>, 459–473 (2014).</w:t>
      </w:r>
    </w:p>
    <w:p w14:paraId="6637676B" w14:textId="77777777" w:rsidR="00D740BA" w:rsidRPr="002518D9" w:rsidRDefault="00D740BA" w:rsidP="00D36B7E">
      <w:pPr>
        <w:pStyle w:val="Bibliography"/>
        <w:spacing w:line="240" w:lineRule="auto"/>
        <w:rPr>
          <w:rFonts w:cs="Times New Roman"/>
          <w:kern w:val="0"/>
        </w:rPr>
      </w:pPr>
      <w:r w:rsidRPr="002518D9">
        <w:rPr>
          <w:rFonts w:cs="Times New Roman"/>
          <w:kern w:val="0"/>
        </w:rPr>
        <w:t>20.</w:t>
      </w:r>
      <w:r w:rsidRPr="002518D9">
        <w:rPr>
          <w:rFonts w:cs="Times New Roman"/>
          <w:kern w:val="0"/>
        </w:rPr>
        <w:tab/>
        <w:t>Ishwaran, H. &amp; Kogalur, U. B. randomForestSRC: Fast Unified Random Forests for Survival, Regression, and Classification (RF-SRC). (2025).</w:t>
      </w:r>
    </w:p>
    <w:p w14:paraId="76876C21" w14:textId="77777777" w:rsidR="00D740BA" w:rsidRPr="002518D9" w:rsidRDefault="00D740BA" w:rsidP="00D36B7E">
      <w:pPr>
        <w:pStyle w:val="Bibliography"/>
        <w:spacing w:line="240" w:lineRule="auto"/>
        <w:rPr>
          <w:rFonts w:cs="Times New Roman"/>
          <w:kern w:val="0"/>
        </w:rPr>
      </w:pPr>
      <w:r w:rsidRPr="002518D9">
        <w:rPr>
          <w:rFonts w:cs="Times New Roman"/>
          <w:kern w:val="0"/>
        </w:rPr>
        <w:t>21.</w:t>
      </w:r>
      <w:r w:rsidRPr="002518D9">
        <w:rPr>
          <w:rFonts w:cs="Times New Roman"/>
          <w:kern w:val="0"/>
        </w:rPr>
        <w:tab/>
        <w:t xml:space="preserve">Fawcett, T. An introduction to ROC analysis. </w:t>
      </w:r>
      <w:r w:rsidRPr="002518D9">
        <w:rPr>
          <w:rFonts w:cs="Times New Roman"/>
          <w:i/>
          <w:iCs/>
          <w:kern w:val="0"/>
        </w:rPr>
        <w:t>Pattern Recognit. Lett.</w:t>
      </w:r>
      <w:r w:rsidRPr="002518D9">
        <w:rPr>
          <w:rFonts w:cs="Times New Roman"/>
          <w:kern w:val="0"/>
        </w:rPr>
        <w:t xml:space="preserve"> </w:t>
      </w:r>
      <w:r w:rsidRPr="002518D9">
        <w:rPr>
          <w:rFonts w:cs="Times New Roman"/>
          <w:b/>
          <w:bCs/>
          <w:kern w:val="0"/>
        </w:rPr>
        <w:t>27</w:t>
      </w:r>
      <w:r w:rsidRPr="002518D9">
        <w:rPr>
          <w:rFonts w:cs="Times New Roman"/>
          <w:kern w:val="0"/>
        </w:rPr>
        <w:t>, 861–874 (2006).</w:t>
      </w:r>
    </w:p>
    <w:p w14:paraId="444C1C48" w14:textId="77777777" w:rsidR="00D740BA" w:rsidRPr="002518D9" w:rsidRDefault="00D740BA" w:rsidP="00D36B7E">
      <w:pPr>
        <w:pStyle w:val="Bibliography"/>
        <w:spacing w:line="240" w:lineRule="auto"/>
        <w:rPr>
          <w:rFonts w:cs="Times New Roman"/>
          <w:kern w:val="0"/>
        </w:rPr>
      </w:pPr>
      <w:r w:rsidRPr="002518D9">
        <w:rPr>
          <w:rFonts w:cs="Times New Roman"/>
          <w:kern w:val="0"/>
        </w:rPr>
        <w:t>22.</w:t>
      </w:r>
      <w:r w:rsidRPr="002518D9">
        <w:rPr>
          <w:rFonts w:cs="Times New Roman"/>
          <w:kern w:val="0"/>
        </w:rPr>
        <w:tab/>
        <w:t xml:space="preserve">Swinfield, T., Shrikanth, S., Bull, J. W., Madhavapeddy, A. &amp; zu Ermgassen, S. O. S. E. Nature-based credit markets at a crossroads. </w:t>
      </w:r>
      <w:r w:rsidRPr="002518D9">
        <w:rPr>
          <w:rFonts w:cs="Times New Roman"/>
          <w:i/>
          <w:iCs/>
          <w:kern w:val="0"/>
        </w:rPr>
        <w:t>Nat. Sustain.</w:t>
      </w:r>
      <w:r w:rsidRPr="002518D9">
        <w:rPr>
          <w:rFonts w:cs="Times New Roman"/>
          <w:kern w:val="0"/>
        </w:rPr>
        <w:t xml:space="preserve"> 1–4 (2024) doi:10.1038/s41893-024-01403-w.</w:t>
      </w:r>
    </w:p>
    <w:p w14:paraId="36E5DE62" w14:textId="77777777" w:rsidR="00D740BA" w:rsidRPr="002518D9" w:rsidRDefault="00D740BA" w:rsidP="00D36B7E">
      <w:pPr>
        <w:pStyle w:val="Bibliography"/>
        <w:spacing w:line="240" w:lineRule="auto"/>
        <w:rPr>
          <w:rFonts w:cs="Times New Roman"/>
          <w:kern w:val="0"/>
        </w:rPr>
      </w:pPr>
      <w:r w:rsidRPr="002518D9">
        <w:rPr>
          <w:rFonts w:cs="Times New Roman"/>
          <w:kern w:val="0"/>
        </w:rPr>
        <w:t>23.</w:t>
      </w:r>
      <w:r w:rsidRPr="002518D9">
        <w:rPr>
          <w:rFonts w:cs="Times New Roman"/>
          <w:kern w:val="0"/>
        </w:rPr>
        <w:tab/>
        <w:t>Groom, P. B. BenGroom/socialvalueofoffsets: The Social Value of Offsets. https://doi.org/10.5281/zenodo.7848893 (2023) doi:10.5281/zenodo.7848893.</w:t>
      </w:r>
    </w:p>
    <w:p w14:paraId="2B91227B" w14:textId="77777777" w:rsidR="00D740BA" w:rsidRPr="002518D9" w:rsidRDefault="00D740BA" w:rsidP="00D36B7E">
      <w:pPr>
        <w:pStyle w:val="Bibliography"/>
        <w:spacing w:line="240" w:lineRule="auto"/>
        <w:rPr>
          <w:rFonts w:cs="Times New Roman"/>
          <w:kern w:val="0"/>
        </w:rPr>
      </w:pPr>
      <w:r w:rsidRPr="002518D9">
        <w:rPr>
          <w:rFonts w:cs="Times New Roman"/>
          <w:kern w:val="0"/>
        </w:rPr>
        <w:t>24.</w:t>
      </w:r>
      <w:r w:rsidRPr="002518D9">
        <w:rPr>
          <w:rFonts w:cs="Times New Roman"/>
          <w:kern w:val="0"/>
        </w:rPr>
        <w:tab/>
        <w:t xml:space="preserve">Walker, W. S. </w:t>
      </w:r>
      <w:r w:rsidRPr="002518D9">
        <w:rPr>
          <w:rFonts w:cs="Times New Roman"/>
          <w:i/>
          <w:iCs/>
          <w:kern w:val="0"/>
        </w:rPr>
        <w:t>et al.</w:t>
      </w:r>
      <w:r w:rsidRPr="002518D9">
        <w:rPr>
          <w:rFonts w:cs="Times New Roman"/>
          <w:kern w:val="0"/>
        </w:rPr>
        <w:t xml:space="preserve"> The global potential for increased storage of carbon on land. </w:t>
      </w:r>
      <w:r w:rsidRPr="002518D9">
        <w:rPr>
          <w:rFonts w:cs="Times New Roman"/>
          <w:i/>
          <w:iCs/>
          <w:kern w:val="0"/>
        </w:rPr>
        <w:t>Proc. Natl. Acad. Sci.</w:t>
      </w:r>
      <w:r w:rsidRPr="002518D9">
        <w:rPr>
          <w:rFonts w:cs="Times New Roman"/>
          <w:kern w:val="0"/>
        </w:rPr>
        <w:t xml:space="preserve"> </w:t>
      </w:r>
      <w:r w:rsidRPr="002518D9">
        <w:rPr>
          <w:rFonts w:cs="Times New Roman"/>
          <w:b/>
          <w:bCs/>
          <w:kern w:val="0"/>
        </w:rPr>
        <w:t>119</w:t>
      </w:r>
      <w:r w:rsidRPr="002518D9">
        <w:rPr>
          <w:rFonts w:cs="Times New Roman"/>
          <w:kern w:val="0"/>
        </w:rPr>
        <w:t>, e2111312119 (2022).</w:t>
      </w:r>
    </w:p>
    <w:p w14:paraId="79E48A18" w14:textId="77777777" w:rsidR="00D740BA" w:rsidRPr="002518D9" w:rsidRDefault="00D740BA" w:rsidP="00D36B7E">
      <w:pPr>
        <w:pStyle w:val="Bibliography"/>
        <w:spacing w:line="240" w:lineRule="auto"/>
        <w:rPr>
          <w:rFonts w:cs="Times New Roman"/>
          <w:kern w:val="0"/>
        </w:rPr>
      </w:pPr>
      <w:r w:rsidRPr="002518D9">
        <w:rPr>
          <w:rFonts w:cs="Times New Roman"/>
          <w:kern w:val="0"/>
        </w:rPr>
        <w:t>25.</w:t>
      </w:r>
      <w:r w:rsidRPr="002518D9">
        <w:rPr>
          <w:rFonts w:cs="Times New Roman"/>
          <w:kern w:val="0"/>
        </w:rPr>
        <w:tab/>
        <w:t>USDA Foreign Agricultural Service. Beef and beef products: exports by country. (2025).</w:t>
      </w:r>
    </w:p>
    <w:p w14:paraId="4F92AA83" w14:textId="77777777" w:rsidR="00D740BA" w:rsidRPr="002518D9" w:rsidRDefault="00D740BA" w:rsidP="00D36B7E">
      <w:pPr>
        <w:pStyle w:val="Bibliography"/>
        <w:spacing w:line="240" w:lineRule="auto"/>
        <w:rPr>
          <w:rFonts w:cs="Times New Roman"/>
          <w:kern w:val="0"/>
        </w:rPr>
      </w:pPr>
      <w:r w:rsidRPr="002518D9">
        <w:rPr>
          <w:rFonts w:cs="Times New Roman"/>
          <w:kern w:val="0"/>
        </w:rPr>
        <w:t>26.</w:t>
      </w:r>
      <w:r w:rsidRPr="002518D9">
        <w:rPr>
          <w:rFonts w:cs="Times New Roman"/>
          <w:kern w:val="0"/>
        </w:rPr>
        <w:tab/>
        <w:t>Food and Agriculture Organization of the United Nations (FAO). GLW 4: Gridded Livestock Density (Global - 2020 - 10 km). (2025).</w:t>
      </w:r>
    </w:p>
    <w:p w14:paraId="48A43DBA" w14:textId="77777777" w:rsidR="00D740BA" w:rsidRPr="002518D9" w:rsidRDefault="00D740BA" w:rsidP="00D36B7E">
      <w:pPr>
        <w:pStyle w:val="Bibliography"/>
        <w:spacing w:line="240" w:lineRule="auto"/>
        <w:rPr>
          <w:rFonts w:cs="Times New Roman"/>
          <w:kern w:val="0"/>
        </w:rPr>
      </w:pPr>
      <w:r w:rsidRPr="002518D9">
        <w:rPr>
          <w:rFonts w:cs="Times New Roman"/>
          <w:kern w:val="0"/>
        </w:rPr>
        <w:t>27.</w:t>
      </w:r>
      <w:r w:rsidRPr="002518D9">
        <w:rPr>
          <w:rFonts w:cs="Times New Roman"/>
          <w:kern w:val="0"/>
        </w:rPr>
        <w:tab/>
        <w:t>Food and Agriculture Organization of the United Nations (FAO) – with major processing by Our World in Data. Beef and buffalo meat production. (2025).</w:t>
      </w:r>
    </w:p>
    <w:p w14:paraId="5FE0F61D" w14:textId="77777777" w:rsidR="00D740BA" w:rsidRPr="002518D9" w:rsidRDefault="00D740BA" w:rsidP="00D36B7E">
      <w:pPr>
        <w:pStyle w:val="Bibliography"/>
        <w:spacing w:line="240" w:lineRule="auto"/>
        <w:rPr>
          <w:rFonts w:cs="Times New Roman"/>
          <w:kern w:val="0"/>
        </w:rPr>
      </w:pPr>
      <w:r w:rsidRPr="002518D9">
        <w:rPr>
          <w:rFonts w:cs="Times New Roman"/>
          <w:kern w:val="0"/>
        </w:rPr>
        <w:t>28.</w:t>
      </w:r>
      <w:r w:rsidRPr="002518D9">
        <w:rPr>
          <w:rFonts w:cs="Times New Roman"/>
          <w:kern w:val="0"/>
        </w:rPr>
        <w:tab/>
        <w:t>Food and Agriculture Organization of the United Nations (FAO). FAOSTAT: Production – Livestock Primary (Beef production) &amp; Livestock (Herd size, cattle). (2025).</w:t>
      </w:r>
    </w:p>
    <w:p w14:paraId="544EA5CE" w14:textId="77777777" w:rsidR="00D740BA" w:rsidRPr="002518D9" w:rsidRDefault="00D740BA" w:rsidP="00D36B7E">
      <w:pPr>
        <w:pStyle w:val="Bibliography"/>
        <w:spacing w:line="240" w:lineRule="auto"/>
        <w:rPr>
          <w:rFonts w:cs="Times New Roman"/>
          <w:kern w:val="0"/>
        </w:rPr>
      </w:pPr>
      <w:r w:rsidRPr="002518D9">
        <w:rPr>
          <w:rFonts w:cs="Times New Roman"/>
          <w:kern w:val="0"/>
        </w:rPr>
        <w:t>29.</w:t>
      </w:r>
      <w:r w:rsidRPr="002518D9">
        <w:rPr>
          <w:rFonts w:cs="Times New Roman"/>
          <w:kern w:val="0"/>
        </w:rPr>
        <w:tab/>
        <w:t xml:space="preserve">Parente, L. </w:t>
      </w:r>
      <w:r w:rsidRPr="002518D9">
        <w:rPr>
          <w:rFonts w:cs="Times New Roman"/>
          <w:i/>
          <w:iCs/>
          <w:kern w:val="0"/>
        </w:rPr>
        <w:t>et al.</w:t>
      </w:r>
      <w:r w:rsidRPr="002518D9">
        <w:rPr>
          <w:rFonts w:cs="Times New Roman"/>
          <w:kern w:val="0"/>
        </w:rPr>
        <w:t xml:space="preserve"> Annual 30-m maps of global grassland class and extent (2000–2022) based on spatiotemporal Machine Learning. </w:t>
      </w:r>
      <w:r w:rsidRPr="002518D9">
        <w:rPr>
          <w:rFonts w:cs="Times New Roman"/>
          <w:i/>
          <w:iCs/>
          <w:kern w:val="0"/>
        </w:rPr>
        <w:t>Sci. Data</w:t>
      </w:r>
      <w:r w:rsidRPr="002518D9">
        <w:rPr>
          <w:rFonts w:cs="Times New Roman"/>
          <w:kern w:val="0"/>
        </w:rPr>
        <w:t xml:space="preserve"> </w:t>
      </w:r>
      <w:r w:rsidRPr="002518D9">
        <w:rPr>
          <w:rFonts w:cs="Times New Roman"/>
          <w:b/>
          <w:bCs/>
          <w:kern w:val="0"/>
        </w:rPr>
        <w:t>11</w:t>
      </w:r>
      <w:r w:rsidRPr="002518D9">
        <w:rPr>
          <w:rFonts w:cs="Times New Roman"/>
          <w:kern w:val="0"/>
        </w:rPr>
        <w:t>, 1303 (2024).</w:t>
      </w:r>
    </w:p>
    <w:p w14:paraId="683B9F8F" w14:textId="77777777" w:rsidR="00D740BA" w:rsidRPr="002518D9" w:rsidRDefault="00D740BA" w:rsidP="00D36B7E">
      <w:pPr>
        <w:pStyle w:val="Bibliography"/>
        <w:spacing w:line="240" w:lineRule="auto"/>
        <w:rPr>
          <w:rFonts w:cs="Times New Roman"/>
          <w:kern w:val="0"/>
        </w:rPr>
      </w:pPr>
      <w:r w:rsidRPr="002518D9">
        <w:rPr>
          <w:rFonts w:cs="Times New Roman"/>
          <w:kern w:val="0"/>
        </w:rPr>
        <w:t>30.</w:t>
      </w:r>
      <w:r w:rsidRPr="002518D9">
        <w:rPr>
          <w:rFonts w:cs="Times New Roman"/>
          <w:kern w:val="0"/>
        </w:rPr>
        <w:tab/>
        <w:t xml:space="preserve">Romanzini, E. P., Barbero, R. P., Reis, R. A., Hadley, D. &amp; Malheiros, E. B. Economic evaluation from beef cattle production industry with intensification in Brazil’s tropical pastures. </w:t>
      </w:r>
      <w:r w:rsidRPr="002518D9">
        <w:rPr>
          <w:rFonts w:cs="Times New Roman"/>
          <w:i/>
          <w:iCs/>
          <w:kern w:val="0"/>
        </w:rPr>
        <w:t>Trop. Anim. Health Prod.</w:t>
      </w:r>
      <w:r w:rsidRPr="002518D9">
        <w:rPr>
          <w:rFonts w:cs="Times New Roman"/>
          <w:kern w:val="0"/>
        </w:rPr>
        <w:t xml:space="preserve"> </w:t>
      </w:r>
      <w:r w:rsidRPr="002518D9">
        <w:rPr>
          <w:rFonts w:cs="Times New Roman"/>
          <w:b/>
          <w:bCs/>
          <w:kern w:val="0"/>
        </w:rPr>
        <w:t>52</w:t>
      </w:r>
      <w:r w:rsidRPr="002518D9">
        <w:rPr>
          <w:rFonts w:cs="Times New Roman"/>
          <w:kern w:val="0"/>
        </w:rPr>
        <w:t>, 2659–2666 (2020).</w:t>
      </w:r>
    </w:p>
    <w:p w14:paraId="526514FA" w14:textId="77777777" w:rsidR="00D740BA" w:rsidRPr="002518D9" w:rsidRDefault="00D740BA" w:rsidP="00D36B7E">
      <w:pPr>
        <w:pStyle w:val="Bibliography"/>
        <w:spacing w:line="240" w:lineRule="auto"/>
        <w:rPr>
          <w:rFonts w:cs="Times New Roman"/>
          <w:kern w:val="0"/>
        </w:rPr>
      </w:pPr>
      <w:r w:rsidRPr="002518D9">
        <w:rPr>
          <w:rFonts w:cs="Times New Roman"/>
          <w:kern w:val="0"/>
        </w:rPr>
        <w:t>31.</w:t>
      </w:r>
      <w:r w:rsidRPr="002518D9">
        <w:rPr>
          <w:rFonts w:cs="Times New Roman"/>
          <w:kern w:val="0"/>
        </w:rPr>
        <w:tab/>
        <w:t xml:space="preserve">Poorter, L. </w:t>
      </w:r>
      <w:r w:rsidRPr="002518D9">
        <w:rPr>
          <w:rFonts w:cs="Times New Roman"/>
          <w:i/>
          <w:iCs/>
          <w:kern w:val="0"/>
        </w:rPr>
        <w:t>et al.</w:t>
      </w:r>
      <w:r w:rsidRPr="002518D9">
        <w:rPr>
          <w:rFonts w:cs="Times New Roman"/>
          <w:kern w:val="0"/>
        </w:rPr>
        <w:t xml:space="preserve"> Biomass resilience of Neotropical secondary forests. </w:t>
      </w:r>
      <w:r w:rsidRPr="002518D9">
        <w:rPr>
          <w:rFonts w:cs="Times New Roman"/>
          <w:i/>
          <w:iCs/>
          <w:kern w:val="0"/>
        </w:rPr>
        <w:t>Nature</w:t>
      </w:r>
      <w:r w:rsidRPr="002518D9">
        <w:rPr>
          <w:rFonts w:cs="Times New Roman"/>
          <w:kern w:val="0"/>
        </w:rPr>
        <w:t xml:space="preserve"> </w:t>
      </w:r>
      <w:r w:rsidRPr="002518D9">
        <w:rPr>
          <w:rFonts w:cs="Times New Roman"/>
          <w:b/>
          <w:bCs/>
          <w:kern w:val="0"/>
        </w:rPr>
        <w:t>530</w:t>
      </w:r>
      <w:r w:rsidRPr="002518D9">
        <w:rPr>
          <w:rFonts w:cs="Times New Roman"/>
          <w:kern w:val="0"/>
        </w:rPr>
        <w:t>, 211–214 (2016).</w:t>
      </w:r>
    </w:p>
    <w:p w14:paraId="0AE2A778" w14:textId="77777777" w:rsidR="00D740BA" w:rsidRPr="002518D9" w:rsidRDefault="00D740BA" w:rsidP="00D36B7E">
      <w:pPr>
        <w:pStyle w:val="Bibliography"/>
        <w:spacing w:line="240" w:lineRule="auto"/>
        <w:rPr>
          <w:rFonts w:cs="Times New Roman"/>
          <w:kern w:val="0"/>
        </w:rPr>
      </w:pPr>
      <w:r w:rsidRPr="002518D9">
        <w:rPr>
          <w:rFonts w:cs="Times New Roman"/>
          <w:kern w:val="0"/>
        </w:rPr>
        <w:t>32.</w:t>
      </w:r>
      <w:r w:rsidRPr="002518D9">
        <w:rPr>
          <w:rFonts w:cs="Times New Roman"/>
          <w:kern w:val="0"/>
        </w:rPr>
        <w:tab/>
        <w:t xml:space="preserve">Brancalion, P. H. S. </w:t>
      </w:r>
      <w:r w:rsidRPr="002518D9">
        <w:rPr>
          <w:rFonts w:cs="Times New Roman"/>
          <w:i/>
          <w:iCs/>
          <w:kern w:val="0"/>
        </w:rPr>
        <w:t>et al.</w:t>
      </w:r>
      <w:r w:rsidRPr="002518D9">
        <w:rPr>
          <w:rFonts w:cs="Times New Roman"/>
          <w:kern w:val="0"/>
        </w:rPr>
        <w:t xml:space="preserve"> The cost of restoring carbon stocks in Brazil’s Atlantic Forest. </w:t>
      </w:r>
      <w:r w:rsidRPr="002518D9">
        <w:rPr>
          <w:rFonts w:cs="Times New Roman"/>
          <w:i/>
          <w:iCs/>
          <w:kern w:val="0"/>
        </w:rPr>
        <w:t>Land Degrad. Dev.</w:t>
      </w:r>
      <w:r w:rsidRPr="002518D9">
        <w:rPr>
          <w:rFonts w:cs="Times New Roman"/>
          <w:kern w:val="0"/>
        </w:rPr>
        <w:t xml:space="preserve"> </w:t>
      </w:r>
      <w:r w:rsidRPr="002518D9">
        <w:rPr>
          <w:rFonts w:cs="Times New Roman"/>
          <w:b/>
          <w:bCs/>
          <w:kern w:val="0"/>
        </w:rPr>
        <w:t>32</w:t>
      </w:r>
      <w:r w:rsidRPr="002518D9">
        <w:rPr>
          <w:rFonts w:cs="Times New Roman"/>
          <w:kern w:val="0"/>
        </w:rPr>
        <w:t>, 830–841 (2021).</w:t>
      </w:r>
    </w:p>
    <w:p w14:paraId="343F689B" w14:textId="77777777" w:rsidR="00D740BA" w:rsidRPr="002518D9" w:rsidRDefault="00D740BA" w:rsidP="00D36B7E">
      <w:pPr>
        <w:pStyle w:val="Bibliography"/>
        <w:spacing w:line="240" w:lineRule="auto"/>
        <w:rPr>
          <w:rFonts w:cs="Times New Roman"/>
          <w:kern w:val="0"/>
        </w:rPr>
      </w:pPr>
      <w:r w:rsidRPr="002518D9">
        <w:rPr>
          <w:rFonts w:cs="Times New Roman"/>
          <w:kern w:val="0"/>
        </w:rPr>
        <w:t>33.</w:t>
      </w:r>
      <w:r w:rsidRPr="002518D9">
        <w:rPr>
          <w:rFonts w:cs="Times New Roman"/>
          <w:kern w:val="0"/>
        </w:rPr>
        <w:tab/>
        <w:t xml:space="preserve">Busch, J. </w:t>
      </w:r>
      <w:r w:rsidRPr="002518D9">
        <w:rPr>
          <w:rFonts w:cs="Times New Roman"/>
          <w:i/>
          <w:iCs/>
          <w:kern w:val="0"/>
        </w:rPr>
        <w:t>et al.</w:t>
      </w:r>
      <w:r w:rsidRPr="002518D9">
        <w:rPr>
          <w:rFonts w:cs="Times New Roman"/>
          <w:kern w:val="0"/>
        </w:rPr>
        <w:t xml:space="preserve"> Cost-effectiveness of natural forest regeneration and plantations for climate mitigation. </w:t>
      </w:r>
      <w:r w:rsidRPr="002518D9">
        <w:rPr>
          <w:rFonts w:cs="Times New Roman"/>
          <w:i/>
          <w:iCs/>
          <w:kern w:val="0"/>
        </w:rPr>
        <w:t>Nat. Clim. Change</w:t>
      </w:r>
      <w:r w:rsidRPr="002518D9">
        <w:rPr>
          <w:rFonts w:cs="Times New Roman"/>
          <w:kern w:val="0"/>
        </w:rPr>
        <w:t xml:space="preserve"> 1–7 (2024) doi:10.1038/s41558-024-02068-1.</w:t>
      </w:r>
    </w:p>
    <w:p w14:paraId="7F9CDD1E" w14:textId="77777777" w:rsidR="00D740BA" w:rsidRPr="002518D9" w:rsidRDefault="00D740BA" w:rsidP="00D36B7E">
      <w:pPr>
        <w:pStyle w:val="Bibliography"/>
        <w:spacing w:line="240" w:lineRule="auto"/>
        <w:rPr>
          <w:rFonts w:cs="Times New Roman"/>
          <w:kern w:val="0"/>
        </w:rPr>
      </w:pPr>
      <w:r w:rsidRPr="002518D9">
        <w:rPr>
          <w:rFonts w:cs="Times New Roman"/>
          <w:kern w:val="0"/>
        </w:rPr>
        <w:t>34.</w:t>
      </w:r>
      <w:r w:rsidRPr="002518D9">
        <w:rPr>
          <w:rFonts w:cs="Times New Roman"/>
          <w:kern w:val="0"/>
        </w:rPr>
        <w:tab/>
        <w:t xml:space="preserve">Austin, K. G. </w:t>
      </w:r>
      <w:r w:rsidRPr="002518D9">
        <w:rPr>
          <w:rFonts w:cs="Times New Roman"/>
          <w:i/>
          <w:iCs/>
          <w:kern w:val="0"/>
        </w:rPr>
        <w:t>et al.</w:t>
      </w:r>
      <w:r w:rsidRPr="002518D9">
        <w:rPr>
          <w:rFonts w:cs="Times New Roman"/>
          <w:kern w:val="0"/>
        </w:rPr>
        <w:t xml:space="preserve"> The economic costs of planting, preserving, and managing the world’s forests to mitigate climate change. </w:t>
      </w:r>
      <w:r w:rsidRPr="002518D9">
        <w:rPr>
          <w:rFonts w:cs="Times New Roman"/>
          <w:i/>
          <w:iCs/>
          <w:kern w:val="0"/>
        </w:rPr>
        <w:t>Nat. Commun.</w:t>
      </w:r>
      <w:r w:rsidRPr="002518D9">
        <w:rPr>
          <w:rFonts w:cs="Times New Roman"/>
          <w:kern w:val="0"/>
        </w:rPr>
        <w:t xml:space="preserve"> </w:t>
      </w:r>
      <w:r w:rsidRPr="002518D9">
        <w:rPr>
          <w:rFonts w:cs="Times New Roman"/>
          <w:b/>
          <w:bCs/>
          <w:kern w:val="0"/>
        </w:rPr>
        <w:t>11</w:t>
      </w:r>
      <w:r w:rsidRPr="002518D9">
        <w:rPr>
          <w:rFonts w:cs="Times New Roman"/>
          <w:kern w:val="0"/>
        </w:rPr>
        <w:t>, 5946 (2020).</w:t>
      </w:r>
    </w:p>
    <w:p w14:paraId="72D3D31D" w14:textId="6E72D55C" w:rsidR="0056268A" w:rsidRPr="002518D9" w:rsidRDefault="009B1689" w:rsidP="00D36B7E">
      <w:pPr>
        <w:pStyle w:val="Bibliography"/>
        <w:spacing w:line="240" w:lineRule="auto"/>
        <w:ind w:left="266" w:hanging="266"/>
      </w:pPr>
      <w:r w:rsidRPr="002518D9">
        <w:fldChar w:fldCharType="end"/>
      </w:r>
    </w:p>
    <w:sectPr w:rsidR="0056268A" w:rsidRPr="002518D9" w:rsidSect="00C40A50">
      <w:footerReference w:type="default" r:id="rId18"/>
      <w:pgSz w:w="11906" w:h="16838"/>
      <w:pgMar w:top="1440" w:right="1440" w:bottom="1440" w:left="1440"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D4DDC8" w14:textId="77777777" w:rsidR="005766E0" w:rsidRDefault="005766E0" w:rsidP="002E0395">
      <w:pPr>
        <w:spacing w:after="0" w:line="240" w:lineRule="auto"/>
      </w:pPr>
      <w:r>
        <w:separator/>
      </w:r>
    </w:p>
  </w:endnote>
  <w:endnote w:type="continuationSeparator" w:id="0">
    <w:p w14:paraId="7DB4E4DE" w14:textId="77777777" w:rsidR="005766E0" w:rsidRDefault="005766E0" w:rsidP="002E03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5533198"/>
      <w:docPartObj>
        <w:docPartGallery w:val="Page Numbers (Bottom of Page)"/>
        <w:docPartUnique/>
      </w:docPartObj>
    </w:sdtPr>
    <w:sdtEndPr/>
    <w:sdtContent>
      <w:p w14:paraId="6198DC5E" w14:textId="24A95836" w:rsidR="002E0395" w:rsidRDefault="002E0395">
        <w:pPr>
          <w:pStyle w:val="Footer"/>
          <w:jc w:val="right"/>
        </w:pPr>
        <w:r>
          <w:fldChar w:fldCharType="begin"/>
        </w:r>
        <w:r>
          <w:instrText>PAGE   \* MERGEFORMAT</w:instrText>
        </w:r>
        <w:r>
          <w:fldChar w:fldCharType="separate"/>
        </w:r>
        <w:r>
          <w:t>2</w:t>
        </w:r>
        <w:r>
          <w:fldChar w:fldCharType="end"/>
        </w:r>
      </w:p>
    </w:sdtContent>
  </w:sdt>
  <w:p w14:paraId="6331C184" w14:textId="77777777" w:rsidR="002E0395" w:rsidRDefault="002E03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21B20F" w14:textId="77777777" w:rsidR="005766E0" w:rsidRDefault="005766E0" w:rsidP="002E0395">
      <w:pPr>
        <w:spacing w:after="0" w:line="240" w:lineRule="auto"/>
      </w:pPr>
      <w:r>
        <w:separator/>
      </w:r>
    </w:p>
  </w:footnote>
  <w:footnote w:type="continuationSeparator" w:id="0">
    <w:p w14:paraId="7C05EA15" w14:textId="77777777" w:rsidR="005766E0" w:rsidRDefault="005766E0" w:rsidP="002E03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13002"/>
    <w:multiLevelType w:val="hybridMultilevel"/>
    <w:tmpl w:val="073CFAB0"/>
    <w:lvl w:ilvl="0" w:tplc="ECA4F5E2">
      <w:start w:val="1"/>
      <w:numFmt w:val="lowerLetter"/>
      <w:lvlText w:val="%1."/>
      <w:lvlJc w:val="left"/>
      <w:pPr>
        <w:ind w:left="1840" w:hanging="360"/>
      </w:pPr>
    </w:lvl>
    <w:lvl w:ilvl="1" w:tplc="9D068A02">
      <w:start w:val="1"/>
      <w:numFmt w:val="lowerLetter"/>
      <w:lvlText w:val="%2."/>
      <w:lvlJc w:val="left"/>
      <w:pPr>
        <w:ind w:left="1840" w:hanging="360"/>
      </w:pPr>
    </w:lvl>
    <w:lvl w:ilvl="2" w:tplc="EB4C5A22">
      <w:start w:val="1"/>
      <w:numFmt w:val="lowerLetter"/>
      <w:lvlText w:val="%3."/>
      <w:lvlJc w:val="left"/>
      <w:pPr>
        <w:ind w:left="1840" w:hanging="360"/>
      </w:pPr>
    </w:lvl>
    <w:lvl w:ilvl="3" w:tplc="526C7120">
      <w:start w:val="1"/>
      <w:numFmt w:val="lowerLetter"/>
      <w:lvlText w:val="%4."/>
      <w:lvlJc w:val="left"/>
      <w:pPr>
        <w:ind w:left="1840" w:hanging="360"/>
      </w:pPr>
    </w:lvl>
    <w:lvl w:ilvl="4" w:tplc="477E3796">
      <w:start w:val="1"/>
      <w:numFmt w:val="lowerLetter"/>
      <w:lvlText w:val="%5."/>
      <w:lvlJc w:val="left"/>
      <w:pPr>
        <w:ind w:left="1840" w:hanging="360"/>
      </w:pPr>
    </w:lvl>
    <w:lvl w:ilvl="5" w:tplc="01EAE3B0">
      <w:start w:val="1"/>
      <w:numFmt w:val="lowerLetter"/>
      <w:lvlText w:val="%6."/>
      <w:lvlJc w:val="left"/>
      <w:pPr>
        <w:ind w:left="1840" w:hanging="360"/>
      </w:pPr>
    </w:lvl>
    <w:lvl w:ilvl="6" w:tplc="52E0CC4E">
      <w:start w:val="1"/>
      <w:numFmt w:val="lowerLetter"/>
      <w:lvlText w:val="%7."/>
      <w:lvlJc w:val="left"/>
      <w:pPr>
        <w:ind w:left="1840" w:hanging="360"/>
      </w:pPr>
    </w:lvl>
    <w:lvl w:ilvl="7" w:tplc="81FC3674">
      <w:start w:val="1"/>
      <w:numFmt w:val="lowerLetter"/>
      <w:lvlText w:val="%8."/>
      <w:lvlJc w:val="left"/>
      <w:pPr>
        <w:ind w:left="1840" w:hanging="360"/>
      </w:pPr>
    </w:lvl>
    <w:lvl w:ilvl="8" w:tplc="6E7CE4FA">
      <w:start w:val="1"/>
      <w:numFmt w:val="lowerLetter"/>
      <w:lvlText w:val="%9."/>
      <w:lvlJc w:val="left"/>
      <w:pPr>
        <w:ind w:left="1840" w:hanging="360"/>
      </w:pPr>
    </w:lvl>
  </w:abstractNum>
  <w:abstractNum w:abstractNumId="1" w15:restartNumberingAfterBreak="0">
    <w:nsid w:val="65E371C9"/>
    <w:multiLevelType w:val="hybridMultilevel"/>
    <w:tmpl w:val="1A14C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B987DD8"/>
    <w:multiLevelType w:val="hybridMultilevel"/>
    <w:tmpl w:val="36A6C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39725163">
    <w:abstractNumId w:val="1"/>
  </w:num>
  <w:num w:numId="2" w16cid:durableId="204028100">
    <w:abstractNumId w:val="2"/>
  </w:num>
  <w:num w:numId="3" w16cid:durableId="17195484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67EF"/>
    <w:rsid w:val="0000024E"/>
    <w:rsid w:val="000005E3"/>
    <w:rsid w:val="00001344"/>
    <w:rsid w:val="00001694"/>
    <w:rsid w:val="00001DB9"/>
    <w:rsid w:val="000038C4"/>
    <w:rsid w:val="00005187"/>
    <w:rsid w:val="00005ACB"/>
    <w:rsid w:val="00007A92"/>
    <w:rsid w:val="00007DC9"/>
    <w:rsid w:val="00007F00"/>
    <w:rsid w:val="000109C8"/>
    <w:rsid w:val="00010F5F"/>
    <w:rsid w:val="00015529"/>
    <w:rsid w:val="00015668"/>
    <w:rsid w:val="000161DE"/>
    <w:rsid w:val="0001645F"/>
    <w:rsid w:val="00016F95"/>
    <w:rsid w:val="0002106D"/>
    <w:rsid w:val="00021B89"/>
    <w:rsid w:val="000220D0"/>
    <w:rsid w:val="00023AF3"/>
    <w:rsid w:val="00024312"/>
    <w:rsid w:val="000260F9"/>
    <w:rsid w:val="00026DE0"/>
    <w:rsid w:val="00030BA1"/>
    <w:rsid w:val="000333BE"/>
    <w:rsid w:val="00034903"/>
    <w:rsid w:val="00037084"/>
    <w:rsid w:val="00037C3B"/>
    <w:rsid w:val="000400D5"/>
    <w:rsid w:val="0004029C"/>
    <w:rsid w:val="00040345"/>
    <w:rsid w:val="0004050C"/>
    <w:rsid w:val="000409D1"/>
    <w:rsid w:val="000415F7"/>
    <w:rsid w:val="000417BC"/>
    <w:rsid w:val="000417FD"/>
    <w:rsid w:val="000430F8"/>
    <w:rsid w:val="00045121"/>
    <w:rsid w:val="00045269"/>
    <w:rsid w:val="00045ECF"/>
    <w:rsid w:val="00047951"/>
    <w:rsid w:val="00047A6D"/>
    <w:rsid w:val="00050077"/>
    <w:rsid w:val="0005288A"/>
    <w:rsid w:val="00052D3E"/>
    <w:rsid w:val="00052E41"/>
    <w:rsid w:val="0005595F"/>
    <w:rsid w:val="00055BF3"/>
    <w:rsid w:val="0005675B"/>
    <w:rsid w:val="00056B0C"/>
    <w:rsid w:val="00056F3A"/>
    <w:rsid w:val="00060308"/>
    <w:rsid w:val="000607F3"/>
    <w:rsid w:val="00060BAC"/>
    <w:rsid w:val="00063082"/>
    <w:rsid w:val="000633B2"/>
    <w:rsid w:val="00065D82"/>
    <w:rsid w:val="00067DB3"/>
    <w:rsid w:val="00070760"/>
    <w:rsid w:val="00071A0B"/>
    <w:rsid w:val="00071A89"/>
    <w:rsid w:val="00072193"/>
    <w:rsid w:val="00073251"/>
    <w:rsid w:val="00073267"/>
    <w:rsid w:val="00074810"/>
    <w:rsid w:val="00075017"/>
    <w:rsid w:val="000755D1"/>
    <w:rsid w:val="0007605C"/>
    <w:rsid w:val="000774E0"/>
    <w:rsid w:val="000778C2"/>
    <w:rsid w:val="00083596"/>
    <w:rsid w:val="00083AB0"/>
    <w:rsid w:val="000866E7"/>
    <w:rsid w:val="00090626"/>
    <w:rsid w:val="00090E93"/>
    <w:rsid w:val="00091EEA"/>
    <w:rsid w:val="00092191"/>
    <w:rsid w:val="00092A8E"/>
    <w:rsid w:val="00092CED"/>
    <w:rsid w:val="00092F4C"/>
    <w:rsid w:val="00093BCD"/>
    <w:rsid w:val="0009495A"/>
    <w:rsid w:val="000960A0"/>
    <w:rsid w:val="00096591"/>
    <w:rsid w:val="00096AFC"/>
    <w:rsid w:val="000975FE"/>
    <w:rsid w:val="000978E5"/>
    <w:rsid w:val="000A0D31"/>
    <w:rsid w:val="000A1707"/>
    <w:rsid w:val="000A1985"/>
    <w:rsid w:val="000A2986"/>
    <w:rsid w:val="000A35A1"/>
    <w:rsid w:val="000A3D1D"/>
    <w:rsid w:val="000A3F5E"/>
    <w:rsid w:val="000A4866"/>
    <w:rsid w:val="000A54F0"/>
    <w:rsid w:val="000A5BF2"/>
    <w:rsid w:val="000A6387"/>
    <w:rsid w:val="000A6564"/>
    <w:rsid w:val="000A6D9B"/>
    <w:rsid w:val="000A7210"/>
    <w:rsid w:val="000B08E4"/>
    <w:rsid w:val="000B0FEA"/>
    <w:rsid w:val="000B1046"/>
    <w:rsid w:val="000B22C8"/>
    <w:rsid w:val="000B2EC5"/>
    <w:rsid w:val="000B2F83"/>
    <w:rsid w:val="000B33BB"/>
    <w:rsid w:val="000B3A1F"/>
    <w:rsid w:val="000B625A"/>
    <w:rsid w:val="000B748C"/>
    <w:rsid w:val="000C0625"/>
    <w:rsid w:val="000C16FD"/>
    <w:rsid w:val="000C240A"/>
    <w:rsid w:val="000C2C66"/>
    <w:rsid w:val="000C3F5A"/>
    <w:rsid w:val="000D19C8"/>
    <w:rsid w:val="000D1CDF"/>
    <w:rsid w:val="000D2E69"/>
    <w:rsid w:val="000D618D"/>
    <w:rsid w:val="000D767C"/>
    <w:rsid w:val="000E0640"/>
    <w:rsid w:val="000E07C4"/>
    <w:rsid w:val="000E09DF"/>
    <w:rsid w:val="000E0FBF"/>
    <w:rsid w:val="000E14D2"/>
    <w:rsid w:val="000E16F8"/>
    <w:rsid w:val="000E1DA1"/>
    <w:rsid w:val="000E1E33"/>
    <w:rsid w:val="000E29B1"/>
    <w:rsid w:val="000E2C97"/>
    <w:rsid w:val="000E2EDD"/>
    <w:rsid w:val="000E3837"/>
    <w:rsid w:val="000E3B7D"/>
    <w:rsid w:val="000E5086"/>
    <w:rsid w:val="000E57FF"/>
    <w:rsid w:val="000E6B72"/>
    <w:rsid w:val="000E6F2C"/>
    <w:rsid w:val="000E7701"/>
    <w:rsid w:val="000E79F3"/>
    <w:rsid w:val="000F22CA"/>
    <w:rsid w:val="000F25A5"/>
    <w:rsid w:val="000F2F13"/>
    <w:rsid w:val="000F3AA7"/>
    <w:rsid w:val="000F42A9"/>
    <w:rsid w:val="000F4C67"/>
    <w:rsid w:val="000F51E2"/>
    <w:rsid w:val="000F5634"/>
    <w:rsid w:val="000F5E22"/>
    <w:rsid w:val="000F6454"/>
    <w:rsid w:val="000F7255"/>
    <w:rsid w:val="000F778F"/>
    <w:rsid w:val="000F7903"/>
    <w:rsid w:val="00100313"/>
    <w:rsid w:val="001017C3"/>
    <w:rsid w:val="00102200"/>
    <w:rsid w:val="00102784"/>
    <w:rsid w:val="00102B79"/>
    <w:rsid w:val="00102BA2"/>
    <w:rsid w:val="001044EC"/>
    <w:rsid w:val="00105B22"/>
    <w:rsid w:val="00107A6B"/>
    <w:rsid w:val="00110225"/>
    <w:rsid w:val="0011189D"/>
    <w:rsid w:val="001121AE"/>
    <w:rsid w:val="0011285B"/>
    <w:rsid w:val="00112E0F"/>
    <w:rsid w:val="001136D1"/>
    <w:rsid w:val="00117E06"/>
    <w:rsid w:val="00122DEC"/>
    <w:rsid w:val="001230F6"/>
    <w:rsid w:val="001231D5"/>
    <w:rsid w:val="00123A12"/>
    <w:rsid w:val="00123A37"/>
    <w:rsid w:val="0012465B"/>
    <w:rsid w:val="00124E0B"/>
    <w:rsid w:val="00125472"/>
    <w:rsid w:val="00126099"/>
    <w:rsid w:val="001262CC"/>
    <w:rsid w:val="00126A55"/>
    <w:rsid w:val="00130E34"/>
    <w:rsid w:val="0013235B"/>
    <w:rsid w:val="00132382"/>
    <w:rsid w:val="00132729"/>
    <w:rsid w:val="00132AA2"/>
    <w:rsid w:val="00134BD7"/>
    <w:rsid w:val="001354BB"/>
    <w:rsid w:val="00135E05"/>
    <w:rsid w:val="00136087"/>
    <w:rsid w:val="0013614B"/>
    <w:rsid w:val="00136885"/>
    <w:rsid w:val="0014045C"/>
    <w:rsid w:val="00140782"/>
    <w:rsid w:val="0014100C"/>
    <w:rsid w:val="0014198A"/>
    <w:rsid w:val="00141DFD"/>
    <w:rsid w:val="00142615"/>
    <w:rsid w:val="00142C0B"/>
    <w:rsid w:val="00142E93"/>
    <w:rsid w:val="00143C7F"/>
    <w:rsid w:val="001446E3"/>
    <w:rsid w:val="00145CF8"/>
    <w:rsid w:val="001465E1"/>
    <w:rsid w:val="00147497"/>
    <w:rsid w:val="00150032"/>
    <w:rsid w:val="001509AC"/>
    <w:rsid w:val="00150DA5"/>
    <w:rsid w:val="00151843"/>
    <w:rsid w:val="001522D6"/>
    <w:rsid w:val="00152973"/>
    <w:rsid w:val="00152DCB"/>
    <w:rsid w:val="00153169"/>
    <w:rsid w:val="00154A27"/>
    <w:rsid w:val="0015504E"/>
    <w:rsid w:val="00156183"/>
    <w:rsid w:val="001562AE"/>
    <w:rsid w:val="00156D24"/>
    <w:rsid w:val="001601B1"/>
    <w:rsid w:val="00160CFC"/>
    <w:rsid w:val="0016190A"/>
    <w:rsid w:val="00162239"/>
    <w:rsid w:val="001624EE"/>
    <w:rsid w:val="00164DD7"/>
    <w:rsid w:val="001652A7"/>
    <w:rsid w:val="001652CD"/>
    <w:rsid w:val="001657D2"/>
    <w:rsid w:val="00165FB8"/>
    <w:rsid w:val="001661C9"/>
    <w:rsid w:val="001707E1"/>
    <w:rsid w:val="00170B84"/>
    <w:rsid w:val="001717C2"/>
    <w:rsid w:val="00171B84"/>
    <w:rsid w:val="0017229B"/>
    <w:rsid w:val="00172A02"/>
    <w:rsid w:val="00174A63"/>
    <w:rsid w:val="00175B5B"/>
    <w:rsid w:val="00175E70"/>
    <w:rsid w:val="00176606"/>
    <w:rsid w:val="00177B00"/>
    <w:rsid w:val="00180E45"/>
    <w:rsid w:val="00182BB5"/>
    <w:rsid w:val="00183187"/>
    <w:rsid w:val="001842CE"/>
    <w:rsid w:val="00184977"/>
    <w:rsid w:val="00186F9C"/>
    <w:rsid w:val="00187489"/>
    <w:rsid w:val="001926C9"/>
    <w:rsid w:val="0019296E"/>
    <w:rsid w:val="00192A22"/>
    <w:rsid w:val="00192BED"/>
    <w:rsid w:val="001938D5"/>
    <w:rsid w:val="001949A1"/>
    <w:rsid w:val="00195377"/>
    <w:rsid w:val="001966DD"/>
    <w:rsid w:val="001A0A07"/>
    <w:rsid w:val="001A0E33"/>
    <w:rsid w:val="001A15DC"/>
    <w:rsid w:val="001A2985"/>
    <w:rsid w:val="001A41EA"/>
    <w:rsid w:val="001A60F4"/>
    <w:rsid w:val="001B0606"/>
    <w:rsid w:val="001B0F38"/>
    <w:rsid w:val="001B2FAD"/>
    <w:rsid w:val="001B7101"/>
    <w:rsid w:val="001B730B"/>
    <w:rsid w:val="001B774E"/>
    <w:rsid w:val="001B7C67"/>
    <w:rsid w:val="001C13DC"/>
    <w:rsid w:val="001C1665"/>
    <w:rsid w:val="001C2EE7"/>
    <w:rsid w:val="001C42B1"/>
    <w:rsid w:val="001C48FF"/>
    <w:rsid w:val="001C5BA4"/>
    <w:rsid w:val="001C6639"/>
    <w:rsid w:val="001C7275"/>
    <w:rsid w:val="001C7E2F"/>
    <w:rsid w:val="001D042F"/>
    <w:rsid w:val="001D0ACB"/>
    <w:rsid w:val="001D33B5"/>
    <w:rsid w:val="001D46B3"/>
    <w:rsid w:val="001D4F7D"/>
    <w:rsid w:val="001D5089"/>
    <w:rsid w:val="001D56A1"/>
    <w:rsid w:val="001D587F"/>
    <w:rsid w:val="001D7EB1"/>
    <w:rsid w:val="001E086C"/>
    <w:rsid w:val="001E11AC"/>
    <w:rsid w:val="001E1390"/>
    <w:rsid w:val="001E1720"/>
    <w:rsid w:val="001E1CF6"/>
    <w:rsid w:val="001E3F2F"/>
    <w:rsid w:val="001E43E4"/>
    <w:rsid w:val="001E5AC0"/>
    <w:rsid w:val="001F0515"/>
    <w:rsid w:val="001F05A4"/>
    <w:rsid w:val="001F345D"/>
    <w:rsid w:val="001F39C1"/>
    <w:rsid w:val="001F3AFF"/>
    <w:rsid w:val="001F3EE4"/>
    <w:rsid w:val="001F442C"/>
    <w:rsid w:val="001F45A5"/>
    <w:rsid w:val="001F47B4"/>
    <w:rsid w:val="001F66FE"/>
    <w:rsid w:val="001F7512"/>
    <w:rsid w:val="001F786C"/>
    <w:rsid w:val="002010C0"/>
    <w:rsid w:val="0020177B"/>
    <w:rsid w:val="00201B18"/>
    <w:rsid w:val="00201D85"/>
    <w:rsid w:val="0020274D"/>
    <w:rsid w:val="002027CF"/>
    <w:rsid w:val="002057D1"/>
    <w:rsid w:val="00205E95"/>
    <w:rsid w:val="00206228"/>
    <w:rsid w:val="0020645B"/>
    <w:rsid w:val="00206617"/>
    <w:rsid w:val="0020720A"/>
    <w:rsid w:val="00210346"/>
    <w:rsid w:val="0021045A"/>
    <w:rsid w:val="00210AF7"/>
    <w:rsid w:val="0021104D"/>
    <w:rsid w:val="00212971"/>
    <w:rsid w:val="00213B51"/>
    <w:rsid w:val="00220258"/>
    <w:rsid w:val="00220B09"/>
    <w:rsid w:val="00221744"/>
    <w:rsid w:val="00221984"/>
    <w:rsid w:val="00222B12"/>
    <w:rsid w:val="00222DC3"/>
    <w:rsid w:val="002251CA"/>
    <w:rsid w:val="002279B5"/>
    <w:rsid w:val="00230758"/>
    <w:rsid w:val="00230855"/>
    <w:rsid w:val="00230F3C"/>
    <w:rsid w:val="00231D9F"/>
    <w:rsid w:val="002326E3"/>
    <w:rsid w:val="002352CC"/>
    <w:rsid w:val="0023564F"/>
    <w:rsid w:val="00235C5B"/>
    <w:rsid w:val="002371FA"/>
    <w:rsid w:val="002373B6"/>
    <w:rsid w:val="002419FC"/>
    <w:rsid w:val="00241DC8"/>
    <w:rsid w:val="00242CD1"/>
    <w:rsid w:val="00244264"/>
    <w:rsid w:val="00244540"/>
    <w:rsid w:val="00244CB4"/>
    <w:rsid w:val="00245AC3"/>
    <w:rsid w:val="0024761C"/>
    <w:rsid w:val="00250303"/>
    <w:rsid w:val="00250D82"/>
    <w:rsid w:val="002512BD"/>
    <w:rsid w:val="002514BB"/>
    <w:rsid w:val="002514C3"/>
    <w:rsid w:val="002518D9"/>
    <w:rsid w:val="00251C5D"/>
    <w:rsid w:val="00251DB1"/>
    <w:rsid w:val="00252B49"/>
    <w:rsid w:val="00253402"/>
    <w:rsid w:val="002540EA"/>
    <w:rsid w:val="00254274"/>
    <w:rsid w:val="002552E6"/>
    <w:rsid w:val="00255624"/>
    <w:rsid w:val="00256396"/>
    <w:rsid w:val="002570F4"/>
    <w:rsid w:val="0026149E"/>
    <w:rsid w:val="002616CF"/>
    <w:rsid w:val="00263DEC"/>
    <w:rsid w:val="002663DC"/>
    <w:rsid w:val="00266849"/>
    <w:rsid w:val="002677EE"/>
    <w:rsid w:val="00267F2F"/>
    <w:rsid w:val="00270011"/>
    <w:rsid w:val="0027273C"/>
    <w:rsid w:val="00273D80"/>
    <w:rsid w:val="00274947"/>
    <w:rsid w:val="002751F7"/>
    <w:rsid w:val="00276814"/>
    <w:rsid w:val="00276C8A"/>
    <w:rsid w:val="00277400"/>
    <w:rsid w:val="00277972"/>
    <w:rsid w:val="002802A4"/>
    <w:rsid w:val="00281AFB"/>
    <w:rsid w:val="002829DA"/>
    <w:rsid w:val="00283A06"/>
    <w:rsid w:val="00283CEE"/>
    <w:rsid w:val="00284B3A"/>
    <w:rsid w:val="00285056"/>
    <w:rsid w:val="002866FA"/>
    <w:rsid w:val="00290D25"/>
    <w:rsid w:val="002910B6"/>
    <w:rsid w:val="002911EC"/>
    <w:rsid w:val="00291790"/>
    <w:rsid w:val="00291F38"/>
    <w:rsid w:val="002928B4"/>
    <w:rsid w:val="00292C66"/>
    <w:rsid w:val="002936F2"/>
    <w:rsid w:val="00293855"/>
    <w:rsid w:val="00293F3A"/>
    <w:rsid w:val="00295132"/>
    <w:rsid w:val="00295760"/>
    <w:rsid w:val="002957CE"/>
    <w:rsid w:val="00295E26"/>
    <w:rsid w:val="002A1044"/>
    <w:rsid w:val="002A10A3"/>
    <w:rsid w:val="002A192A"/>
    <w:rsid w:val="002A2001"/>
    <w:rsid w:val="002A50B4"/>
    <w:rsid w:val="002A51E5"/>
    <w:rsid w:val="002A5312"/>
    <w:rsid w:val="002A69C4"/>
    <w:rsid w:val="002A747F"/>
    <w:rsid w:val="002B0335"/>
    <w:rsid w:val="002B2942"/>
    <w:rsid w:val="002B308D"/>
    <w:rsid w:val="002B3263"/>
    <w:rsid w:val="002B3A8F"/>
    <w:rsid w:val="002B4509"/>
    <w:rsid w:val="002B4763"/>
    <w:rsid w:val="002B5EDA"/>
    <w:rsid w:val="002B644B"/>
    <w:rsid w:val="002B651A"/>
    <w:rsid w:val="002B67AC"/>
    <w:rsid w:val="002B797C"/>
    <w:rsid w:val="002C4C96"/>
    <w:rsid w:val="002C720E"/>
    <w:rsid w:val="002C7268"/>
    <w:rsid w:val="002C7FF8"/>
    <w:rsid w:val="002D1C5E"/>
    <w:rsid w:val="002D1E29"/>
    <w:rsid w:val="002D230F"/>
    <w:rsid w:val="002D26AD"/>
    <w:rsid w:val="002D3A5F"/>
    <w:rsid w:val="002D5652"/>
    <w:rsid w:val="002E0243"/>
    <w:rsid w:val="002E0395"/>
    <w:rsid w:val="002E1134"/>
    <w:rsid w:val="002E2735"/>
    <w:rsid w:val="002E5328"/>
    <w:rsid w:val="002E6125"/>
    <w:rsid w:val="002E7F4D"/>
    <w:rsid w:val="002F0717"/>
    <w:rsid w:val="002F18C9"/>
    <w:rsid w:val="002F4B84"/>
    <w:rsid w:val="002F5F38"/>
    <w:rsid w:val="002F7760"/>
    <w:rsid w:val="002F7D4F"/>
    <w:rsid w:val="00304A99"/>
    <w:rsid w:val="00304D8E"/>
    <w:rsid w:val="00305187"/>
    <w:rsid w:val="00307A9D"/>
    <w:rsid w:val="003107C5"/>
    <w:rsid w:val="00311B83"/>
    <w:rsid w:val="00312782"/>
    <w:rsid w:val="00314222"/>
    <w:rsid w:val="00314AB5"/>
    <w:rsid w:val="00315428"/>
    <w:rsid w:val="003163B4"/>
    <w:rsid w:val="003168DF"/>
    <w:rsid w:val="003177C0"/>
    <w:rsid w:val="0031791C"/>
    <w:rsid w:val="00317A5B"/>
    <w:rsid w:val="00317DC4"/>
    <w:rsid w:val="003208F8"/>
    <w:rsid w:val="00321CDA"/>
    <w:rsid w:val="00321F65"/>
    <w:rsid w:val="00322127"/>
    <w:rsid w:val="0032242C"/>
    <w:rsid w:val="003224CF"/>
    <w:rsid w:val="00323AC1"/>
    <w:rsid w:val="00324946"/>
    <w:rsid w:val="003251F6"/>
    <w:rsid w:val="00327888"/>
    <w:rsid w:val="003305B1"/>
    <w:rsid w:val="00330965"/>
    <w:rsid w:val="00330A6D"/>
    <w:rsid w:val="00331B60"/>
    <w:rsid w:val="00332635"/>
    <w:rsid w:val="00332871"/>
    <w:rsid w:val="003329FC"/>
    <w:rsid w:val="00332A12"/>
    <w:rsid w:val="00332FDA"/>
    <w:rsid w:val="0033422E"/>
    <w:rsid w:val="00335DD9"/>
    <w:rsid w:val="003400D6"/>
    <w:rsid w:val="003411F9"/>
    <w:rsid w:val="0034130E"/>
    <w:rsid w:val="0034189B"/>
    <w:rsid w:val="003419E0"/>
    <w:rsid w:val="00341F72"/>
    <w:rsid w:val="003423CA"/>
    <w:rsid w:val="00342BF3"/>
    <w:rsid w:val="003464CF"/>
    <w:rsid w:val="00350904"/>
    <w:rsid w:val="00351FC0"/>
    <w:rsid w:val="00352179"/>
    <w:rsid w:val="00353024"/>
    <w:rsid w:val="003533ED"/>
    <w:rsid w:val="00354184"/>
    <w:rsid w:val="00354A07"/>
    <w:rsid w:val="00354D5C"/>
    <w:rsid w:val="00354DCD"/>
    <w:rsid w:val="00355A58"/>
    <w:rsid w:val="00357C37"/>
    <w:rsid w:val="00357ED5"/>
    <w:rsid w:val="003602E7"/>
    <w:rsid w:val="00360C9F"/>
    <w:rsid w:val="00361A22"/>
    <w:rsid w:val="00361F19"/>
    <w:rsid w:val="00362FD4"/>
    <w:rsid w:val="00363AFA"/>
    <w:rsid w:val="003643AB"/>
    <w:rsid w:val="00366AE0"/>
    <w:rsid w:val="00366BC3"/>
    <w:rsid w:val="00370307"/>
    <w:rsid w:val="00370C4A"/>
    <w:rsid w:val="00371A6B"/>
    <w:rsid w:val="00372D36"/>
    <w:rsid w:val="00373259"/>
    <w:rsid w:val="0037733F"/>
    <w:rsid w:val="0037735E"/>
    <w:rsid w:val="00377A2A"/>
    <w:rsid w:val="00380437"/>
    <w:rsid w:val="0038059F"/>
    <w:rsid w:val="00381A2C"/>
    <w:rsid w:val="003826CF"/>
    <w:rsid w:val="00382750"/>
    <w:rsid w:val="0038563A"/>
    <w:rsid w:val="00386BCF"/>
    <w:rsid w:val="003917E5"/>
    <w:rsid w:val="00392C42"/>
    <w:rsid w:val="00393D34"/>
    <w:rsid w:val="0039578F"/>
    <w:rsid w:val="00396D0A"/>
    <w:rsid w:val="003A100B"/>
    <w:rsid w:val="003A224C"/>
    <w:rsid w:val="003A4B84"/>
    <w:rsid w:val="003A574A"/>
    <w:rsid w:val="003A584C"/>
    <w:rsid w:val="003A6CA9"/>
    <w:rsid w:val="003A6E25"/>
    <w:rsid w:val="003A7BF2"/>
    <w:rsid w:val="003B1142"/>
    <w:rsid w:val="003B2FC2"/>
    <w:rsid w:val="003B4398"/>
    <w:rsid w:val="003B4542"/>
    <w:rsid w:val="003B50DC"/>
    <w:rsid w:val="003B724D"/>
    <w:rsid w:val="003B76AA"/>
    <w:rsid w:val="003B76E9"/>
    <w:rsid w:val="003B7842"/>
    <w:rsid w:val="003C26E7"/>
    <w:rsid w:val="003C2E40"/>
    <w:rsid w:val="003C4492"/>
    <w:rsid w:val="003C5D96"/>
    <w:rsid w:val="003C6D4F"/>
    <w:rsid w:val="003C755C"/>
    <w:rsid w:val="003D171C"/>
    <w:rsid w:val="003D3583"/>
    <w:rsid w:val="003D7E4C"/>
    <w:rsid w:val="003E1666"/>
    <w:rsid w:val="003E6C3F"/>
    <w:rsid w:val="003E7553"/>
    <w:rsid w:val="003E797E"/>
    <w:rsid w:val="003E7EFA"/>
    <w:rsid w:val="003E7F0D"/>
    <w:rsid w:val="003F0C95"/>
    <w:rsid w:val="003F0EA1"/>
    <w:rsid w:val="003F2580"/>
    <w:rsid w:val="003F39FA"/>
    <w:rsid w:val="003F48A2"/>
    <w:rsid w:val="003F5EBD"/>
    <w:rsid w:val="003F5FE2"/>
    <w:rsid w:val="003F7FF0"/>
    <w:rsid w:val="004027CA"/>
    <w:rsid w:val="004031AD"/>
    <w:rsid w:val="004032C0"/>
    <w:rsid w:val="0040400B"/>
    <w:rsid w:val="00404927"/>
    <w:rsid w:val="00404C8D"/>
    <w:rsid w:val="00405FD6"/>
    <w:rsid w:val="004060D0"/>
    <w:rsid w:val="004101E4"/>
    <w:rsid w:val="00412283"/>
    <w:rsid w:val="00413322"/>
    <w:rsid w:val="00415943"/>
    <w:rsid w:val="00416EC0"/>
    <w:rsid w:val="0042011E"/>
    <w:rsid w:val="004222F2"/>
    <w:rsid w:val="004229F4"/>
    <w:rsid w:val="00427731"/>
    <w:rsid w:val="0043077E"/>
    <w:rsid w:val="00431016"/>
    <w:rsid w:val="004310E1"/>
    <w:rsid w:val="00431A12"/>
    <w:rsid w:val="004328BA"/>
    <w:rsid w:val="00432A8E"/>
    <w:rsid w:val="00432CF4"/>
    <w:rsid w:val="0043366E"/>
    <w:rsid w:val="004336F3"/>
    <w:rsid w:val="004341D9"/>
    <w:rsid w:val="0043480D"/>
    <w:rsid w:val="00434CA7"/>
    <w:rsid w:val="00434DCE"/>
    <w:rsid w:val="00435889"/>
    <w:rsid w:val="00441437"/>
    <w:rsid w:val="00443415"/>
    <w:rsid w:val="00443607"/>
    <w:rsid w:val="00444F84"/>
    <w:rsid w:val="00447C57"/>
    <w:rsid w:val="00450FC7"/>
    <w:rsid w:val="0045158A"/>
    <w:rsid w:val="00451625"/>
    <w:rsid w:val="00451A9F"/>
    <w:rsid w:val="00452485"/>
    <w:rsid w:val="00452498"/>
    <w:rsid w:val="004526FA"/>
    <w:rsid w:val="004542A6"/>
    <w:rsid w:val="00454707"/>
    <w:rsid w:val="0045480F"/>
    <w:rsid w:val="0045494C"/>
    <w:rsid w:val="0045553E"/>
    <w:rsid w:val="004574F9"/>
    <w:rsid w:val="0046275B"/>
    <w:rsid w:val="00462FDE"/>
    <w:rsid w:val="00463781"/>
    <w:rsid w:val="004647A3"/>
    <w:rsid w:val="004669DC"/>
    <w:rsid w:val="00466A34"/>
    <w:rsid w:val="00466CA5"/>
    <w:rsid w:val="004670DD"/>
    <w:rsid w:val="004708E3"/>
    <w:rsid w:val="00470F7C"/>
    <w:rsid w:val="00472D9A"/>
    <w:rsid w:val="004731E8"/>
    <w:rsid w:val="004734F9"/>
    <w:rsid w:val="00474649"/>
    <w:rsid w:val="00474CE2"/>
    <w:rsid w:val="00474E6C"/>
    <w:rsid w:val="004774AF"/>
    <w:rsid w:val="00477D1F"/>
    <w:rsid w:val="00483D9B"/>
    <w:rsid w:val="00483E78"/>
    <w:rsid w:val="004855B5"/>
    <w:rsid w:val="00485D54"/>
    <w:rsid w:val="0048678B"/>
    <w:rsid w:val="004877D5"/>
    <w:rsid w:val="004917A5"/>
    <w:rsid w:val="004917F5"/>
    <w:rsid w:val="0049261F"/>
    <w:rsid w:val="00494106"/>
    <w:rsid w:val="0049464D"/>
    <w:rsid w:val="00494BBD"/>
    <w:rsid w:val="00494BC5"/>
    <w:rsid w:val="00495681"/>
    <w:rsid w:val="00496540"/>
    <w:rsid w:val="00496DB0"/>
    <w:rsid w:val="004971E9"/>
    <w:rsid w:val="00497356"/>
    <w:rsid w:val="004A1592"/>
    <w:rsid w:val="004A3379"/>
    <w:rsid w:val="004A3F4B"/>
    <w:rsid w:val="004A5762"/>
    <w:rsid w:val="004A660E"/>
    <w:rsid w:val="004A6EAF"/>
    <w:rsid w:val="004A6F8A"/>
    <w:rsid w:val="004A730E"/>
    <w:rsid w:val="004A7C35"/>
    <w:rsid w:val="004A7E84"/>
    <w:rsid w:val="004B2711"/>
    <w:rsid w:val="004B28CD"/>
    <w:rsid w:val="004B2D32"/>
    <w:rsid w:val="004B37F2"/>
    <w:rsid w:val="004B37F4"/>
    <w:rsid w:val="004B5155"/>
    <w:rsid w:val="004B52CD"/>
    <w:rsid w:val="004B5CE0"/>
    <w:rsid w:val="004B6C5A"/>
    <w:rsid w:val="004B716A"/>
    <w:rsid w:val="004C00E9"/>
    <w:rsid w:val="004C091B"/>
    <w:rsid w:val="004C12BD"/>
    <w:rsid w:val="004C1EA2"/>
    <w:rsid w:val="004C2A32"/>
    <w:rsid w:val="004C3348"/>
    <w:rsid w:val="004C343B"/>
    <w:rsid w:val="004C3898"/>
    <w:rsid w:val="004C3D8D"/>
    <w:rsid w:val="004C5B53"/>
    <w:rsid w:val="004D054A"/>
    <w:rsid w:val="004D0B93"/>
    <w:rsid w:val="004D177B"/>
    <w:rsid w:val="004D41CC"/>
    <w:rsid w:val="004D4368"/>
    <w:rsid w:val="004D4DB8"/>
    <w:rsid w:val="004D4FFD"/>
    <w:rsid w:val="004D52B7"/>
    <w:rsid w:val="004D5AA7"/>
    <w:rsid w:val="004D5B7E"/>
    <w:rsid w:val="004D66C3"/>
    <w:rsid w:val="004D6805"/>
    <w:rsid w:val="004D6B5E"/>
    <w:rsid w:val="004D72C0"/>
    <w:rsid w:val="004D7979"/>
    <w:rsid w:val="004E23E2"/>
    <w:rsid w:val="004E3E83"/>
    <w:rsid w:val="004E3EB7"/>
    <w:rsid w:val="004E477E"/>
    <w:rsid w:val="004E78D3"/>
    <w:rsid w:val="004F09FD"/>
    <w:rsid w:val="004F170C"/>
    <w:rsid w:val="004F54C5"/>
    <w:rsid w:val="004F5DA4"/>
    <w:rsid w:val="004F6195"/>
    <w:rsid w:val="004F6217"/>
    <w:rsid w:val="004F6527"/>
    <w:rsid w:val="004F6B41"/>
    <w:rsid w:val="004F6B82"/>
    <w:rsid w:val="004F72B0"/>
    <w:rsid w:val="004F764B"/>
    <w:rsid w:val="00500002"/>
    <w:rsid w:val="005008E2"/>
    <w:rsid w:val="00501A2D"/>
    <w:rsid w:val="00501F60"/>
    <w:rsid w:val="00502B8C"/>
    <w:rsid w:val="00502D1A"/>
    <w:rsid w:val="00507B4E"/>
    <w:rsid w:val="00511993"/>
    <w:rsid w:val="0051285E"/>
    <w:rsid w:val="00512D01"/>
    <w:rsid w:val="0051305F"/>
    <w:rsid w:val="005143FB"/>
    <w:rsid w:val="00515C1C"/>
    <w:rsid w:val="005164E1"/>
    <w:rsid w:val="00516540"/>
    <w:rsid w:val="00517DD0"/>
    <w:rsid w:val="00520D9E"/>
    <w:rsid w:val="0052141A"/>
    <w:rsid w:val="00521500"/>
    <w:rsid w:val="00521791"/>
    <w:rsid w:val="005217AC"/>
    <w:rsid w:val="005217CD"/>
    <w:rsid w:val="0052229A"/>
    <w:rsid w:val="00522721"/>
    <w:rsid w:val="0052575A"/>
    <w:rsid w:val="005259F5"/>
    <w:rsid w:val="0052634A"/>
    <w:rsid w:val="00526FA0"/>
    <w:rsid w:val="005317D6"/>
    <w:rsid w:val="00531FED"/>
    <w:rsid w:val="00532F20"/>
    <w:rsid w:val="00533C89"/>
    <w:rsid w:val="0053751F"/>
    <w:rsid w:val="00537B8D"/>
    <w:rsid w:val="00537C79"/>
    <w:rsid w:val="005406C6"/>
    <w:rsid w:val="0054096B"/>
    <w:rsid w:val="00540A4A"/>
    <w:rsid w:val="00541034"/>
    <w:rsid w:val="0054124A"/>
    <w:rsid w:val="005413DC"/>
    <w:rsid w:val="00542B1A"/>
    <w:rsid w:val="00542E2B"/>
    <w:rsid w:val="0054302C"/>
    <w:rsid w:val="005438B8"/>
    <w:rsid w:val="00543BEC"/>
    <w:rsid w:val="00544E48"/>
    <w:rsid w:val="00546FB0"/>
    <w:rsid w:val="00550C97"/>
    <w:rsid w:val="005510C0"/>
    <w:rsid w:val="005523D6"/>
    <w:rsid w:val="00552478"/>
    <w:rsid w:val="00553971"/>
    <w:rsid w:val="0055498E"/>
    <w:rsid w:val="00555758"/>
    <w:rsid w:val="005570BB"/>
    <w:rsid w:val="00557111"/>
    <w:rsid w:val="00561722"/>
    <w:rsid w:val="0056268A"/>
    <w:rsid w:val="005627F2"/>
    <w:rsid w:val="00565652"/>
    <w:rsid w:val="00565C71"/>
    <w:rsid w:val="00566354"/>
    <w:rsid w:val="0056663E"/>
    <w:rsid w:val="005676C2"/>
    <w:rsid w:val="00570523"/>
    <w:rsid w:val="00570B17"/>
    <w:rsid w:val="00570E30"/>
    <w:rsid w:val="00571F0C"/>
    <w:rsid w:val="00572532"/>
    <w:rsid w:val="005728A2"/>
    <w:rsid w:val="00574598"/>
    <w:rsid w:val="0057472B"/>
    <w:rsid w:val="0057601B"/>
    <w:rsid w:val="005766E0"/>
    <w:rsid w:val="0057719B"/>
    <w:rsid w:val="00581064"/>
    <w:rsid w:val="005813EE"/>
    <w:rsid w:val="00581B1C"/>
    <w:rsid w:val="00581D26"/>
    <w:rsid w:val="00582504"/>
    <w:rsid w:val="00582BD1"/>
    <w:rsid w:val="00583122"/>
    <w:rsid w:val="005831DF"/>
    <w:rsid w:val="00584816"/>
    <w:rsid w:val="005876C3"/>
    <w:rsid w:val="00587B17"/>
    <w:rsid w:val="00591549"/>
    <w:rsid w:val="005917FD"/>
    <w:rsid w:val="00591CA3"/>
    <w:rsid w:val="00592522"/>
    <w:rsid w:val="005926D9"/>
    <w:rsid w:val="00594F68"/>
    <w:rsid w:val="0059623B"/>
    <w:rsid w:val="00597BC2"/>
    <w:rsid w:val="00597C59"/>
    <w:rsid w:val="005A0077"/>
    <w:rsid w:val="005A2C08"/>
    <w:rsid w:val="005A350D"/>
    <w:rsid w:val="005A39CC"/>
    <w:rsid w:val="005A466B"/>
    <w:rsid w:val="005A490C"/>
    <w:rsid w:val="005A52A7"/>
    <w:rsid w:val="005A56A4"/>
    <w:rsid w:val="005B0274"/>
    <w:rsid w:val="005B21B5"/>
    <w:rsid w:val="005B3740"/>
    <w:rsid w:val="005B3847"/>
    <w:rsid w:val="005B4280"/>
    <w:rsid w:val="005B4C28"/>
    <w:rsid w:val="005B4E66"/>
    <w:rsid w:val="005B6C52"/>
    <w:rsid w:val="005B6F73"/>
    <w:rsid w:val="005B7509"/>
    <w:rsid w:val="005B774B"/>
    <w:rsid w:val="005C0CA4"/>
    <w:rsid w:val="005C1B82"/>
    <w:rsid w:val="005C5996"/>
    <w:rsid w:val="005C59F7"/>
    <w:rsid w:val="005C767A"/>
    <w:rsid w:val="005C7E41"/>
    <w:rsid w:val="005C7EE8"/>
    <w:rsid w:val="005D0621"/>
    <w:rsid w:val="005D0956"/>
    <w:rsid w:val="005D1A77"/>
    <w:rsid w:val="005D3595"/>
    <w:rsid w:val="005D4127"/>
    <w:rsid w:val="005D42E9"/>
    <w:rsid w:val="005D4317"/>
    <w:rsid w:val="005D5702"/>
    <w:rsid w:val="005D6072"/>
    <w:rsid w:val="005E1EEB"/>
    <w:rsid w:val="005E37D0"/>
    <w:rsid w:val="005E3CA1"/>
    <w:rsid w:val="005E4469"/>
    <w:rsid w:val="005E78BF"/>
    <w:rsid w:val="005F0EED"/>
    <w:rsid w:val="005F1056"/>
    <w:rsid w:val="005F1678"/>
    <w:rsid w:val="005F2084"/>
    <w:rsid w:val="005F3C58"/>
    <w:rsid w:val="005F7D6A"/>
    <w:rsid w:val="00600603"/>
    <w:rsid w:val="00600C07"/>
    <w:rsid w:val="00601A44"/>
    <w:rsid w:val="006033A8"/>
    <w:rsid w:val="00603701"/>
    <w:rsid w:val="00604247"/>
    <w:rsid w:val="0060610E"/>
    <w:rsid w:val="006079F7"/>
    <w:rsid w:val="00610A6A"/>
    <w:rsid w:val="00611792"/>
    <w:rsid w:val="00611F2D"/>
    <w:rsid w:val="006140F0"/>
    <w:rsid w:val="006150F6"/>
    <w:rsid w:val="00615D6B"/>
    <w:rsid w:val="00616EE9"/>
    <w:rsid w:val="00617FBB"/>
    <w:rsid w:val="00620E94"/>
    <w:rsid w:val="00622755"/>
    <w:rsid w:val="00622D98"/>
    <w:rsid w:val="00622EFF"/>
    <w:rsid w:val="006231CA"/>
    <w:rsid w:val="0062351F"/>
    <w:rsid w:val="00623D42"/>
    <w:rsid w:val="00626640"/>
    <w:rsid w:val="00627D70"/>
    <w:rsid w:val="00627DB2"/>
    <w:rsid w:val="00630849"/>
    <w:rsid w:val="00631611"/>
    <w:rsid w:val="00631E09"/>
    <w:rsid w:val="00632CF1"/>
    <w:rsid w:val="0063319C"/>
    <w:rsid w:val="006337C6"/>
    <w:rsid w:val="00633BAA"/>
    <w:rsid w:val="00634FFB"/>
    <w:rsid w:val="0063675E"/>
    <w:rsid w:val="006370E7"/>
    <w:rsid w:val="00640156"/>
    <w:rsid w:val="00640DA0"/>
    <w:rsid w:val="00641EA4"/>
    <w:rsid w:val="00641FF0"/>
    <w:rsid w:val="0064258D"/>
    <w:rsid w:val="006434D4"/>
    <w:rsid w:val="00643A76"/>
    <w:rsid w:val="00643EA6"/>
    <w:rsid w:val="006446FB"/>
    <w:rsid w:val="00644CBD"/>
    <w:rsid w:val="00645158"/>
    <w:rsid w:val="00647E15"/>
    <w:rsid w:val="006510A9"/>
    <w:rsid w:val="00651331"/>
    <w:rsid w:val="006514D6"/>
    <w:rsid w:val="00651724"/>
    <w:rsid w:val="00651CF6"/>
    <w:rsid w:val="00652C73"/>
    <w:rsid w:val="00652F61"/>
    <w:rsid w:val="00653E73"/>
    <w:rsid w:val="0065434B"/>
    <w:rsid w:val="00655BED"/>
    <w:rsid w:val="00657142"/>
    <w:rsid w:val="00657DFD"/>
    <w:rsid w:val="00660110"/>
    <w:rsid w:val="00660A73"/>
    <w:rsid w:val="00660E9F"/>
    <w:rsid w:val="00662BA1"/>
    <w:rsid w:val="00662DF1"/>
    <w:rsid w:val="0066338B"/>
    <w:rsid w:val="006642E6"/>
    <w:rsid w:val="00664880"/>
    <w:rsid w:val="00664A38"/>
    <w:rsid w:val="00664AF1"/>
    <w:rsid w:val="00666215"/>
    <w:rsid w:val="0066678D"/>
    <w:rsid w:val="00666A67"/>
    <w:rsid w:val="00667D87"/>
    <w:rsid w:val="006703FD"/>
    <w:rsid w:val="00670460"/>
    <w:rsid w:val="00670BF4"/>
    <w:rsid w:val="0067206C"/>
    <w:rsid w:val="00672220"/>
    <w:rsid w:val="00672345"/>
    <w:rsid w:val="00672BEF"/>
    <w:rsid w:val="00673C90"/>
    <w:rsid w:val="00674381"/>
    <w:rsid w:val="00674F5B"/>
    <w:rsid w:val="006755CF"/>
    <w:rsid w:val="006759F3"/>
    <w:rsid w:val="00680AB8"/>
    <w:rsid w:val="0068120C"/>
    <w:rsid w:val="00685E41"/>
    <w:rsid w:val="00687978"/>
    <w:rsid w:val="00687F0F"/>
    <w:rsid w:val="00687F1A"/>
    <w:rsid w:val="00690C28"/>
    <w:rsid w:val="00691128"/>
    <w:rsid w:val="00691397"/>
    <w:rsid w:val="00691894"/>
    <w:rsid w:val="00691FB7"/>
    <w:rsid w:val="006939CD"/>
    <w:rsid w:val="006943D9"/>
    <w:rsid w:val="0069553D"/>
    <w:rsid w:val="006955D4"/>
    <w:rsid w:val="00695913"/>
    <w:rsid w:val="00697353"/>
    <w:rsid w:val="00697950"/>
    <w:rsid w:val="006A075C"/>
    <w:rsid w:val="006A0E38"/>
    <w:rsid w:val="006A27AD"/>
    <w:rsid w:val="006A4300"/>
    <w:rsid w:val="006A4B0A"/>
    <w:rsid w:val="006A7EFF"/>
    <w:rsid w:val="006B0D5C"/>
    <w:rsid w:val="006B49D9"/>
    <w:rsid w:val="006B4A9C"/>
    <w:rsid w:val="006B51E3"/>
    <w:rsid w:val="006B58AA"/>
    <w:rsid w:val="006B62B8"/>
    <w:rsid w:val="006C2331"/>
    <w:rsid w:val="006C272F"/>
    <w:rsid w:val="006C283B"/>
    <w:rsid w:val="006C327C"/>
    <w:rsid w:val="006C33AE"/>
    <w:rsid w:val="006C35BC"/>
    <w:rsid w:val="006C3BF5"/>
    <w:rsid w:val="006C5C00"/>
    <w:rsid w:val="006C5E59"/>
    <w:rsid w:val="006C684B"/>
    <w:rsid w:val="006C7865"/>
    <w:rsid w:val="006C7EE4"/>
    <w:rsid w:val="006D081F"/>
    <w:rsid w:val="006D1F1E"/>
    <w:rsid w:val="006D1F30"/>
    <w:rsid w:val="006D211D"/>
    <w:rsid w:val="006D22B4"/>
    <w:rsid w:val="006D252F"/>
    <w:rsid w:val="006D2749"/>
    <w:rsid w:val="006D28CA"/>
    <w:rsid w:val="006D2918"/>
    <w:rsid w:val="006D352F"/>
    <w:rsid w:val="006D3966"/>
    <w:rsid w:val="006D4819"/>
    <w:rsid w:val="006D6717"/>
    <w:rsid w:val="006D6A19"/>
    <w:rsid w:val="006E06AE"/>
    <w:rsid w:val="006E0972"/>
    <w:rsid w:val="006E144A"/>
    <w:rsid w:val="006E4136"/>
    <w:rsid w:val="006E5F26"/>
    <w:rsid w:val="006E61AB"/>
    <w:rsid w:val="006E6571"/>
    <w:rsid w:val="006E6885"/>
    <w:rsid w:val="006F01AA"/>
    <w:rsid w:val="006F0C27"/>
    <w:rsid w:val="006F1001"/>
    <w:rsid w:val="006F1378"/>
    <w:rsid w:val="006F1CF4"/>
    <w:rsid w:val="006F2C30"/>
    <w:rsid w:val="006F4215"/>
    <w:rsid w:val="006F486A"/>
    <w:rsid w:val="006F555D"/>
    <w:rsid w:val="006F6325"/>
    <w:rsid w:val="006F7AB1"/>
    <w:rsid w:val="006F7DBE"/>
    <w:rsid w:val="00700954"/>
    <w:rsid w:val="007010A8"/>
    <w:rsid w:val="0070261A"/>
    <w:rsid w:val="00702B09"/>
    <w:rsid w:val="00702E7D"/>
    <w:rsid w:val="0070403A"/>
    <w:rsid w:val="00704458"/>
    <w:rsid w:val="00705B14"/>
    <w:rsid w:val="00711F96"/>
    <w:rsid w:val="00712BBF"/>
    <w:rsid w:val="0071523D"/>
    <w:rsid w:val="0071536F"/>
    <w:rsid w:val="00715511"/>
    <w:rsid w:val="007156BB"/>
    <w:rsid w:val="00717726"/>
    <w:rsid w:val="00720ECA"/>
    <w:rsid w:val="00721B66"/>
    <w:rsid w:val="00722A02"/>
    <w:rsid w:val="00724D48"/>
    <w:rsid w:val="00724E7B"/>
    <w:rsid w:val="00726412"/>
    <w:rsid w:val="00726459"/>
    <w:rsid w:val="00727046"/>
    <w:rsid w:val="007270E2"/>
    <w:rsid w:val="0072754A"/>
    <w:rsid w:val="007312A5"/>
    <w:rsid w:val="007321A7"/>
    <w:rsid w:val="007326DE"/>
    <w:rsid w:val="00733338"/>
    <w:rsid w:val="00733643"/>
    <w:rsid w:val="00735364"/>
    <w:rsid w:val="0073550B"/>
    <w:rsid w:val="00736755"/>
    <w:rsid w:val="0073692B"/>
    <w:rsid w:val="00736A4C"/>
    <w:rsid w:val="00737F7B"/>
    <w:rsid w:val="007400CE"/>
    <w:rsid w:val="00740364"/>
    <w:rsid w:val="00741CC2"/>
    <w:rsid w:val="00741E1B"/>
    <w:rsid w:val="0074263A"/>
    <w:rsid w:val="00742A0D"/>
    <w:rsid w:val="00743604"/>
    <w:rsid w:val="00743843"/>
    <w:rsid w:val="007476B8"/>
    <w:rsid w:val="00750231"/>
    <w:rsid w:val="00751C16"/>
    <w:rsid w:val="00751E42"/>
    <w:rsid w:val="00752D90"/>
    <w:rsid w:val="00754E20"/>
    <w:rsid w:val="00755026"/>
    <w:rsid w:val="00755A18"/>
    <w:rsid w:val="0075653C"/>
    <w:rsid w:val="00757039"/>
    <w:rsid w:val="00757D5B"/>
    <w:rsid w:val="0076180E"/>
    <w:rsid w:val="00761D5E"/>
    <w:rsid w:val="00762ACA"/>
    <w:rsid w:val="007635B3"/>
    <w:rsid w:val="00763CC5"/>
    <w:rsid w:val="00764A17"/>
    <w:rsid w:val="00766172"/>
    <w:rsid w:val="00767286"/>
    <w:rsid w:val="00767C17"/>
    <w:rsid w:val="007702C1"/>
    <w:rsid w:val="00773325"/>
    <w:rsid w:val="00773E53"/>
    <w:rsid w:val="007747CE"/>
    <w:rsid w:val="00776112"/>
    <w:rsid w:val="00781378"/>
    <w:rsid w:val="0078382A"/>
    <w:rsid w:val="00784479"/>
    <w:rsid w:val="007854E6"/>
    <w:rsid w:val="007868AB"/>
    <w:rsid w:val="0078735F"/>
    <w:rsid w:val="00790F43"/>
    <w:rsid w:val="0079112A"/>
    <w:rsid w:val="00791C4C"/>
    <w:rsid w:val="007932A3"/>
    <w:rsid w:val="00794DB4"/>
    <w:rsid w:val="00795A61"/>
    <w:rsid w:val="00795CBE"/>
    <w:rsid w:val="007963B2"/>
    <w:rsid w:val="00796F7C"/>
    <w:rsid w:val="007A07D8"/>
    <w:rsid w:val="007A1C15"/>
    <w:rsid w:val="007A1DDF"/>
    <w:rsid w:val="007A33B5"/>
    <w:rsid w:val="007A3765"/>
    <w:rsid w:val="007A3FA5"/>
    <w:rsid w:val="007A406B"/>
    <w:rsid w:val="007A4909"/>
    <w:rsid w:val="007A55A7"/>
    <w:rsid w:val="007A5D09"/>
    <w:rsid w:val="007A5FA8"/>
    <w:rsid w:val="007A71E3"/>
    <w:rsid w:val="007A7B59"/>
    <w:rsid w:val="007B06C6"/>
    <w:rsid w:val="007B0A71"/>
    <w:rsid w:val="007B1A6F"/>
    <w:rsid w:val="007B248E"/>
    <w:rsid w:val="007B292C"/>
    <w:rsid w:val="007B2C57"/>
    <w:rsid w:val="007B39F2"/>
    <w:rsid w:val="007B3EBD"/>
    <w:rsid w:val="007B4012"/>
    <w:rsid w:val="007B6565"/>
    <w:rsid w:val="007B77A8"/>
    <w:rsid w:val="007B7E91"/>
    <w:rsid w:val="007C00A1"/>
    <w:rsid w:val="007C077D"/>
    <w:rsid w:val="007C0895"/>
    <w:rsid w:val="007C1114"/>
    <w:rsid w:val="007C18C4"/>
    <w:rsid w:val="007C31D0"/>
    <w:rsid w:val="007C39EA"/>
    <w:rsid w:val="007C43EA"/>
    <w:rsid w:val="007C4909"/>
    <w:rsid w:val="007C4E7A"/>
    <w:rsid w:val="007C5335"/>
    <w:rsid w:val="007C5700"/>
    <w:rsid w:val="007C6023"/>
    <w:rsid w:val="007C6B47"/>
    <w:rsid w:val="007C704A"/>
    <w:rsid w:val="007C7BE9"/>
    <w:rsid w:val="007C7CD5"/>
    <w:rsid w:val="007C7E02"/>
    <w:rsid w:val="007D1232"/>
    <w:rsid w:val="007D2A22"/>
    <w:rsid w:val="007D2F55"/>
    <w:rsid w:val="007D3EB6"/>
    <w:rsid w:val="007D40C6"/>
    <w:rsid w:val="007D50EA"/>
    <w:rsid w:val="007D51FB"/>
    <w:rsid w:val="007D599E"/>
    <w:rsid w:val="007D59CF"/>
    <w:rsid w:val="007D65C0"/>
    <w:rsid w:val="007D6F12"/>
    <w:rsid w:val="007E0FB1"/>
    <w:rsid w:val="007E12FD"/>
    <w:rsid w:val="007E1785"/>
    <w:rsid w:val="007E21C1"/>
    <w:rsid w:val="007E38DC"/>
    <w:rsid w:val="007E481E"/>
    <w:rsid w:val="007F13C8"/>
    <w:rsid w:val="007F19C7"/>
    <w:rsid w:val="007F2497"/>
    <w:rsid w:val="007F24BD"/>
    <w:rsid w:val="007F3426"/>
    <w:rsid w:val="007F479E"/>
    <w:rsid w:val="007F4DCC"/>
    <w:rsid w:val="007F6B53"/>
    <w:rsid w:val="007F7F25"/>
    <w:rsid w:val="00800D79"/>
    <w:rsid w:val="00800E10"/>
    <w:rsid w:val="00802E6D"/>
    <w:rsid w:val="008039C5"/>
    <w:rsid w:val="00807456"/>
    <w:rsid w:val="00810C8C"/>
    <w:rsid w:val="0081101C"/>
    <w:rsid w:val="008111FF"/>
    <w:rsid w:val="00812EE0"/>
    <w:rsid w:val="0081357B"/>
    <w:rsid w:val="008146E9"/>
    <w:rsid w:val="00814F11"/>
    <w:rsid w:val="00815897"/>
    <w:rsid w:val="00816580"/>
    <w:rsid w:val="008165DF"/>
    <w:rsid w:val="00817A28"/>
    <w:rsid w:val="00820F84"/>
    <w:rsid w:val="008215CB"/>
    <w:rsid w:val="008218CA"/>
    <w:rsid w:val="008237DA"/>
    <w:rsid w:val="008239B7"/>
    <w:rsid w:val="008241C8"/>
    <w:rsid w:val="00824321"/>
    <w:rsid w:val="00825DB6"/>
    <w:rsid w:val="008260D5"/>
    <w:rsid w:val="008264C3"/>
    <w:rsid w:val="008302D6"/>
    <w:rsid w:val="00830505"/>
    <w:rsid w:val="00832E5C"/>
    <w:rsid w:val="00834E03"/>
    <w:rsid w:val="008358AF"/>
    <w:rsid w:val="00836843"/>
    <w:rsid w:val="00837EB5"/>
    <w:rsid w:val="00841629"/>
    <w:rsid w:val="00841EB8"/>
    <w:rsid w:val="008426CB"/>
    <w:rsid w:val="00842E81"/>
    <w:rsid w:val="008434C3"/>
    <w:rsid w:val="0084387F"/>
    <w:rsid w:val="008439D5"/>
    <w:rsid w:val="008447E1"/>
    <w:rsid w:val="00846DF6"/>
    <w:rsid w:val="00846F7E"/>
    <w:rsid w:val="00847BEF"/>
    <w:rsid w:val="008508B7"/>
    <w:rsid w:val="008508EB"/>
    <w:rsid w:val="00850C87"/>
    <w:rsid w:val="00850F05"/>
    <w:rsid w:val="0085149F"/>
    <w:rsid w:val="008535B7"/>
    <w:rsid w:val="0085390D"/>
    <w:rsid w:val="00856A02"/>
    <w:rsid w:val="00857D28"/>
    <w:rsid w:val="008604A2"/>
    <w:rsid w:val="00860B86"/>
    <w:rsid w:val="00861694"/>
    <w:rsid w:val="008624E3"/>
    <w:rsid w:val="0086330D"/>
    <w:rsid w:val="008634F7"/>
    <w:rsid w:val="00863F57"/>
    <w:rsid w:val="00864105"/>
    <w:rsid w:val="00865269"/>
    <w:rsid w:val="00865B6D"/>
    <w:rsid w:val="00866AA9"/>
    <w:rsid w:val="008708E8"/>
    <w:rsid w:val="00870A21"/>
    <w:rsid w:val="00870E45"/>
    <w:rsid w:val="008714FC"/>
    <w:rsid w:val="008716E9"/>
    <w:rsid w:val="008716F5"/>
    <w:rsid w:val="00872063"/>
    <w:rsid w:val="00872302"/>
    <w:rsid w:val="00872A54"/>
    <w:rsid w:val="00872BDF"/>
    <w:rsid w:val="008730D1"/>
    <w:rsid w:val="008735DC"/>
    <w:rsid w:val="00873C28"/>
    <w:rsid w:val="00873C54"/>
    <w:rsid w:val="008742D5"/>
    <w:rsid w:val="008752BB"/>
    <w:rsid w:val="0087575E"/>
    <w:rsid w:val="00876B3E"/>
    <w:rsid w:val="0088076C"/>
    <w:rsid w:val="00880974"/>
    <w:rsid w:val="00880C03"/>
    <w:rsid w:val="00882BA1"/>
    <w:rsid w:val="0088438D"/>
    <w:rsid w:val="0088484F"/>
    <w:rsid w:val="00884C41"/>
    <w:rsid w:val="00885C33"/>
    <w:rsid w:val="008869AD"/>
    <w:rsid w:val="008905C5"/>
    <w:rsid w:val="008911C2"/>
    <w:rsid w:val="00893897"/>
    <w:rsid w:val="00893ED3"/>
    <w:rsid w:val="00894762"/>
    <w:rsid w:val="00897CC7"/>
    <w:rsid w:val="008A040C"/>
    <w:rsid w:val="008A0798"/>
    <w:rsid w:val="008A1572"/>
    <w:rsid w:val="008A2085"/>
    <w:rsid w:val="008A2CC6"/>
    <w:rsid w:val="008A359C"/>
    <w:rsid w:val="008A3943"/>
    <w:rsid w:val="008A4E9E"/>
    <w:rsid w:val="008A5376"/>
    <w:rsid w:val="008A6B9F"/>
    <w:rsid w:val="008A799D"/>
    <w:rsid w:val="008B16AA"/>
    <w:rsid w:val="008B26AA"/>
    <w:rsid w:val="008B27E4"/>
    <w:rsid w:val="008B301F"/>
    <w:rsid w:val="008B3787"/>
    <w:rsid w:val="008B3E20"/>
    <w:rsid w:val="008B634A"/>
    <w:rsid w:val="008B7153"/>
    <w:rsid w:val="008B7258"/>
    <w:rsid w:val="008B7EDE"/>
    <w:rsid w:val="008C0F53"/>
    <w:rsid w:val="008C0FBA"/>
    <w:rsid w:val="008C11AE"/>
    <w:rsid w:val="008C1D12"/>
    <w:rsid w:val="008C32E9"/>
    <w:rsid w:val="008C387D"/>
    <w:rsid w:val="008C39C4"/>
    <w:rsid w:val="008C5270"/>
    <w:rsid w:val="008C5A49"/>
    <w:rsid w:val="008C6E9C"/>
    <w:rsid w:val="008D165C"/>
    <w:rsid w:val="008D218A"/>
    <w:rsid w:val="008D3CA0"/>
    <w:rsid w:val="008D492A"/>
    <w:rsid w:val="008D49FC"/>
    <w:rsid w:val="008D53D4"/>
    <w:rsid w:val="008D5633"/>
    <w:rsid w:val="008D5C1D"/>
    <w:rsid w:val="008D6892"/>
    <w:rsid w:val="008D716A"/>
    <w:rsid w:val="008D73D5"/>
    <w:rsid w:val="008D7E6B"/>
    <w:rsid w:val="008E17AF"/>
    <w:rsid w:val="008E2188"/>
    <w:rsid w:val="008E231E"/>
    <w:rsid w:val="008E3925"/>
    <w:rsid w:val="008E42D7"/>
    <w:rsid w:val="008E5704"/>
    <w:rsid w:val="008E5D08"/>
    <w:rsid w:val="008E6790"/>
    <w:rsid w:val="008F041A"/>
    <w:rsid w:val="008F0744"/>
    <w:rsid w:val="008F0903"/>
    <w:rsid w:val="008F16C1"/>
    <w:rsid w:val="008F33B2"/>
    <w:rsid w:val="008F377D"/>
    <w:rsid w:val="008F45E9"/>
    <w:rsid w:val="008F4C65"/>
    <w:rsid w:val="008F4F8B"/>
    <w:rsid w:val="008F64BA"/>
    <w:rsid w:val="00901AED"/>
    <w:rsid w:val="009043E7"/>
    <w:rsid w:val="009055C6"/>
    <w:rsid w:val="00907997"/>
    <w:rsid w:val="00910E74"/>
    <w:rsid w:val="00911248"/>
    <w:rsid w:val="00911D1D"/>
    <w:rsid w:val="00920364"/>
    <w:rsid w:val="00921DC3"/>
    <w:rsid w:val="00921FFB"/>
    <w:rsid w:val="009237D0"/>
    <w:rsid w:val="00923A27"/>
    <w:rsid w:val="0092433E"/>
    <w:rsid w:val="0092446F"/>
    <w:rsid w:val="00924799"/>
    <w:rsid w:val="00925680"/>
    <w:rsid w:val="009257AE"/>
    <w:rsid w:val="0092582C"/>
    <w:rsid w:val="00925B52"/>
    <w:rsid w:val="00925F0E"/>
    <w:rsid w:val="00926662"/>
    <w:rsid w:val="00927D39"/>
    <w:rsid w:val="00927EC4"/>
    <w:rsid w:val="009308C5"/>
    <w:rsid w:val="009328B9"/>
    <w:rsid w:val="009333C0"/>
    <w:rsid w:val="00933A9A"/>
    <w:rsid w:val="00934EF8"/>
    <w:rsid w:val="009365B6"/>
    <w:rsid w:val="00937C4E"/>
    <w:rsid w:val="00942D1C"/>
    <w:rsid w:val="00942E7F"/>
    <w:rsid w:val="00942E9F"/>
    <w:rsid w:val="0094352A"/>
    <w:rsid w:val="00943A15"/>
    <w:rsid w:val="0094511C"/>
    <w:rsid w:val="009468FB"/>
    <w:rsid w:val="00951BF4"/>
    <w:rsid w:val="009538AB"/>
    <w:rsid w:val="00954125"/>
    <w:rsid w:val="009547C7"/>
    <w:rsid w:val="00956E4D"/>
    <w:rsid w:val="00956EF8"/>
    <w:rsid w:val="009573CA"/>
    <w:rsid w:val="00957F07"/>
    <w:rsid w:val="009605D5"/>
    <w:rsid w:val="00960A9B"/>
    <w:rsid w:val="009631A0"/>
    <w:rsid w:val="00963CFC"/>
    <w:rsid w:val="00970941"/>
    <w:rsid w:val="009719D4"/>
    <w:rsid w:val="0097357C"/>
    <w:rsid w:val="00974E60"/>
    <w:rsid w:val="009776E7"/>
    <w:rsid w:val="00977F5D"/>
    <w:rsid w:val="00980049"/>
    <w:rsid w:val="00981694"/>
    <w:rsid w:val="009816A2"/>
    <w:rsid w:val="0098205F"/>
    <w:rsid w:val="009827D5"/>
    <w:rsid w:val="00983413"/>
    <w:rsid w:val="00984587"/>
    <w:rsid w:val="00984FFB"/>
    <w:rsid w:val="00985C12"/>
    <w:rsid w:val="00986A18"/>
    <w:rsid w:val="00986FD1"/>
    <w:rsid w:val="00990A95"/>
    <w:rsid w:val="0099186F"/>
    <w:rsid w:val="00991D66"/>
    <w:rsid w:val="009925B9"/>
    <w:rsid w:val="00992646"/>
    <w:rsid w:val="0099354D"/>
    <w:rsid w:val="00997E63"/>
    <w:rsid w:val="009A1530"/>
    <w:rsid w:val="009A3264"/>
    <w:rsid w:val="009A34DA"/>
    <w:rsid w:val="009A57A6"/>
    <w:rsid w:val="009A5BB6"/>
    <w:rsid w:val="009B0ED2"/>
    <w:rsid w:val="009B1689"/>
    <w:rsid w:val="009B1C3F"/>
    <w:rsid w:val="009B400E"/>
    <w:rsid w:val="009B405E"/>
    <w:rsid w:val="009B7468"/>
    <w:rsid w:val="009C0837"/>
    <w:rsid w:val="009C0A94"/>
    <w:rsid w:val="009C1205"/>
    <w:rsid w:val="009C1861"/>
    <w:rsid w:val="009C247C"/>
    <w:rsid w:val="009C2AD0"/>
    <w:rsid w:val="009C3200"/>
    <w:rsid w:val="009C3725"/>
    <w:rsid w:val="009C3D1F"/>
    <w:rsid w:val="009C5839"/>
    <w:rsid w:val="009C7663"/>
    <w:rsid w:val="009C7A73"/>
    <w:rsid w:val="009D06DD"/>
    <w:rsid w:val="009D098D"/>
    <w:rsid w:val="009D0A4D"/>
    <w:rsid w:val="009D0B27"/>
    <w:rsid w:val="009D0C43"/>
    <w:rsid w:val="009D180D"/>
    <w:rsid w:val="009D33A5"/>
    <w:rsid w:val="009D57DC"/>
    <w:rsid w:val="009D5E5E"/>
    <w:rsid w:val="009D5E64"/>
    <w:rsid w:val="009D5EA3"/>
    <w:rsid w:val="009D6389"/>
    <w:rsid w:val="009D66BE"/>
    <w:rsid w:val="009D7486"/>
    <w:rsid w:val="009E0BC5"/>
    <w:rsid w:val="009E0C90"/>
    <w:rsid w:val="009E1C07"/>
    <w:rsid w:val="009E2E10"/>
    <w:rsid w:val="009E3FC5"/>
    <w:rsid w:val="009E4CA0"/>
    <w:rsid w:val="009E731B"/>
    <w:rsid w:val="009E7983"/>
    <w:rsid w:val="009F0E85"/>
    <w:rsid w:val="009F2C15"/>
    <w:rsid w:val="009F2D39"/>
    <w:rsid w:val="009F3776"/>
    <w:rsid w:val="009F3891"/>
    <w:rsid w:val="009F3EE1"/>
    <w:rsid w:val="009F4474"/>
    <w:rsid w:val="009F4DC8"/>
    <w:rsid w:val="009F5E4B"/>
    <w:rsid w:val="009F5F3D"/>
    <w:rsid w:val="009F650B"/>
    <w:rsid w:val="009F73C7"/>
    <w:rsid w:val="009F7EF5"/>
    <w:rsid w:val="00A00BA9"/>
    <w:rsid w:val="00A01890"/>
    <w:rsid w:val="00A01E38"/>
    <w:rsid w:val="00A024DE"/>
    <w:rsid w:val="00A02C3C"/>
    <w:rsid w:val="00A03F9F"/>
    <w:rsid w:val="00A04B87"/>
    <w:rsid w:val="00A04CB1"/>
    <w:rsid w:val="00A06111"/>
    <w:rsid w:val="00A07013"/>
    <w:rsid w:val="00A07FAC"/>
    <w:rsid w:val="00A101AB"/>
    <w:rsid w:val="00A10585"/>
    <w:rsid w:val="00A10801"/>
    <w:rsid w:val="00A114B0"/>
    <w:rsid w:val="00A12EC4"/>
    <w:rsid w:val="00A1425C"/>
    <w:rsid w:val="00A145FE"/>
    <w:rsid w:val="00A1465A"/>
    <w:rsid w:val="00A15C78"/>
    <w:rsid w:val="00A172E2"/>
    <w:rsid w:val="00A2005A"/>
    <w:rsid w:val="00A20803"/>
    <w:rsid w:val="00A209DD"/>
    <w:rsid w:val="00A21D8C"/>
    <w:rsid w:val="00A23202"/>
    <w:rsid w:val="00A24756"/>
    <w:rsid w:val="00A24DBA"/>
    <w:rsid w:val="00A25E96"/>
    <w:rsid w:val="00A268FD"/>
    <w:rsid w:val="00A27681"/>
    <w:rsid w:val="00A31B66"/>
    <w:rsid w:val="00A31EE9"/>
    <w:rsid w:val="00A33B5C"/>
    <w:rsid w:val="00A3423B"/>
    <w:rsid w:val="00A34FE3"/>
    <w:rsid w:val="00A36625"/>
    <w:rsid w:val="00A37D58"/>
    <w:rsid w:val="00A40682"/>
    <w:rsid w:val="00A40E39"/>
    <w:rsid w:val="00A412F5"/>
    <w:rsid w:val="00A41907"/>
    <w:rsid w:val="00A4192D"/>
    <w:rsid w:val="00A42383"/>
    <w:rsid w:val="00A42A77"/>
    <w:rsid w:val="00A42E12"/>
    <w:rsid w:val="00A42FF6"/>
    <w:rsid w:val="00A456CD"/>
    <w:rsid w:val="00A46C61"/>
    <w:rsid w:val="00A54A80"/>
    <w:rsid w:val="00A57449"/>
    <w:rsid w:val="00A60166"/>
    <w:rsid w:val="00A611A2"/>
    <w:rsid w:val="00A61741"/>
    <w:rsid w:val="00A62A10"/>
    <w:rsid w:val="00A632A2"/>
    <w:rsid w:val="00A63CEC"/>
    <w:rsid w:val="00A64E88"/>
    <w:rsid w:val="00A6523B"/>
    <w:rsid w:val="00A66914"/>
    <w:rsid w:val="00A66A58"/>
    <w:rsid w:val="00A71FCC"/>
    <w:rsid w:val="00A728DD"/>
    <w:rsid w:val="00A7385F"/>
    <w:rsid w:val="00A7426D"/>
    <w:rsid w:val="00A74EF9"/>
    <w:rsid w:val="00A75F42"/>
    <w:rsid w:val="00A767AC"/>
    <w:rsid w:val="00A809BE"/>
    <w:rsid w:val="00A819EB"/>
    <w:rsid w:val="00A850F0"/>
    <w:rsid w:val="00A86716"/>
    <w:rsid w:val="00A878D5"/>
    <w:rsid w:val="00A904B6"/>
    <w:rsid w:val="00A915DF"/>
    <w:rsid w:val="00A94131"/>
    <w:rsid w:val="00A9468B"/>
    <w:rsid w:val="00A94CB9"/>
    <w:rsid w:val="00AA0C68"/>
    <w:rsid w:val="00AA0E63"/>
    <w:rsid w:val="00AA262A"/>
    <w:rsid w:val="00AA32E3"/>
    <w:rsid w:val="00AA4260"/>
    <w:rsid w:val="00AA4E23"/>
    <w:rsid w:val="00AA595B"/>
    <w:rsid w:val="00AA60C5"/>
    <w:rsid w:val="00AA64DE"/>
    <w:rsid w:val="00AA7011"/>
    <w:rsid w:val="00AB35FC"/>
    <w:rsid w:val="00AB3E4A"/>
    <w:rsid w:val="00AB48E0"/>
    <w:rsid w:val="00AB4A93"/>
    <w:rsid w:val="00AB5DBA"/>
    <w:rsid w:val="00AB79C5"/>
    <w:rsid w:val="00AC1C03"/>
    <w:rsid w:val="00AC444A"/>
    <w:rsid w:val="00AC5520"/>
    <w:rsid w:val="00AC6D64"/>
    <w:rsid w:val="00AC7085"/>
    <w:rsid w:val="00AC7FAD"/>
    <w:rsid w:val="00AD1E91"/>
    <w:rsid w:val="00AD27A6"/>
    <w:rsid w:val="00AD2D6B"/>
    <w:rsid w:val="00AD3ABA"/>
    <w:rsid w:val="00AD53DF"/>
    <w:rsid w:val="00AD5C55"/>
    <w:rsid w:val="00AD7938"/>
    <w:rsid w:val="00AE0294"/>
    <w:rsid w:val="00AE2153"/>
    <w:rsid w:val="00AE2B39"/>
    <w:rsid w:val="00AE31D1"/>
    <w:rsid w:val="00AE320C"/>
    <w:rsid w:val="00AE4140"/>
    <w:rsid w:val="00AE4685"/>
    <w:rsid w:val="00AE5059"/>
    <w:rsid w:val="00AE651A"/>
    <w:rsid w:val="00AF1DF4"/>
    <w:rsid w:val="00AF2E4C"/>
    <w:rsid w:val="00AF3101"/>
    <w:rsid w:val="00AF55F4"/>
    <w:rsid w:val="00B0028A"/>
    <w:rsid w:val="00B0086C"/>
    <w:rsid w:val="00B00925"/>
    <w:rsid w:val="00B01378"/>
    <w:rsid w:val="00B0223B"/>
    <w:rsid w:val="00B03297"/>
    <w:rsid w:val="00B0377F"/>
    <w:rsid w:val="00B05216"/>
    <w:rsid w:val="00B05906"/>
    <w:rsid w:val="00B06383"/>
    <w:rsid w:val="00B0666C"/>
    <w:rsid w:val="00B067E5"/>
    <w:rsid w:val="00B06D98"/>
    <w:rsid w:val="00B07705"/>
    <w:rsid w:val="00B07939"/>
    <w:rsid w:val="00B106C9"/>
    <w:rsid w:val="00B12279"/>
    <w:rsid w:val="00B12C41"/>
    <w:rsid w:val="00B1615A"/>
    <w:rsid w:val="00B1769D"/>
    <w:rsid w:val="00B17B39"/>
    <w:rsid w:val="00B212E7"/>
    <w:rsid w:val="00B21549"/>
    <w:rsid w:val="00B238A4"/>
    <w:rsid w:val="00B23974"/>
    <w:rsid w:val="00B24B2E"/>
    <w:rsid w:val="00B24BE2"/>
    <w:rsid w:val="00B2643F"/>
    <w:rsid w:val="00B26AC0"/>
    <w:rsid w:val="00B26EA4"/>
    <w:rsid w:val="00B31EDB"/>
    <w:rsid w:val="00B32DDF"/>
    <w:rsid w:val="00B34CDE"/>
    <w:rsid w:val="00B3556F"/>
    <w:rsid w:val="00B356E5"/>
    <w:rsid w:val="00B35B5D"/>
    <w:rsid w:val="00B3676C"/>
    <w:rsid w:val="00B40FC1"/>
    <w:rsid w:val="00B4164D"/>
    <w:rsid w:val="00B42A71"/>
    <w:rsid w:val="00B435CA"/>
    <w:rsid w:val="00B45CB6"/>
    <w:rsid w:val="00B46A05"/>
    <w:rsid w:val="00B4749D"/>
    <w:rsid w:val="00B50788"/>
    <w:rsid w:val="00B5123B"/>
    <w:rsid w:val="00B51274"/>
    <w:rsid w:val="00B51483"/>
    <w:rsid w:val="00B5194C"/>
    <w:rsid w:val="00B52882"/>
    <w:rsid w:val="00B52B0E"/>
    <w:rsid w:val="00B5413C"/>
    <w:rsid w:val="00B544E5"/>
    <w:rsid w:val="00B559CE"/>
    <w:rsid w:val="00B5701B"/>
    <w:rsid w:val="00B574BC"/>
    <w:rsid w:val="00B61981"/>
    <w:rsid w:val="00B61E83"/>
    <w:rsid w:val="00B647DE"/>
    <w:rsid w:val="00B6483E"/>
    <w:rsid w:val="00B651C2"/>
    <w:rsid w:val="00B6666E"/>
    <w:rsid w:val="00B70A30"/>
    <w:rsid w:val="00B70D02"/>
    <w:rsid w:val="00B71486"/>
    <w:rsid w:val="00B714CE"/>
    <w:rsid w:val="00B744C9"/>
    <w:rsid w:val="00B751CF"/>
    <w:rsid w:val="00B7690C"/>
    <w:rsid w:val="00B8140A"/>
    <w:rsid w:val="00B829E4"/>
    <w:rsid w:val="00B82C98"/>
    <w:rsid w:val="00B83147"/>
    <w:rsid w:val="00B8354C"/>
    <w:rsid w:val="00B83967"/>
    <w:rsid w:val="00B84790"/>
    <w:rsid w:val="00B84B24"/>
    <w:rsid w:val="00B85924"/>
    <w:rsid w:val="00B8620F"/>
    <w:rsid w:val="00B86433"/>
    <w:rsid w:val="00B86F30"/>
    <w:rsid w:val="00B90877"/>
    <w:rsid w:val="00B924F5"/>
    <w:rsid w:val="00B92AB7"/>
    <w:rsid w:val="00B9382A"/>
    <w:rsid w:val="00B9454C"/>
    <w:rsid w:val="00B94E83"/>
    <w:rsid w:val="00B9511D"/>
    <w:rsid w:val="00B95D0D"/>
    <w:rsid w:val="00B96677"/>
    <w:rsid w:val="00B975E6"/>
    <w:rsid w:val="00BA13BA"/>
    <w:rsid w:val="00BA1EE2"/>
    <w:rsid w:val="00BA2BA5"/>
    <w:rsid w:val="00BA30CE"/>
    <w:rsid w:val="00BA39D6"/>
    <w:rsid w:val="00BA4881"/>
    <w:rsid w:val="00BA4C6F"/>
    <w:rsid w:val="00BA6243"/>
    <w:rsid w:val="00BA6FE9"/>
    <w:rsid w:val="00BA7C91"/>
    <w:rsid w:val="00BB14BC"/>
    <w:rsid w:val="00BB1DF9"/>
    <w:rsid w:val="00BB1E09"/>
    <w:rsid w:val="00BB286D"/>
    <w:rsid w:val="00BB2A80"/>
    <w:rsid w:val="00BB3BF3"/>
    <w:rsid w:val="00BB4638"/>
    <w:rsid w:val="00BB489F"/>
    <w:rsid w:val="00BB4E0E"/>
    <w:rsid w:val="00BB4F5D"/>
    <w:rsid w:val="00BB53E5"/>
    <w:rsid w:val="00BB7B2C"/>
    <w:rsid w:val="00BB7BA1"/>
    <w:rsid w:val="00BB7C71"/>
    <w:rsid w:val="00BC1D2F"/>
    <w:rsid w:val="00BC3514"/>
    <w:rsid w:val="00BC3FDF"/>
    <w:rsid w:val="00BC51C2"/>
    <w:rsid w:val="00BC5762"/>
    <w:rsid w:val="00BC5B4E"/>
    <w:rsid w:val="00BC6F39"/>
    <w:rsid w:val="00BD03CE"/>
    <w:rsid w:val="00BD1540"/>
    <w:rsid w:val="00BD1BFA"/>
    <w:rsid w:val="00BD36BD"/>
    <w:rsid w:val="00BD48D7"/>
    <w:rsid w:val="00BD7CB2"/>
    <w:rsid w:val="00BE085F"/>
    <w:rsid w:val="00BE0E8E"/>
    <w:rsid w:val="00BE17D8"/>
    <w:rsid w:val="00BE1B64"/>
    <w:rsid w:val="00BE2658"/>
    <w:rsid w:val="00BE45DC"/>
    <w:rsid w:val="00BE4FF3"/>
    <w:rsid w:val="00BE5DF4"/>
    <w:rsid w:val="00BE60B5"/>
    <w:rsid w:val="00BE6292"/>
    <w:rsid w:val="00BE7B52"/>
    <w:rsid w:val="00BE7BCC"/>
    <w:rsid w:val="00BF248C"/>
    <w:rsid w:val="00BF3577"/>
    <w:rsid w:val="00BF39F1"/>
    <w:rsid w:val="00BF3BB7"/>
    <w:rsid w:val="00BF3C1D"/>
    <w:rsid w:val="00BF576C"/>
    <w:rsid w:val="00BF5BC9"/>
    <w:rsid w:val="00BF7C08"/>
    <w:rsid w:val="00C003A0"/>
    <w:rsid w:val="00C0213F"/>
    <w:rsid w:val="00C028AE"/>
    <w:rsid w:val="00C036CD"/>
    <w:rsid w:val="00C043ED"/>
    <w:rsid w:val="00C101DD"/>
    <w:rsid w:val="00C105ED"/>
    <w:rsid w:val="00C11553"/>
    <w:rsid w:val="00C11BCB"/>
    <w:rsid w:val="00C11C3E"/>
    <w:rsid w:val="00C128D5"/>
    <w:rsid w:val="00C12E87"/>
    <w:rsid w:val="00C12E96"/>
    <w:rsid w:val="00C15A79"/>
    <w:rsid w:val="00C16BD7"/>
    <w:rsid w:val="00C17038"/>
    <w:rsid w:val="00C17626"/>
    <w:rsid w:val="00C17EE4"/>
    <w:rsid w:val="00C20BE4"/>
    <w:rsid w:val="00C210D2"/>
    <w:rsid w:val="00C21133"/>
    <w:rsid w:val="00C21829"/>
    <w:rsid w:val="00C227A1"/>
    <w:rsid w:val="00C2498C"/>
    <w:rsid w:val="00C24ED7"/>
    <w:rsid w:val="00C252B6"/>
    <w:rsid w:val="00C25303"/>
    <w:rsid w:val="00C256EE"/>
    <w:rsid w:val="00C25ABD"/>
    <w:rsid w:val="00C26791"/>
    <w:rsid w:val="00C27B47"/>
    <w:rsid w:val="00C27F06"/>
    <w:rsid w:val="00C301F4"/>
    <w:rsid w:val="00C302EF"/>
    <w:rsid w:val="00C30658"/>
    <w:rsid w:val="00C32BAC"/>
    <w:rsid w:val="00C33C20"/>
    <w:rsid w:val="00C3492A"/>
    <w:rsid w:val="00C361AC"/>
    <w:rsid w:val="00C36572"/>
    <w:rsid w:val="00C37C8B"/>
    <w:rsid w:val="00C40612"/>
    <w:rsid w:val="00C40A50"/>
    <w:rsid w:val="00C411AB"/>
    <w:rsid w:val="00C41836"/>
    <w:rsid w:val="00C420C8"/>
    <w:rsid w:val="00C4386C"/>
    <w:rsid w:val="00C44211"/>
    <w:rsid w:val="00C44C59"/>
    <w:rsid w:val="00C45489"/>
    <w:rsid w:val="00C467C7"/>
    <w:rsid w:val="00C474FC"/>
    <w:rsid w:val="00C50CD7"/>
    <w:rsid w:val="00C51A89"/>
    <w:rsid w:val="00C54BF5"/>
    <w:rsid w:val="00C54EF4"/>
    <w:rsid w:val="00C5584F"/>
    <w:rsid w:val="00C55939"/>
    <w:rsid w:val="00C559AD"/>
    <w:rsid w:val="00C6025A"/>
    <w:rsid w:val="00C60F37"/>
    <w:rsid w:val="00C610A4"/>
    <w:rsid w:val="00C614A2"/>
    <w:rsid w:val="00C61A9C"/>
    <w:rsid w:val="00C61AC1"/>
    <w:rsid w:val="00C630B7"/>
    <w:rsid w:val="00C639FD"/>
    <w:rsid w:val="00C648B2"/>
    <w:rsid w:val="00C659C9"/>
    <w:rsid w:val="00C670ED"/>
    <w:rsid w:val="00C673F8"/>
    <w:rsid w:val="00C673FF"/>
    <w:rsid w:val="00C701A3"/>
    <w:rsid w:val="00C709D4"/>
    <w:rsid w:val="00C70E12"/>
    <w:rsid w:val="00C71523"/>
    <w:rsid w:val="00C7156D"/>
    <w:rsid w:val="00C71816"/>
    <w:rsid w:val="00C729AE"/>
    <w:rsid w:val="00C7339B"/>
    <w:rsid w:val="00C73E00"/>
    <w:rsid w:val="00C768D3"/>
    <w:rsid w:val="00C802F2"/>
    <w:rsid w:val="00C811B3"/>
    <w:rsid w:val="00C811D4"/>
    <w:rsid w:val="00C8277C"/>
    <w:rsid w:val="00C82D67"/>
    <w:rsid w:val="00C85903"/>
    <w:rsid w:val="00C86692"/>
    <w:rsid w:val="00C86BE2"/>
    <w:rsid w:val="00C928F0"/>
    <w:rsid w:val="00C93ED2"/>
    <w:rsid w:val="00C94A6B"/>
    <w:rsid w:val="00C95D7C"/>
    <w:rsid w:val="00C9609A"/>
    <w:rsid w:val="00C96CE4"/>
    <w:rsid w:val="00C97C3F"/>
    <w:rsid w:val="00CA0995"/>
    <w:rsid w:val="00CA161C"/>
    <w:rsid w:val="00CA1841"/>
    <w:rsid w:val="00CA1BEB"/>
    <w:rsid w:val="00CA23D8"/>
    <w:rsid w:val="00CA35C3"/>
    <w:rsid w:val="00CA3719"/>
    <w:rsid w:val="00CA449E"/>
    <w:rsid w:val="00CA4E2B"/>
    <w:rsid w:val="00CA51CC"/>
    <w:rsid w:val="00CA57DD"/>
    <w:rsid w:val="00CA5FB8"/>
    <w:rsid w:val="00CA6183"/>
    <w:rsid w:val="00CA667D"/>
    <w:rsid w:val="00CA6ADA"/>
    <w:rsid w:val="00CA6E36"/>
    <w:rsid w:val="00CA7E02"/>
    <w:rsid w:val="00CB0750"/>
    <w:rsid w:val="00CB0C9E"/>
    <w:rsid w:val="00CB33D9"/>
    <w:rsid w:val="00CB3EC1"/>
    <w:rsid w:val="00CB4F7F"/>
    <w:rsid w:val="00CB4FD2"/>
    <w:rsid w:val="00CB500B"/>
    <w:rsid w:val="00CB55EA"/>
    <w:rsid w:val="00CB6603"/>
    <w:rsid w:val="00CB6D36"/>
    <w:rsid w:val="00CB72B3"/>
    <w:rsid w:val="00CB7E91"/>
    <w:rsid w:val="00CC0026"/>
    <w:rsid w:val="00CC0728"/>
    <w:rsid w:val="00CC20ED"/>
    <w:rsid w:val="00CC2A7A"/>
    <w:rsid w:val="00CC3016"/>
    <w:rsid w:val="00CC35C9"/>
    <w:rsid w:val="00CC38EE"/>
    <w:rsid w:val="00CC428C"/>
    <w:rsid w:val="00CC5D66"/>
    <w:rsid w:val="00CC6122"/>
    <w:rsid w:val="00CC6D1F"/>
    <w:rsid w:val="00CC6FAF"/>
    <w:rsid w:val="00CC7FA8"/>
    <w:rsid w:val="00CD114C"/>
    <w:rsid w:val="00CD17D5"/>
    <w:rsid w:val="00CD268B"/>
    <w:rsid w:val="00CD298D"/>
    <w:rsid w:val="00CD2BE0"/>
    <w:rsid w:val="00CD3E02"/>
    <w:rsid w:val="00CD409F"/>
    <w:rsid w:val="00CD497E"/>
    <w:rsid w:val="00CD4EF3"/>
    <w:rsid w:val="00CD6BE7"/>
    <w:rsid w:val="00CE06C2"/>
    <w:rsid w:val="00CE132C"/>
    <w:rsid w:val="00CE2357"/>
    <w:rsid w:val="00CE5554"/>
    <w:rsid w:val="00CF3AA8"/>
    <w:rsid w:val="00CF3CDD"/>
    <w:rsid w:val="00CF5F6C"/>
    <w:rsid w:val="00CF7366"/>
    <w:rsid w:val="00D00391"/>
    <w:rsid w:val="00D004D5"/>
    <w:rsid w:val="00D0081A"/>
    <w:rsid w:val="00D01432"/>
    <w:rsid w:val="00D0169A"/>
    <w:rsid w:val="00D022BE"/>
    <w:rsid w:val="00D023FF"/>
    <w:rsid w:val="00D027C1"/>
    <w:rsid w:val="00D02B01"/>
    <w:rsid w:val="00D04382"/>
    <w:rsid w:val="00D0540C"/>
    <w:rsid w:val="00D06A1C"/>
    <w:rsid w:val="00D07333"/>
    <w:rsid w:val="00D07657"/>
    <w:rsid w:val="00D07743"/>
    <w:rsid w:val="00D106DE"/>
    <w:rsid w:val="00D11854"/>
    <w:rsid w:val="00D11CC2"/>
    <w:rsid w:val="00D12BDD"/>
    <w:rsid w:val="00D1313F"/>
    <w:rsid w:val="00D1382F"/>
    <w:rsid w:val="00D13DE5"/>
    <w:rsid w:val="00D142C3"/>
    <w:rsid w:val="00D14985"/>
    <w:rsid w:val="00D15271"/>
    <w:rsid w:val="00D16E02"/>
    <w:rsid w:val="00D17B77"/>
    <w:rsid w:val="00D206BC"/>
    <w:rsid w:val="00D20B58"/>
    <w:rsid w:val="00D21B15"/>
    <w:rsid w:val="00D22CE7"/>
    <w:rsid w:val="00D23C9A"/>
    <w:rsid w:val="00D248C4"/>
    <w:rsid w:val="00D2495C"/>
    <w:rsid w:val="00D25B48"/>
    <w:rsid w:val="00D278E7"/>
    <w:rsid w:val="00D305C3"/>
    <w:rsid w:val="00D30797"/>
    <w:rsid w:val="00D321F5"/>
    <w:rsid w:val="00D32FDD"/>
    <w:rsid w:val="00D341DE"/>
    <w:rsid w:val="00D35A6C"/>
    <w:rsid w:val="00D36255"/>
    <w:rsid w:val="00D36B7E"/>
    <w:rsid w:val="00D36C8F"/>
    <w:rsid w:val="00D36ED7"/>
    <w:rsid w:val="00D3714C"/>
    <w:rsid w:val="00D37ACA"/>
    <w:rsid w:val="00D4147E"/>
    <w:rsid w:val="00D41FD4"/>
    <w:rsid w:val="00D42760"/>
    <w:rsid w:val="00D43556"/>
    <w:rsid w:val="00D45729"/>
    <w:rsid w:val="00D4725C"/>
    <w:rsid w:val="00D47CF6"/>
    <w:rsid w:val="00D506D9"/>
    <w:rsid w:val="00D50D09"/>
    <w:rsid w:val="00D51539"/>
    <w:rsid w:val="00D51917"/>
    <w:rsid w:val="00D529AA"/>
    <w:rsid w:val="00D52DFB"/>
    <w:rsid w:val="00D52FC0"/>
    <w:rsid w:val="00D52FE1"/>
    <w:rsid w:val="00D530CB"/>
    <w:rsid w:val="00D53911"/>
    <w:rsid w:val="00D54689"/>
    <w:rsid w:val="00D5501B"/>
    <w:rsid w:val="00D561BB"/>
    <w:rsid w:val="00D56234"/>
    <w:rsid w:val="00D57F0F"/>
    <w:rsid w:val="00D626FF"/>
    <w:rsid w:val="00D63F14"/>
    <w:rsid w:val="00D644D1"/>
    <w:rsid w:val="00D647F6"/>
    <w:rsid w:val="00D65405"/>
    <w:rsid w:val="00D65406"/>
    <w:rsid w:val="00D6643B"/>
    <w:rsid w:val="00D67168"/>
    <w:rsid w:val="00D7072B"/>
    <w:rsid w:val="00D7144F"/>
    <w:rsid w:val="00D72BDC"/>
    <w:rsid w:val="00D7333A"/>
    <w:rsid w:val="00D73754"/>
    <w:rsid w:val="00D73A95"/>
    <w:rsid w:val="00D73AC2"/>
    <w:rsid w:val="00D740BA"/>
    <w:rsid w:val="00D74534"/>
    <w:rsid w:val="00D75494"/>
    <w:rsid w:val="00D768CE"/>
    <w:rsid w:val="00D8337C"/>
    <w:rsid w:val="00D83AAC"/>
    <w:rsid w:val="00D83D7F"/>
    <w:rsid w:val="00D848EB"/>
    <w:rsid w:val="00D84F19"/>
    <w:rsid w:val="00D85CFD"/>
    <w:rsid w:val="00D8629E"/>
    <w:rsid w:val="00D86CF0"/>
    <w:rsid w:val="00D9201D"/>
    <w:rsid w:val="00D931A1"/>
    <w:rsid w:val="00D93642"/>
    <w:rsid w:val="00D936A8"/>
    <w:rsid w:val="00D95573"/>
    <w:rsid w:val="00D96E82"/>
    <w:rsid w:val="00D97CB8"/>
    <w:rsid w:val="00D97FD1"/>
    <w:rsid w:val="00DA4004"/>
    <w:rsid w:val="00DA43E2"/>
    <w:rsid w:val="00DA51D3"/>
    <w:rsid w:val="00DA5305"/>
    <w:rsid w:val="00DA5346"/>
    <w:rsid w:val="00DA601E"/>
    <w:rsid w:val="00DA61D4"/>
    <w:rsid w:val="00DB1268"/>
    <w:rsid w:val="00DB1FF3"/>
    <w:rsid w:val="00DB496E"/>
    <w:rsid w:val="00DB661B"/>
    <w:rsid w:val="00DB6AA5"/>
    <w:rsid w:val="00DC1854"/>
    <w:rsid w:val="00DC1EDF"/>
    <w:rsid w:val="00DC2672"/>
    <w:rsid w:val="00DC2745"/>
    <w:rsid w:val="00DC2848"/>
    <w:rsid w:val="00DC2AD3"/>
    <w:rsid w:val="00DC2FFB"/>
    <w:rsid w:val="00DC3FD6"/>
    <w:rsid w:val="00DC484C"/>
    <w:rsid w:val="00DC59B0"/>
    <w:rsid w:val="00DC64A3"/>
    <w:rsid w:val="00DC6D46"/>
    <w:rsid w:val="00DC744D"/>
    <w:rsid w:val="00DD03EE"/>
    <w:rsid w:val="00DD14F1"/>
    <w:rsid w:val="00DD194F"/>
    <w:rsid w:val="00DD21D6"/>
    <w:rsid w:val="00DD4355"/>
    <w:rsid w:val="00DD4B2B"/>
    <w:rsid w:val="00DD54F7"/>
    <w:rsid w:val="00DD5FE2"/>
    <w:rsid w:val="00DD62D0"/>
    <w:rsid w:val="00DD67EF"/>
    <w:rsid w:val="00DD752F"/>
    <w:rsid w:val="00DD7A27"/>
    <w:rsid w:val="00DD7C44"/>
    <w:rsid w:val="00DE0730"/>
    <w:rsid w:val="00DE12BA"/>
    <w:rsid w:val="00DE1A2E"/>
    <w:rsid w:val="00DE1B81"/>
    <w:rsid w:val="00DE2AE0"/>
    <w:rsid w:val="00DE2C94"/>
    <w:rsid w:val="00DE45E4"/>
    <w:rsid w:val="00DE5614"/>
    <w:rsid w:val="00DE6312"/>
    <w:rsid w:val="00DE6D44"/>
    <w:rsid w:val="00DE6FF1"/>
    <w:rsid w:val="00DE7168"/>
    <w:rsid w:val="00DE780C"/>
    <w:rsid w:val="00DF0148"/>
    <w:rsid w:val="00DF07FA"/>
    <w:rsid w:val="00DF2160"/>
    <w:rsid w:val="00DF25BF"/>
    <w:rsid w:val="00DF298E"/>
    <w:rsid w:val="00DF2F5C"/>
    <w:rsid w:val="00DF370F"/>
    <w:rsid w:val="00DF459C"/>
    <w:rsid w:val="00DF5407"/>
    <w:rsid w:val="00DF5429"/>
    <w:rsid w:val="00DF5477"/>
    <w:rsid w:val="00DF59E5"/>
    <w:rsid w:val="00E00741"/>
    <w:rsid w:val="00E02A93"/>
    <w:rsid w:val="00E02F6F"/>
    <w:rsid w:val="00E03754"/>
    <w:rsid w:val="00E04DFB"/>
    <w:rsid w:val="00E062CE"/>
    <w:rsid w:val="00E064D9"/>
    <w:rsid w:val="00E07F7D"/>
    <w:rsid w:val="00E1056E"/>
    <w:rsid w:val="00E14319"/>
    <w:rsid w:val="00E14D22"/>
    <w:rsid w:val="00E158EF"/>
    <w:rsid w:val="00E15AD4"/>
    <w:rsid w:val="00E160EF"/>
    <w:rsid w:val="00E20480"/>
    <w:rsid w:val="00E204BA"/>
    <w:rsid w:val="00E21426"/>
    <w:rsid w:val="00E21662"/>
    <w:rsid w:val="00E21682"/>
    <w:rsid w:val="00E21AA8"/>
    <w:rsid w:val="00E21E46"/>
    <w:rsid w:val="00E238FB"/>
    <w:rsid w:val="00E23DB4"/>
    <w:rsid w:val="00E24BD1"/>
    <w:rsid w:val="00E24FAA"/>
    <w:rsid w:val="00E261F5"/>
    <w:rsid w:val="00E26A32"/>
    <w:rsid w:val="00E27A46"/>
    <w:rsid w:val="00E30A2C"/>
    <w:rsid w:val="00E30D4A"/>
    <w:rsid w:val="00E30F53"/>
    <w:rsid w:val="00E31142"/>
    <w:rsid w:val="00E3178F"/>
    <w:rsid w:val="00E31E9B"/>
    <w:rsid w:val="00E3407B"/>
    <w:rsid w:val="00E35692"/>
    <w:rsid w:val="00E35E63"/>
    <w:rsid w:val="00E3774C"/>
    <w:rsid w:val="00E41FC9"/>
    <w:rsid w:val="00E42B4F"/>
    <w:rsid w:val="00E43F38"/>
    <w:rsid w:val="00E442DB"/>
    <w:rsid w:val="00E4441E"/>
    <w:rsid w:val="00E45349"/>
    <w:rsid w:val="00E471CC"/>
    <w:rsid w:val="00E51B9D"/>
    <w:rsid w:val="00E530E8"/>
    <w:rsid w:val="00E542A4"/>
    <w:rsid w:val="00E550C0"/>
    <w:rsid w:val="00E55211"/>
    <w:rsid w:val="00E55FAD"/>
    <w:rsid w:val="00E56384"/>
    <w:rsid w:val="00E57225"/>
    <w:rsid w:val="00E574F7"/>
    <w:rsid w:val="00E60FFA"/>
    <w:rsid w:val="00E615AA"/>
    <w:rsid w:val="00E63FB8"/>
    <w:rsid w:val="00E65CC2"/>
    <w:rsid w:val="00E65D70"/>
    <w:rsid w:val="00E661EE"/>
    <w:rsid w:val="00E66CA6"/>
    <w:rsid w:val="00E67106"/>
    <w:rsid w:val="00E672B5"/>
    <w:rsid w:val="00E67EC4"/>
    <w:rsid w:val="00E707D7"/>
    <w:rsid w:val="00E70FB6"/>
    <w:rsid w:val="00E72D92"/>
    <w:rsid w:val="00E72DB8"/>
    <w:rsid w:val="00E742E8"/>
    <w:rsid w:val="00E76AAE"/>
    <w:rsid w:val="00E76AC6"/>
    <w:rsid w:val="00E8118C"/>
    <w:rsid w:val="00E846AF"/>
    <w:rsid w:val="00E85355"/>
    <w:rsid w:val="00E86595"/>
    <w:rsid w:val="00E87D9F"/>
    <w:rsid w:val="00E9022A"/>
    <w:rsid w:val="00E90378"/>
    <w:rsid w:val="00E91299"/>
    <w:rsid w:val="00E9141D"/>
    <w:rsid w:val="00E9361E"/>
    <w:rsid w:val="00E93C7C"/>
    <w:rsid w:val="00E944D1"/>
    <w:rsid w:val="00E94CC8"/>
    <w:rsid w:val="00E97CD9"/>
    <w:rsid w:val="00EA3675"/>
    <w:rsid w:val="00EA4714"/>
    <w:rsid w:val="00EA6A3F"/>
    <w:rsid w:val="00EB0862"/>
    <w:rsid w:val="00EB08F6"/>
    <w:rsid w:val="00EB21DD"/>
    <w:rsid w:val="00EB28E8"/>
    <w:rsid w:val="00EB3093"/>
    <w:rsid w:val="00EB4503"/>
    <w:rsid w:val="00EB4504"/>
    <w:rsid w:val="00EB57B5"/>
    <w:rsid w:val="00EC0815"/>
    <w:rsid w:val="00EC105B"/>
    <w:rsid w:val="00EC1A88"/>
    <w:rsid w:val="00EC20F5"/>
    <w:rsid w:val="00EC2235"/>
    <w:rsid w:val="00EC5042"/>
    <w:rsid w:val="00EC7323"/>
    <w:rsid w:val="00ED2057"/>
    <w:rsid w:val="00ED2E9F"/>
    <w:rsid w:val="00ED3F47"/>
    <w:rsid w:val="00ED7074"/>
    <w:rsid w:val="00EE178D"/>
    <w:rsid w:val="00EE3936"/>
    <w:rsid w:val="00EE3B2F"/>
    <w:rsid w:val="00EE3E62"/>
    <w:rsid w:val="00EE4A01"/>
    <w:rsid w:val="00EE6C8E"/>
    <w:rsid w:val="00EF11C4"/>
    <w:rsid w:val="00EF1616"/>
    <w:rsid w:val="00EF215E"/>
    <w:rsid w:val="00EF2A4C"/>
    <w:rsid w:val="00EF2AD3"/>
    <w:rsid w:val="00EF5072"/>
    <w:rsid w:val="00EF5CE6"/>
    <w:rsid w:val="00EF7F69"/>
    <w:rsid w:val="00EF7F71"/>
    <w:rsid w:val="00F001A8"/>
    <w:rsid w:val="00F02D71"/>
    <w:rsid w:val="00F03916"/>
    <w:rsid w:val="00F039DD"/>
    <w:rsid w:val="00F03F1C"/>
    <w:rsid w:val="00F0426D"/>
    <w:rsid w:val="00F067D3"/>
    <w:rsid w:val="00F06DFB"/>
    <w:rsid w:val="00F10441"/>
    <w:rsid w:val="00F10BC0"/>
    <w:rsid w:val="00F11556"/>
    <w:rsid w:val="00F12934"/>
    <w:rsid w:val="00F13EFC"/>
    <w:rsid w:val="00F13F8E"/>
    <w:rsid w:val="00F16656"/>
    <w:rsid w:val="00F16B8F"/>
    <w:rsid w:val="00F2197B"/>
    <w:rsid w:val="00F250E5"/>
    <w:rsid w:val="00F262EE"/>
    <w:rsid w:val="00F269A1"/>
    <w:rsid w:val="00F309B2"/>
    <w:rsid w:val="00F30C40"/>
    <w:rsid w:val="00F314B8"/>
    <w:rsid w:val="00F31A2E"/>
    <w:rsid w:val="00F31E13"/>
    <w:rsid w:val="00F32677"/>
    <w:rsid w:val="00F32C82"/>
    <w:rsid w:val="00F33E8B"/>
    <w:rsid w:val="00F361A7"/>
    <w:rsid w:val="00F368AD"/>
    <w:rsid w:val="00F41123"/>
    <w:rsid w:val="00F44D8C"/>
    <w:rsid w:val="00F50782"/>
    <w:rsid w:val="00F51036"/>
    <w:rsid w:val="00F524F9"/>
    <w:rsid w:val="00F531D9"/>
    <w:rsid w:val="00F533FF"/>
    <w:rsid w:val="00F5394A"/>
    <w:rsid w:val="00F613B1"/>
    <w:rsid w:val="00F62162"/>
    <w:rsid w:val="00F639CC"/>
    <w:rsid w:val="00F642E4"/>
    <w:rsid w:val="00F65C53"/>
    <w:rsid w:val="00F678DE"/>
    <w:rsid w:val="00F67E40"/>
    <w:rsid w:val="00F701ED"/>
    <w:rsid w:val="00F704F6"/>
    <w:rsid w:val="00F71615"/>
    <w:rsid w:val="00F71692"/>
    <w:rsid w:val="00F71BD4"/>
    <w:rsid w:val="00F71D90"/>
    <w:rsid w:val="00F7292E"/>
    <w:rsid w:val="00F76B0E"/>
    <w:rsid w:val="00F77A2B"/>
    <w:rsid w:val="00F77B56"/>
    <w:rsid w:val="00F80684"/>
    <w:rsid w:val="00F808E4"/>
    <w:rsid w:val="00F818E9"/>
    <w:rsid w:val="00F82203"/>
    <w:rsid w:val="00F82991"/>
    <w:rsid w:val="00F839F9"/>
    <w:rsid w:val="00F83C96"/>
    <w:rsid w:val="00F83DBE"/>
    <w:rsid w:val="00F84871"/>
    <w:rsid w:val="00F86BAF"/>
    <w:rsid w:val="00F870C6"/>
    <w:rsid w:val="00F875B1"/>
    <w:rsid w:val="00F87B51"/>
    <w:rsid w:val="00F9070C"/>
    <w:rsid w:val="00F9134A"/>
    <w:rsid w:val="00F914C2"/>
    <w:rsid w:val="00F93B55"/>
    <w:rsid w:val="00F95F62"/>
    <w:rsid w:val="00F966D6"/>
    <w:rsid w:val="00F969DA"/>
    <w:rsid w:val="00F97116"/>
    <w:rsid w:val="00F977F9"/>
    <w:rsid w:val="00FA027C"/>
    <w:rsid w:val="00FA1910"/>
    <w:rsid w:val="00FA272A"/>
    <w:rsid w:val="00FA276A"/>
    <w:rsid w:val="00FA29C4"/>
    <w:rsid w:val="00FA30F6"/>
    <w:rsid w:val="00FA3599"/>
    <w:rsid w:val="00FA3680"/>
    <w:rsid w:val="00FA3CB6"/>
    <w:rsid w:val="00FA4EAC"/>
    <w:rsid w:val="00FA5599"/>
    <w:rsid w:val="00FA76C9"/>
    <w:rsid w:val="00FA7790"/>
    <w:rsid w:val="00FB0ECA"/>
    <w:rsid w:val="00FB1D9D"/>
    <w:rsid w:val="00FB44A3"/>
    <w:rsid w:val="00FC0718"/>
    <w:rsid w:val="00FC0F78"/>
    <w:rsid w:val="00FC2603"/>
    <w:rsid w:val="00FC70EB"/>
    <w:rsid w:val="00FC7964"/>
    <w:rsid w:val="00FD0C91"/>
    <w:rsid w:val="00FD0CF1"/>
    <w:rsid w:val="00FD20F0"/>
    <w:rsid w:val="00FD2C8D"/>
    <w:rsid w:val="00FD2F15"/>
    <w:rsid w:val="00FD3A3E"/>
    <w:rsid w:val="00FD40BE"/>
    <w:rsid w:val="00FE0DCC"/>
    <w:rsid w:val="00FE19E0"/>
    <w:rsid w:val="00FE29FC"/>
    <w:rsid w:val="00FE3FDE"/>
    <w:rsid w:val="00FE4AEF"/>
    <w:rsid w:val="00FE55B2"/>
    <w:rsid w:val="00FE5CF7"/>
    <w:rsid w:val="00FE64A0"/>
    <w:rsid w:val="00FE700F"/>
    <w:rsid w:val="00FE7423"/>
    <w:rsid w:val="00FE79A7"/>
    <w:rsid w:val="00FE7E9C"/>
    <w:rsid w:val="00FE7FBC"/>
    <w:rsid w:val="00FF1C22"/>
    <w:rsid w:val="00FF3316"/>
    <w:rsid w:val="00FF45FA"/>
    <w:rsid w:val="00FF60E9"/>
    <w:rsid w:val="00FF7D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B625CF"/>
  <w15:chartTrackingRefBased/>
  <w15:docId w15:val="{55D5F862-1508-425F-B426-0861410C6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248C"/>
  </w:style>
  <w:style w:type="paragraph" w:styleId="Heading1">
    <w:name w:val="heading 1"/>
    <w:basedOn w:val="Normal"/>
    <w:next w:val="Normal"/>
    <w:link w:val="Heading1Char"/>
    <w:uiPriority w:val="9"/>
    <w:qFormat/>
    <w:rsid w:val="000B2EC5"/>
    <w:pPr>
      <w:keepNext/>
      <w:keepLines/>
      <w:spacing w:before="360" w:after="8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D004D5"/>
    <w:pPr>
      <w:keepNext/>
      <w:keepLines/>
      <w:spacing w:before="160" w:after="80"/>
      <w:outlineLvl w:val="1"/>
    </w:pPr>
    <w:rPr>
      <w:rFonts w:asciiTheme="majorHAnsi" w:eastAsiaTheme="majorEastAsia" w:hAnsiTheme="majorHAnsi" w:cstheme="majorBidi"/>
      <w:b/>
      <w:bCs/>
    </w:rPr>
  </w:style>
  <w:style w:type="paragraph" w:styleId="Heading3">
    <w:name w:val="heading 3"/>
    <w:basedOn w:val="Normal"/>
    <w:next w:val="Normal"/>
    <w:link w:val="Heading3Char"/>
    <w:uiPriority w:val="9"/>
    <w:unhideWhenUsed/>
    <w:qFormat/>
    <w:rsid w:val="00D004D5"/>
    <w:pPr>
      <w:keepNext/>
      <w:keepLines/>
      <w:spacing w:before="160" w:after="80"/>
      <w:outlineLvl w:val="2"/>
    </w:pPr>
    <w:rPr>
      <w:rFonts w:eastAsiaTheme="majorEastAsia" w:cstheme="majorBidi"/>
      <w:i/>
      <w:iCs/>
    </w:rPr>
  </w:style>
  <w:style w:type="paragraph" w:styleId="Heading4">
    <w:name w:val="heading 4"/>
    <w:basedOn w:val="Normal"/>
    <w:next w:val="Normal"/>
    <w:link w:val="Heading4Char"/>
    <w:uiPriority w:val="9"/>
    <w:unhideWhenUsed/>
    <w:qFormat/>
    <w:rsid w:val="00045121"/>
    <w:pPr>
      <w:keepNext/>
      <w:keepLines/>
      <w:spacing w:before="80" w:after="40"/>
      <w:outlineLvl w:val="3"/>
    </w:pPr>
    <w:rPr>
      <w:rFonts w:eastAsiaTheme="majorEastAsia" w:cstheme="majorBidi"/>
      <w:i/>
      <w:iCs/>
    </w:rPr>
  </w:style>
  <w:style w:type="paragraph" w:styleId="Heading5">
    <w:name w:val="heading 5"/>
    <w:basedOn w:val="Normal"/>
    <w:next w:val="Normal"/>
    <w:link w:val="Heading5Char"/>
    <w:uiPriority w:val="9"/>
    <w:semiHidden/>
    <w:unhideWhenUsed/>
    <w:qFormat/>
    <w:rsid w:val="00DD67E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D67E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D67E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D67E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D67E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2EC5"/>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D004D5"/>
    <w:rPr>
      <w:rFonts w:asciiTheme="majorHAnsi" w:eastAsiaTheme="majorEastAsia" w:hAnsiTheme="majorHAnsi" w:cstheme="majorBidi"/>
      <w:b/>
      <w:bCs/>
    </w:rPr>
  </w:style>
  <w:style w:type="character" w:customStyle="1" w:styleId="Heading3Char">
    <w:name w:val="Heading 3 Char"/>
    <w:basedOn w:val="DefaultParagraphFont"/>
    <w:link w:val="Heading3"/>
    <w:uiPriority w:val="9"/>
    <w:rsid w:val="00D004D5"/>
    <w:rPr>
      <w:rFonts w:eastAsiaTheme="majorEastAsia" w:cstheme="majorBidi"/>
      <w:i/>
      <w:iCs/>
    </w:rPr>
  </w:style>
  <w:style w:type="character" w:customStyle="1" w:styleId="Heading4Char">
    <w:name w:val="Heading 4 Char"/>
    <w:basedOn w:val="DefaultParagraphFont"/>
    <w:link w:val="Heading4"/>
    <w:uiPriority w:val="9"/>
    <w:rsid w:val="00045121"/>
    <w:rPr>
      <w:rFonts w:eastAsiaTheme="majorEastAsia" w:cstheme="majorBidi"/>
      <w:i/>
      <w:iCs/>
    </w:rPr>
  </w:style>
  <w:style w:type="character" w:customStyle="1" w:styleId="Heading5Char">
    <w:name w:val="Heading 5 Char"/>
    <w:basedOn w:val="DefaultParagraphFont"/>
    <w:link w:val="Heading5"/>
    <w:uiPriority w:val="9"/>
    <w:semiHidden/>
    <w:rsid w:val="00DD67E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D67E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D67E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D67E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D67EF"/>
    <w:rPr>
      <w:rFonts w:eastAsiaTheme="majorEastAsia" w:cstheme="majorBidi"/>
      <w:color w:val="272727" w:themeColor="text1" w:themeTint="D8"/>
    </w:rPr>
  </w:style>
  <w:style w:type="paragraph" w:styleId="Title">
    <w:name w:val="Title"/>
    <w:basedOn w:val="Normal"/>
    <w:next w:val="Normal"/>
    <w:link w:val="TitleChar"/>
    <w:uiPriority w:val="10"/>
    <w:qFormat/>
    <w:rsid w:val="000B2EC5"/>
    <w:pPr>
      <w:spacing w:after="80" w:line="240" w:lineRule="auto"/>
      <w:contextualSpacing/>
    </w:pPr>
    <w:rPr>
      <w:rFonts w:asciiTheme="majorHAnsi" w:eastAsiaTheme="majorEastAsia" w:hAnsiTheme="majorHAnsi" w:cstheme="majorBidi"/>
      <w:b/>
      <w:bCs/>
      <w:spacing w:val="-10"/>
      <w:kern w:val="28"/>
      <w:sz w:val="32"/>
      <w:szCs w:val="32"/>
    </w:rPr>
  </w:style>
  <w:style w:type="character" w:customStyle="1" w:styleId="TitleChar">
    <w:name w:val="Title Char"/>
    <w:basedOn w:val="DefaultParagraphFont"/>
    <w:link w:val="Title"/>
    <w:uiPriority w:val="10"/>
    <w:rsid w:val="000B2EC5"/>
    <w:rPr>
      <w:rFonts w:asciiTheme="majorHAnsi" w:eastAsiaTheme="majorEastAsia" w:hAnsiTheme="majorHAnsi" w:cstheme="majorBidi"/>
      <w:b/>
      <w:bCs/>
      <w:spacing w:val="-10"/>
      <w:kern w:val="28"/>
      <w:sz w:val="32"/>
      <w:szCs w:val="32"/>
    </w:rPr>
  </w:style>
  <w:style w:type="paragraph" w:styleId="Subtitle">
    <w:name w:val="Subtitle"/>
    <w:basedOn w:val="Normal"/>
    <w:next w:val="Normal"/>
    <w:link w:val="SubtitleChar"/>
    <w:uiPriority w:val="11"/>
    <w:qFormat/>
    <w:rsid w:val="00DD67E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D67E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D67EF"/>
    <w:pPr>
      <w:spacing w:before="160"/>
      <w:jc w:val="center"/>
    </w:pPr>
    <w:rPr>
      <w:i/>
      <w:iCs/>
      <w:color w:val="404040" w:themeColor="text1" w:themeTint="BF"/>
    </w:rPr>
  </w:style>
  <w:style w:type="character" w:customStyle="1" w:styleId="QuoteChar">
    <w:name w:val="Quote Char"/>
    <w:basedOn w:val="DefaultParagraphFont"/>
    <w:link w:val="Quote"/>
    <w:uiPriority w:val="29"/>
    <w:rsid w:val="00DD67EF"/>
    <w:rPr>
      <w:i/>
      <w:iCs/>
      <w:color w:val="404040" w:themeColor="text1" w:themeTint="BF"/>
    </w:rPr>
  </w:style>
  <w:style w:type="paragraph" w:styleId="ListParagraph">
    <w:name w:val="List Paragraph"/>
    <w:basedOn w:val="Normal"/>
    <w:uiPriority w:val="34"/>
    <w:qFormat/>
    <w:rsid w:val="00DD67EF"/>
    <w:pPr>
      <w:ind w:left="720"/>
      <w:contextualSpacing/>
    </w:pPr>
  </w:style>
  <w:style w:type="character" w:styleId="IntenseEmphasis">
    <w:name w:val="Intense Emphasis"/>
    <w:basedOn w:val="DefaultParagraphFont"/>
    <w:uiPriority w:val="21"/>
    <w:qFormat/>
    <w:rsid w:val="00DD67EF"/>
    <w:rPr>
      <w:i/>
      <w:iCs/>
      <w:color w:val="0F4761" w:themeColor="accent1" w:themeShade="BF"/>
    </w:rPr>
  </w:style>
  <w:style w:type="paragraph" w:styleId="IntenseQuote">
    <w:name w:val="Intense Quote"/>
    <w:basedOn w:val="Normal"/>
    <w:next w:val="Normal"/>
    <w:link w:val="IntenseQuoteChar"/>
    <w:uiPriority w:val="30"/>
    <w:qFormat/>
    <w:rsid w:val="00DD67E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D67EF"/>
    <w:rPr>
      <w:i/>
      <w:iCs/>
      <w:color w:val="0F4761" w:themeColor="accent1" w:themeShade="BF"/>
    </w:rPr>
  </w:style>
  <w:style w:type="character" w:styleId="IntenseReference">
    <w:name w:val="Intense Reference"/>
    <w:basedOn w:val="DefaultParagraphFont"/>
    <w:uiPriority w:val="32"/>
    <w:qFormat/>
    <w:rsid w:val="00DD67EF"/>
    <w:rPr>
      <w:b/>
      <w:bCs/>
      <w:smallCaps/>
      <w:color w:val="0F4761" w:themeColor="accent1" w:themeShade="BF"/>
      <w:spacing w:val="5"/>
    </w:rPr>
  </w:style>
  <w:style w:type="character" w:styleId="CommentReference">
    <w:name w:val="annotation reference"/>
    <w:basedOn w:val="DefaultParagraphFont"/>
    <w:unhideWhenUsed/>
    <w:rsid w:val="00BB4E0E"/>
    <w:rPr>
      <w:sz w:val="16"/>
      <w:szCs w:val="16"/>
    </w:rPr>
  </w:style>
  <w:style w:type="paragraph" w:styleId="CommentText">
    <w:name w:val="annotation text"/>
    <w:basedOn w:val="Normal"/>
    <w:link w:val="CommentTextChar"/>
    <w:unhideWhenUsed/>
    <w:rsid w:val="00BB4E0E"/>
    <w:pPr>
      <w:spacing w:line="240" w:lineRule="auto"/>
    </w:pPr>
    <w:rPr>
      <w:sz w:val="20"/>
      <w:szCs w:val="20"/>
    </w:rPr>
  </w:style>
  <w:style w:type="character" w:customStyle="1" w:styleId="CommentTextChar">
    <w:name w:val="Comment Text Char"/>
    <w:basedOn w:val="DefaultParagraphFont"/>
    <w:link w:val="CommentText"/>
    <w:rsid w:val="00BB4E0E"/>
    <w:rPr>
      <w:sz w:val="20"/>
      <w:szCs w:val="20"/>
    </w:rPr>
  </w:style>
  <w:style w:type="paragraph" w:styleId="CommentSubject">
    <w:name w:val="annotation subject"/>
    <w:basedOn w:val="CommentText"/>
    <w:next w:val="CommentText"/>
    <w:link w:val="CommentSubjectChar"/>
    <w:uiPriority w:val="99"/>
    <w:semiHidden/>
    <w:unhideWhenUsed/>
    <w:rsid w:val="00BB4E0E"/>
    <w:rPr>
      <w:b/>
      <w:bCs/>
    </w:rPr>
  </w:style>
  <w:style w:type="character" w:customStyle="1" w:styleId="CommentSubjectChar">
    <w:name w:val="Comment Subject Char"/>
    <w:basedOn w:val="CommentTextChar"/>
    <w:link w:val="CommentSubject"/>
    <w:uiPriority w:val="99"/>
    <w:semiHidden/>
    <w:rsid w:val="00BB4E0E"/>
    <w:rPr>
      <w:b/>
      <w:bCs/>
      <w:sz w:val="20"/>
      <w:szCs w:val="20"/>
    </w:rPr>
  </w:style>
  <w:style w:type="paragraph" w:styleId="Bibliography">
    <w:name w:val="Bibliography"/>
    <w:basedOn w:val="Normal"/>
    <w:next w:val="Normal"/>
    <w:uiPriority w:val="37"/>
    <w:unhideWhenUsed/>
    <w:rsid w:val="009B1689"/>
    <w:pPr>
      <w:tabs>
        <w:tab w:val="left" w:pos="264"/>
      </w:tabs>
      <w:spacing w:after="0" w:line="480" w:lineRule="auto"/>
      <w:ind w:left="264" w:hanging="264"/>
    </w:pPr>
  </w:style>
  <w:style w:type="table" w:styleId="TableGrid">
    <w:name w:val="Table Grid"/>
    <w:basedOn w:val="TableNormal"/>
    <w:uiPriority w:val="39"/>
    <w:rsid w:val="000F79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unhideWhenUsed/>
    <w:qFormat/>
    <w:rsid w:val="00555758"/>
    <w:pPr>
      <w:spacing w:after="0" w:line="240" w:lineRule="auto"/>
      <w:jc w:val="both"/>
    </w:pPr>
    <w:rPr>
      <w:b/>
      <w:bCs/>
      <w:sz w:val="18"/>
      <w:szCs w:val="18"/>
    </w:rPr>
  </w:style>
  <w:style w:type="paragraph" w:styleId="BodyText">
    <w:name w:val="Body Text"/>
    <w:basedOn w:val="Normal"/>
    <w:link w:val="BodyTextChar"/>
    <w:qFormat/>
    <w:rsid w:val="0023564F"/>
    <w:pPr>
      <w:spacing w:before="120" w:after="120" w:line="240" w:lineRule="auto"/>
    </w:pPr>
    <w:rPr>
      <w:kern w:val="0"/>
      <w:lang w:val="en-US"/>
      <w14:ligatures w14:val="none"/>
    </w:rPr>
  </w:style>
  <w:style w:type="character" w:customStyle="1" w:styleId="BodyTextChar">
    <w:name w:val="Body Text Char"/>
    <w:basedOn w:val="DefaultParagraphFont"/>
    <w:link w:val="BodyText"/>
    <w:rsid w:val="0023564F"/>
    <w:rPr>
      <w:kern w:val="0"/>
      <w:lang w:val="en-US"/>
      <w14:ligatures w14:val="none"/>
    </w:rPr>
  </w:style>
  <w:style w:type="paragraph" w:customStyle="1" w:styleId="FirstParagraph">
    <w:name w:val="First Paragraph"/>
    <w:basedOn w:val="BodyText"/>
    <w:next w:val="BodyText"/>
    <w:qFormat/>
    <w:rsid w:val="0023564F"/>
  </w:style>
  <w:style w:type="character" w:customStyle="1" w:styleId="CaptionChar">
    <w:name w:val="Caption Char"/>
    <w:basedOn w:val="DefaultParagraphFont"/>
    <w:link w:val="Caption"/>
    <w:rsid w:val="00555758"/>
    <w:rPr>
      <w:b/>
      <w:bCs/>
      <w:sz w:val="18"/>
      <w:szCs w:val="18"/>
    </w:rPr>
  </w:style>
  <w:style w:type="paragraph" w:customStyle="1" w:styleId="CaptionedFigure">
    <w:name w:val="Captioned Figure"/>
    <w:basedOn w:val="Normal"/>
    <w:rsid w:val="006B58AA"/>
    <w:pPr>
      <w:keepNext/>
      <w:spacing w:after="200" w:line="240" w:lineRule="auto"/>
    </w:pPr>
    <w:rPr>
      <w:kern w:val="0"/>
      <w:lang w:val="en-US"/>
      <w14:ligatures w14:val="none"/>
    </w:rPr>
  </w:style>
  <w:style w:type="paragraph" w:customStyle="1" w:styleId="Compact">
    <w:name w:val="Compact"/>
    <w:basedOn w:val="BodyText"/>
    <w:qFormat/>
    <w:rsid w:val="00DC484C"/>
    <w:pPr>
      <w:spacing w:before="36" w:after="36"/>
    </w:pPr>
  </w:style>
  <w:style w:type="table" w:customStyle="1" w:styleId="Table">
    <w:name w:val="Table"/>
    <w:semiHidden/>
    <w:unhideWhenUsed/>
    <w:qFormat/>
    <w:rsid w:val="00DC484C"/>
    <w:pPr>
      <w:spacing w:after="200" w:line="240" w:lineRule="auto"/>
    </w:pPr>
    <w:rPr>
      <w:kern w:val="0"/>
      <w:sz w:val="20"/>
      <w:szCs w:val="20"/>
      <w:lang w:val="en-US" w:eastAsia="en-GB"/>
      <w14:ligatures w14:val="none"/>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TableCaption">
    <w:name w:val="Table Caption"/>
    <w:basedOn w:val="Caption"/>
    <w:rsid w:val="00DC484C"/>
    <w:pPr>
      <w:keepNext/>
      <w:spacing w:after="120"/>
    </w:pPr>
    <w:rPr>
      <w:iCs/>
      <w:kern w:val="0"/>
      <w:sz w:val="24"/>
      <w:szCs w:val="24"/>
      <w:lang w:val="en-US"/>
      <w14:ligatures w14:val="none"/>
    </w:rPr>
  </w:style>
  <w:style w:type="paragraph" w:styleId="TOCHeading">
    <w:name w:val="TOC Heading"/>
    <w:basedOn w:val="Heading1"/>
    <w:next w:val="Normal"/>
    <w:uiPriority w:val="39"/>
    <w:unhideWhenUsed/>
    <w:qFormat/>
    <w:rsid w:val="00C45489"/>
    <w:pPr>
      <w:spacing w:before="240" w:after="0" w:line="259" w:lineRule="auto"/>
      <w:outlineLvl w:val="9"/>
    </w:pPr>
    <w:rPr>
      <w:b w:val="0"/>
      <w:bCs w:val="0"/>
      <w:kern w:val="0"/>
      <w:sz w:val="32"/>
      <w:szCs w:val="32"/>
      <w:lang w:eastAsia="en-GB"/>
      <w14:ligatures w14:val="none"/>
    </w:rPr>
  </w:style>
  <w:style w:type="paragraph" w:styleId="TOC1">
    <w:name w:val="toc 1"/>
    <w:basedOn w:val="Normal"/>
    <w:next w:val="Normal"/>
    <w:autoRedefine/>
    <w:uiPriority w:val="39"/>
    <w:unhideWhenUsed/>
    <w:rsid w:val="005217AC"/>
    <w:pPr>
      <w:spacing w:after="100"/>
    </w:pPr>
  </w:style>
  <w:style w:type="paragraph" w:styleId="TOC2">
    <w:name w:val="toc 2"/>
    <w:basedOn w:val="Normal"/>
    <w:next w:val="Normal"/>
    <w:autoRedefine/>
    <w:uiPriority w:val="39"/>
    <w:unhideWhenUsed/>
    <w:rsid w:val="005217AC"/>
    <w:pPr>
      <w:spacing w:after="100"/>
      <w:ind w:left="240"/>
    </w:pPr>
  </w:style>
  <w:style w:type="paragraph" w:styleId="TOC3">
    <w:name w:val="toc 3"/>
    <w:basedOn w:val="Normal"/>
    <w:next w:val="Normal"/>
    <w:autoRedefine/>
    <w:uiPriority w:val="39"/>
    <w:unhideWhenUsed/>
    <w:rsid w:val="005217AC"/>
    <w:pPr>
      <w:spacing w:after="100"/>
      <w:ind w:left="480"/>
    </w:pPr>
  </w:style>
  <w:style w:type="character" w:styleId="Hyperlink">
    <w:name w:val="Hyperlink"/>
    <w:basedOn w:val="DefaultParagraphFont"/>
    <w:uiPriority w:val="99"/>
    <w:unhideWhenUsed/>
    <w:rsid w:val="005217AC"/>
    <w:rPr>
      <w:color w:val="467886" w:themeColor="hyperlink"/>
      <w:u w:val="single"/>
    </w:rPr>
  </w:style>
  <w:style w:type="paragraph" w:styleId="TableofFigures">
    <w:name w:val="table of figures"/>
    <w:basedOn w:val="Normal"/>
    <w:next w:val="Normal"/>
    <w:uiPriority w:val="99"/>
    <w:unhideWhenUsed/>
    <w:rsid w:val="007B3EBD"/>
    <w:pPr>
      <w:spacing w:after="0"/>
    </w:pPr>
  </w:style>
  <w:style w:type="paragraph" w:styleId="Header">
    <w:name w:val="header"/>
    <w:basedOn w:val="Normal"/>
    <w:link w:val="HeaderChar"/>
    <w:uiPriority w:val="99"/>
    <w:unhideWhenUsed/>
    <w:rsid w:val="002E03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0395"/>
  </w:style>
  <w:style w:type="paragraph" w:styleId="Footer">
    <w:name w:val="footer"/>
    <w:basedOn w:val="Normal"/>
    <w:link w:val="FooterChar"/>
    <w:uiPriority w:val="99"/>
    <w:unhideWhenUsed/>
    <w:rsid w:val="002E03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0395"/>
  </w:style>
  <w:style w:type="paragraph" w:customStyle="1" w:styleId="legend">
    <w:name w:val="legend"/>
    <w:basedOn w:val="Normal"/>
    <w:link w:val="legendChar"/>
    <w:qFormat/>
    <w:rsid w:val="006C3BF5"/>
    <w:pPr>
      <w:spacing w:after="0" w:line="240" w:lineRule="auto"/>
      <w:jc w:val="both"/>
    </w:pPr>
    <w:rPr>
      <w:sz w:val="20"/>
      <w:szCs w:val="20"/>
    </w:rPr>
  </w:style>
  <w:style w:type="character" w:customStyle="1" w:styleId="legendChar">
    <w:name w:val="legend Char"/>
    <w:basedOn w:val="DefaultParagraphFont"/>
    <w:link w:val="legend"/>
    <w:rsid w:val="006C3BF5"/>
    <w:rPr>
      <w:sz w:val="20"/>
      <w:szCs w:val="20"/>
    </w:rPr>
  </w:style>
  <w:style w:type="paragraph" w:styleId="Revision">
    <w:name w:val="Revision"/>
    <w:hidden/>
    <w:uiPriority w:val="99"/>
    <w:semiHidden/>
    <w:rsid w:val="00795A61"/>
    <w:pPr>
      <w:spacing w:after="0" w:line="240" w:lineRule="auto"/>
    </w:pPr>
  </w:style>
  <w:style w:type="character" w:styleId="UnresolvedMention">
    <w:name w:val="Unresolved Mention"/>
    <w:basedOn w:val="DefaultParagraphFont"/>
    <w:uiPriority w:val="99"/>
    <w:semiHidden/>
    <w:unhideWhenUsed/>
    <w:rsid w:val="00F067D3"/>
    <w:rPr>
      <w:color w:val="605E5C"/>
      <w:shd w:val="clear" w:color="auto" w:fill="E1DFDD"/>
    </w:rPr>
  </w:style>
  <w:style w:type="paragraph" w:customStyle="1" w:styleId="captiondescription">
    <w:name w:val="caption_description"/>
    <w:basedOn w:val="Caption"/>
    <w:link w:val="captiondescriptionChar"/>
    <w:qFormat/>
    <w:rsid w:val="00555758"/>
    <w:rPr>
      <w:b w:val="0"/>
      <w:bCs w:val="0"/>
    </w:rPr>
  </w:style>
  <w:style w:type="character" w:customStyle="1" w:styleId="captiondescriptionChar">
    <w:name w:val="caption_description Char"/>
    <w:basedOn w:val="CaptionChar"/>
    <w:link w:val="captiondescription"/>
    <w:rsid w:val="00555758"/>
    <w:rPr>
      <w:b w:val="0"/>
      <w:bCs w:val="0"/>
      <w:sz w:val="18"/>
      <w:szCs w:val="18"/>
    </w:rPr>
  </w:style>
  <w:style w:type="character" w:styleId="PlaceholderText">
    <w:name w:val="Placeholder Text"/>
    <w:basedOn w:val="DefaultParagraphFont"/>
    <w:uiPriority w:val="99"/>
    <w:semiHidden/>
    <w:rsid w:val="00D626FF"/>
    <w:rPr>
      <w:color w:val="666666"/>
    </w:rPr>
  </w:style>
  <w:style w:type="table" w:styleId="PlainTable4">
    <w:name w:val="Plain Table 4"/>
    <w:basedOn w:val="TableNormal"/>
    <w:uiPriority w:val="44"/>
    <w:rsid w:val="0005675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LineNumber">
    <w:name w:val="line number"/>
    <w:basedOn w:val="DefaultParagraphFont"/>
    <w:uiPriority w:val="99"/>
    <w:unhideWhenUsed/>
    <w:rsid w:val="00BF248C"/>
    <w:rPr>
      <w:color w:val="4C94D8" w:themeColor="text2" w:themeTint="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4866601">
      <w:bodyDiv w:val="1"/>
      <w:marLeft w:val="0"/>
      <w:marRight w:val="0"/>
      <w:marTop w:val="0"/>
      <w:marBottom w:val="0"/>
      <w:divBdr>
        <w:top w:val="none" w:sz="0" w:space="0" w:color="auto"/>
        <w:left w:val="none" w:sz="0" w:space="0" w:color="auto"/>
        <w:bottom w:val="none" w:sz="0" w:space="0" w:color="auto"/>
        <w:right w:val="none" w:sz="0" w:space="0" w:color="auto"/>
      </w:divBdr>
    </w:div>
    <w:div w:id="338198141">
      <w:bodyDiv w:val="1"/>
      <w:marLeft w:val="0"/>
      <w:marRight w:val="0"/>
      <w:marTop w:val="0"/>
      <w:marBottom w:val="0"/>
      <w:divBdr>
        <w:top w:val="none" w:sz="0" w:space="0" w:color="auto"/>
        <w:left w:val="none" w:sz="0" w:space="0" w:color="auto"/>
        <w:bottom w:val="none" w:sz="0" w:space="0" w:color="auto"/>
        <w:right w:val="none" w:sz="0" w:space="0" w:color="auto"/>
      </w:divBdr>
    </w:div>
    <w:div w:id="497111248">
      <w:bodyDiv w:val="1"/>
      <w:marLeft w:val="0"/>
      <w:marRight w:val="0"/>
      <w:marTop w:val="0"/>
      <w:marBottom w:val="0"/>
      <w:divBdr>
        <w:top w:val="none" w:sz="0" w:space="0" w:color="auto"/>
        <w:left w:val="none" w:sz="0" w:space="0" w:color="auto"/>
        <w:bottom w:val="none" w:sz="0" w:space="0" w:color="auto"/>
        <w:right w:val="none" w:sz="0" w:space="0" w:color="auto"/>
      </w:divBdr>
    </w:div>
    <w:div w:id="618881370">
      <w:bodyDiv w:val="1"/>
      <w:marLeft w:val="0"/>
      <w:marRight w:val="0"/>
      <w:marTop w:val="0"/>
      <w:marBottom w:val="0"/>
      <w:divBdr>
        <w:top w:val="none" w:sz="0" w:space="0" w:color="auto"/>
        <w:left w:val="none" w:sz="0" w:space="0" w:color="auto"/>
        <w:bottom w:val="none" w:sz="0" w:space="0" w:color="auto"/>
        <w:right w:val="none" w:sz="0" w:space="0" w:color="auto"/>
      </w:divBdr>
    </w:div>
    <w:div w:id="1794706966">
      <w:bodyDiv w:val="1"/>
      <w:marLeft w:val="0"/>
      <w:marRight w:val="0"/>
      <w:marTop w:val="0"/>
      <w:marBottom w:val="0"/>
      <w:divBdr>
        <w:top w:val="none" w:sz="0" w:space="0" w:color="auto"/>
        <w:left w:val="none" w:sz="0" w:space="0" w:color="auto"/>
        <w:bottom w:val="none" w:sz="0" w:space="0" w:color="auto"/>
        <w:right w:val="none" w:sz="0" w:space="0" w:color="auto"/>
      </w:divBdr>
    </w:div>
    <w:div w:id="1798720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bservatoriodarestauracao.org.br/dashboard"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5C931E-2123-4F2C-AB51-76FAFBE0C1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36</Pages>
  <Words>20617</Words>
  <Characters>117520</Characters>
  <Application>Microsoft Office Word</Application>
  <DocSecurity>0</DocSecurity>
  <Lines>979</Lines>
  <Paragraphs>275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Francisco d'Albertas Gomes de Carvalho</dc:creator>
  <cp:keywords/>
  <dc:description/>
  <cp:lastModifiedBy>Francisco d'Albertas Gomes de Carvalho</cp:lastModifiedBy>
  <cp:revision>92</cp:revision>
  <dcterms:created xsi:type="dcterms:W3CDTF">2026-04-07T11:09:00Z</dcterms:created>
  <dcterms:modified xsi:type="dcterms:W3CDTF">2026-04-14T12:57:00Z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zotero-version="7.0.32"&gt;&lt;session id="XV3c8fmy"/&gt;&lt;style id="http://www.zotero.org/styles/nature" hasBibliography="1" bibliographyStyleHasBeenSet="1"/&gt;&lt;prefs&gt;&lt;pref name="fieldType" value="Field"/&gt;&lt;pref name="automaticJournalAbbreviati</vt:lpwstr>
  </property>
  <property fmtid="{D5CDD505-2E9C-101B-9397-08002B2CF9AE}" pid="3" name="ZOTERO_PREF_2">
    <vt:lpwstr>ons" value="true"/&gt;&lt;/prefs&gt;&lt;/data&gt;</vt:lpwstr>
  </property>
</Properties>
</file>