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F2BAD" w14:textId="77777777" w:rsidR="007F5D2D" w:rsidRDefault="00000000">
      <w:pPr>
        <w:widowControl/>
        <w:snapToGrid w:val="0"/>
        <w:spacing w:line="480" w:lineRule="auto"/>
        <w:rPr>
          <w:rFonts w:ascii="Times New Roman" w:eastAsia="宋体" w:hAnsi="Times New Roman" w:cs="Times New Roman"/>
          <w:b/>
          <w:bCs/>
          <w:sz w:val="22"/>
          <w:lang w:val="en-GB"/>
        </w:rPr>
      </w:pPr>
      <w:r>
        <w:rPr>
          <w:rFonts w:ascii="Times New Roman" w:eastAsia="宋体" w:hAnsi="Times New Roman" w:cs="Times New Roman"/>
          <w:b/>
          <w:bCs/>
          <w:sz w:val="22"/>
          <w:lang w:val="en-GB"/>
        </w:rPr>
        <w:t>SUPPLEMENTARY INFORMATION</w:t>
      </w:r>
    </w:p>
    <w:p w14:paraId="7AAB63A9" w14:textId="77777777" w:rsidR="007F5D2D" w:rsidRDefault="007F5D2D">
      <w:pPr>
        <w:widowControl/>
        <w:snapToGrid w:val="0"/>
        <w:spacing w:line="480" w:lineRule="auto"/>
        <w:rPr>
          <w:rFonts w:ascii="Times New Roman" w:eastAsia="宋体" w:hAnsi="Times New Roman" w:cs="Times New Roman"/>
          <w:b/>
          <w:bCs/>
          <w:sz w:val="22"/>
          <w:lang w:val="en-GB"/>
        </w:rPr>
      </w:pPr>
    </w:p>
    <w:p w14:paraId="1C1B461B" w14:textId="77777777" w:rsidR="007F5D2D" w:rsidRDefault="00000000">
      <w:pPr>
        <w:widowControl/>
        <w:snapToGrid w:val="0"/>
        <w:spacing w:line="480" w:lineRule="auto"/>
        <w:rPr>
          <w:rFonts w:ascii="Times New Roman" w:eastAsia="宋体" w:hAnsi="Times New Roman" w:cs="Times New Roman"/>
          <w:b/>
          <w:bCs/>
          <w:sz w:val="22"/>
          <w:lang w:val="en-GB"/>
        </w:rPr>
      </w:pPr>
      <w:r>
        <w:rPr>
          <w:rFonts w:ascii="Times New Roman" w:eastAsia="宋体" w:hAnsi="Times New Roman" w:cs="Times New Roman"/>
          <w:b/>
          <w:bCs/>
          <w:sz w:val="22"/>
          <w:lang w:val="en-GB"/>
        </w:rPr>
        <w:t>Supplementary methods</w:t>
      </w:r>
    </w:p>
    <w:p w14:paraId="5D5D2916" w14:textId="5185E46E" w:rsidR="007F5D2D" w:rsidRDefault="00000000">
      <w:pPr>
        <w:snapToGrid w:val="0"/>
        <w:spacing w:line="480" w:lineRule="auto"/>
        <w:rPr>
          <w:rFonts w:ascii="Times New Roman" w:eastAsia="宋体" w:hAnsi="Times New Roman" w:cs="Times New Roman"/>
          <w:sz w:val="22"/>
          <w:lang w:val="en-GB"/>
        </w:rPr>
      </w:pPr>
      <w:r>
        <w:rPr>
          <w:rFonts w:ascii="Times New Roman" w:eastAsia="宋体" w:hAnsi="Times New Roman" w:cs="Times New Roman"/>
          <w:sz w:val="22"/>
          <w:lang w:val="en-GB"/>
        </w:rPr>
        <w:t>Inclusion criteria were as follows: age ≥18 years and intraocular pressure ≤21 mmHg. Specifically, inclusion criteria for the control group were (1) no systemic diseases; (2) normal fundus examination results; those for the NDR group (comprising patients with diabetes without diabetic retinopathy [DR]) were (1) diagnosis of type 2 diabetes mellitus</w:t>
      </w:r>
      <w:r>
        <w:rPr>
          <w:rFonts w:ascii="Times New Roman" w:eastAsia="宋体" w:hAnsi="Times New Roman" w:cs="Times New Roman"/>
          <w:sz w:val="22"/>
          <w:lang w:val="en-GB"/>
        </w:rPr>
        <w:fldChar w:fldCharType="begin"/>
      </w:r>
      <w:r w:rsidR="003964DB">
        <w:rPr>
          <w:rFonts w:ascii="Times New Roman" w:eastAsia="宋体" w:hAnsi="Times New Roman" w:cs="Times New Roman"/>
          <w:sz w:val="22"/>
          <w:lang w:val="en-GB"/>
        </w:rPr>
        <w:instrText xml:space="preserve"> ADDIN EN.CITE &lt;EndNote&gt;&lt;Cite&gt;&lt;Author&gt;American Diabetes Association Professional Practice Committee for&lt;/Author&gt;&lt;Year&gt;2026&lt;/Year&gt;&lt;RecNum&gt;184&lt;/RecNum&gt;&lt;DisplayText&gt;&lt;style face="superscript"&gt;1&lt;/style&gt;&lt;/DisplayText&gt;&lt;record&gt;&lt;rec-number&gt;184&lt;/rec-number&gt;&lt;foreign-keys&gt;&lt;key app="EN" db-id="fszfv020jse5rwexre4x9paveeftwr20r9v0" timestamp="1772975750"&gt;184&lt;/key&gt;&lt;/foreign-keys&gt;&lt;ref-type name="Journal Article"&gt;17&lt;/ref-type&gt;&lt;contributors&gt;&lt;authors&gt;&lt;author&gt;American Diabetes Association Professional Practice Committee for, Diabetes&lt;/author&gt;&lt;/authors&gt;&lt;/contributors&gt;&lt;titles&gt;&lt;title&gt;2. Diagnosis and Classification of Diabetes: Standards of Care in Diabetes-2026&lt;/title&gt;&lt;secondary-title&gt;Diabetes Care&lt;/secondary-title&gt;&lt;/titles&gt;&lt;periodical&gt;&lt;full-title&gt;Diabetes Care&lt;/full-title&gt;&lt;/periodical&gt;&lt;pages&gt;S27-S49&lt;/pages&gt;&lt;volume&gt;49&lt;/volume&gt;&lt;number&gt;Supplement_1&lt;/number&gt;&lt;edition&gt;2025/12/08&lt;/edition&gt;&lt;keywords&gt;&lt;keyword&gt;Humans&lt;/keyword&gt;&lt;keyword&gt;*Diabetes Mellitus/diagnosis/classification/therapy&lt;/keyword&gt;&lt;keyword&gt;*Standard of Care&lt;/keyword&gt;&lt;/keywords&gt;&lt;dates&gt;&lt;year&gt;2026&lt;/year&gt;&lt;pub-dates&gt;&lt;date&gt;Jan 1&lt;/date&gt;&lt;/pub-dates&gt;&lt;/dates&gt;&lt;isbn&gt;1935-5548 (Electronic)&amp;#xD;0149-5992 (Print)&amp;#xD;0149-5992 (Linking)&lt;/isbn&gt;&lt;accession-num&gt;41358893&lt;/accession-num&gt;&lt;urls&gt;&lt;related-urls&gt;&lt;url&gt;https://www.ncbi.nlm.nih.gov/pubmed/41358893&lt;/url&gt;&lt;/related-urls&gt;&lt;/urls&gt;&lt;custom2&gt;PMC12690183 https://doi.org/10.2337/dc26-SDIS.&lt;/custom2&gt;&lt;electronic-resource-num&gt;10.2337/dc26-S002&lt;/electronic-resource-num&gt;&lt;/record&gt;&lt;/Cite&gt;&lt;/EndNote&gt;</w:instrText>
      </w:r>
      <w:r>
        <w:rPr>
          <w:rFonts w:ascii="Times New Roman" w:eastAsia="宋体" w:hAnsi="Times New Roman" w:cs="Times New Roman"/>
          <w:sz w:val="22"/>
          <w:lang w:val="en-GB"/>
        </w:rPr>
        <w:fldChar w:fldCharType="separate"/>
      </w:r>
      <w:r w:rsidR="003964DB" w:rsidRPr="003964DB">
        <w:rPr>
          <w:rFonts w:ascii="Times New Roman" w:eastAsia="宋体" w:hAnsi="Times New Roman" w:cs="Times New Roman"/>
          <w:noProof/>
          <w:sz w:val="22"/>
          <w:vertAlign w:val="superscript"/>
          <w:lang w:val="en-GB"/>
        </w:rPr>
        <w:t>1</w:t>
      </w:r>
      <w:r>
        <w:rPr>
          <w:rFonts w:ascii="Times New Roman" w:eastAsia="宋体" w:hAnsi="Times New Roman" w:cs="Times New Roman"/>
          <w:sz w:val="22"/>
          <w:lang w:val="en-GB"/>
        </w:rPr>
        <w:fldChar w:fldCharType="end"/>
      </w:r>
      <w:r>
        <w:rPr>
          <w:rFonts w:ascii="Times New Roman" w:eastAsia="宋体" w:hAnsi="Times New Roman" w:cs="Times New Roman"/>
          <w:sz w:val="22"/>
          <w:lang w:val="en-GB"/>
        </w:rPr>
        <w:t xml:space="preserve">; (2) no diabetic retinopathy observed on fundus examination; those for the NPDR group (comprising </w:t>
      </w:r>
      <w:r>
        <w:rPr>
          <w:rFonts w:ascii="Times New Roman" w:eastAsia="等线" w:hAnsi="Times New Roman" w:cs="Times New Roman"/>
          <w:color w:val="0F1115"/>
          <w:sz w:val="22"/>
          <w:lang w:val="en-GB"/>
        </w:rPr>
        <w:t>patients with preclinical or early non-proliferative DR</w:t>
      </w:r>
      <w:r>
        <w:rPr>
          <w:rFonts w:ascii="Times New Roman" w:eastAsia="宋体" w:hAnsi="Times New Roman" w:cs="Times New Roman"/>
          <w:sz w:val="22"/>
          <w:lang w:val="en-GB"/>
        </w:rPr>
        <w:t>) were (1) diagnosis of type 2 diabetes mellitus; (2) met the diagnostic criteria for NPDR; (3) no other fundus abnormalities except diabetic retinopathy. Exclusion criteria were as follows: (1) history of ocular trauma or intraocular surgery (including intravitreal injection, retinal laser photocoagulation, vitrectomy, etc.); (2) presence of other systemic diseases affecting visual function besides type 2 diabetes mellitus; (3) spherical equivalent greater than +3.00 D or less than −3.00 D; (4) poor optical coherence tomography angiography (OCTA)/</w:t>
      </w:r>
      <w:r>
        <w:t xml:space="preserve"> </w:t>
      </w:r>
      <w:r>
        <w:rPr>
          <w:rFonts w:ascii="Times New Roman" w:eastAsia="宋体" w:hAnsi="Times New Roman" w:cs="Times New Roman"/>
          <w:sz w:val="22"/>
          <w:lang w:val="en-GB"/>
        </w:rPr>
        <w:t>optical coherence tomography (OCT) data quality due to eye movement, blinking, or other technical factors, with significant retinal layer segmentation failure or signal strength of &lt;7.</w:t>
      </w:r>
    </w:p>
    <w:p w14:paraId="59FE226F" w14:textId="77777777" w:rsidR="007F5D2D" w:rsidRDefault="00000000">
      <w:pPr>
        <w:snapToGrid w:val="0"/>
        <w:spacing w:line="480" w:lineRule="auto"/>
        <w:ind w:firstLineChars="100" w:firstLine="220"/>
        <w:rPr>
          <w:rFonts w:ascii="Times New Roman" w:eastAsia="宋体" w:hAnsi="Times New Roman" w:cs="Times New Roman"/>
          <w:sz w:val="22"/>
          <w:lang w:val="en-GB"/>
        </w:rPr>
      </w:pPr>
      <w:r>
        <w:rPr>
          <w:rFonts w:ascii="Times New Roman" w:eastAsia="宋体" w:hAnsi="Times New Roman" w:cs="Times New Roman"/>
          <w:sz w:val="22"/>
          <w:lang w:val="en-GB"/>
        </w:rPr>
        <w:t>Microaneurysms (MAs) represent the early hallmark lesions of DR, arising from a pathological compensatory response of retinal capillary endothelial cells to local hypoxia following pericyte loss. HEs are yellow, waxy deposits that accumulate in the outer plexiform layer and are composed predominantly of leaked serum lipoproteins; their presence indicates extensive disruption of the inner blood–retinal barrier. Cotton wool spots (CWSs) are ischemic infarcts within the retinal nerve fibre layer resulting from arteriolar occlusion, and their histopathological correlate is the formation of “cytoid bodies” caused by obstructed axoplasmic flow.</w:t>
      </w:r>
    </w:p>
    <w:p w14:paraId="057BD651" w14:textId="77777777" w:rsidR="007F5D2D" w:rsidRDefault="007F5D2D">
      <w:pPr>
        <w:snapToGrid w:val="0"/>
        <w:spacing w:line="480" w:lineRule="auto"/>
        <w:ind w:firstLineChars="100" w:firstLine="220"/>
        <w:rPr>
          <w:rFonts w:ascii="Times New Roman" w:eastAsia="宋体" w:hAnsi="Times New Roman" w:cs="Times New Roman"/>
          <w:sz w:val="22"/>
          <w:lang w:val="en-GB"/>
        </w:rPr>
      </w:pPr>
    </w:p>
    <w:p w14:paraId="7AD99AAB" w14:textId="77777777" w:rsidR="007F5D2D" w:rsidRDefault="00000000">
      <w:pPr>
        <w:widowControl/>
        <w:jc w:val="left"/>
        <w:rPr>
          <w:rFonts w:ascii="Times New Roman" w:eastAsia="宋体" w:hAnsi="Times New Roman" w:cs="Times New Roman"/>
          <w:b/>
          <w:bCs/>
          <w:sz w:val="22"/>
          <w:lang w:val="en-GB"/>
        </w:rPr>
      </w:pPr>
      <w:r>
        <w:rPr>
          <w:rFonts w:ascii="Times New Roman" w:eastAsia="宋体" w:hAnsi="Times New Roman" w:cs="Times New Roman"/>
          <w:b/>
          <w:bCs/>
          <w:sz w:val="22"/>
          <w:lang w:val="en-GB"/>
        </w:rPr>
        <w:br w:type="page"/>
      </w:r>
    </w:p>
    <w:p w14:paraId="090F89A3" w14:textId="77777777" w:rsidR="007F5D2D" w:rsidRDefault="00000000">
      <w:pPr>
        <w:snapToGrid w:val="0"/>
        <w:spacing w:line="480" w:lineRule="auto"/>
        <w:rPr>
          <w:rFonts w:ascii="Times New Roman" w:eastAsia="宋体" w:hAnsi="Times New Roman" w:cs="Times New Roman"/>
          <w:b/>
          <w:bCs/>
          <w:sz w:val="22"/>
          <w:lang w:val="en-GB"/>
        </w:rPr>
      </w:pPr>
      <w:r>
        <w:rPr>
          <w:rFonts w:ascii="Times New Roman" w:eastAsia="宋体" w:hAnsi="Times New Roman" w:cs="Times New Roman"/>
          <w:b/>
          <w:bCs/>
          <w:sz w:val="22"/>
          <w:lang w:val="en-GB"/>
        </w:rPr>
        <w:lastRenderedPageBreak/>
        <w:t xml:space="preserve">Supplementary Figures </w:t>
      </w:r>
    </w:p>
    <w:p w14:paraId="3AB09460" w14:textId="77777777" w:rsidR="00222C74" w:rsidRDefault="00222C74" w:rsidP="00222C74">
      <w:pPr>
        <w:snapToGrid w:val="0"/>
        <w:spacing w:line="480" w:lineRule="auto"/>
        <w:rPr>
          <w:rFonts w:ascii="Times New Roman" w:hAnsi="Times New Roman" w:cs="Times New Roman"/>
          <w:sz w:val="22"/>
        </w:rPr>
      </w:pPr>
      <w:r>
        <w:rPr>
          <w:rFonts w:ascii="Times New Roman" w:eastAsia="宋体" w:hAnsi="Times New Roman" w:cs="Times New Roman"/>
          <w:noProof/>
          <w:sz w:val="22"/>
        </w:rPr>
        <w:drawing>
          <wp:inline distT="0" distB="0" distL="0" distR="0" wp14:anchorId="440F4F58" wp14:editId="1A63B757">
            <wp:extent cx="5274310" cy="1670685"/>
            <wp:effectExtent l="0" t="0" r="13970" b="5715"/>
            <wp:docPr id="1674274088" name="图片 6"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74088" name="图片 6" descr="图示&#10;&#10;AI 生成的内容可能不正确。"/>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1670685"/>
                    </a:xfrm>
                    <a:prstGeom prst="rect">
                      <a:avLst/>
                    </a:prstGeom>
                  </pic:spPr>
                </pic:pic>
              </a:graphicData>
            </a:graphic>
          </wp:inline>
        </w:drawing>
      </w:r>
    </w:p>
    <w:p w14:paraId="2338ED76" w14:textId="2EBF31DF" w:rsidR="00222C74" w:rsidRDefault="00222C74" w:rsidP="00222C74">
      <w:pPr>
        <w:snapToGrid w:val="0"/>
        <w:spacing w:line="480" w:lineRule="auto"/>
        <w:rPr>
          <w:rFonts w:ascii="Times New Roman" w:eastAsia="宋体" w:hAnsi="Times New Roman" w:cs="Times New Roman"/>
          <w:sz w:val="22"/>
        </w:rPr>
      </w:pPr>
      <w:r>
        <w:rPr>
          <w:rFonts w:ascii="Times New Roman" w:eastAsia="宋体" w:hAnsi="Times New Roman" w:cs="Times New Roman"/>
          <w:b/>
          <w:bCs/>
          <w:sz w:val="22"/>
          <w:lang w:val="en-GB"/>
        </w:rPr>
        <w:t>Supplementary F</w:t>
      </w:r>
      <w:r>
        <w:rPr>
          <w:rFonts w:ascii="Times New Roman" w:eastAsia="Segoe UI" w:hAnsi="Times New Roman" w:cs="Times New Roman"/>
          <w:b/>
          <w:bCs/>
          <w:sz w:val="22"/>
          <w:shd w:val="clear" w:color="auto" w:fill="FFFFFF"/>
          <w:lang w:val="en-GB"/>
        </w:rPr>
        <w:t>igure 1.</w:t>
      </w:r>
      <w:r>
        <w:rPr>
          <w:rFonts w:ascii="Times New Roman" w:eastAsia="Segoe UI" w:hAnsi="Times New Roman" w:cs="Times New Roman"/>
          <w:sz w:val="22"/>
          <w:shd w:val="clear" w:color="auto" w:fill="FFFFFF"/>
          <w:lang w:val="en-GB"/>
        </w:rPr>
        <w:t xml:space="preserve"> </w:t>
      </w:r>
      <w:r>
        <w:rPr>
          <w:rFonts w:ascii="Times New Roman" w:eastAsia="宋体" w:hAnsi="Times New Roman" w:cs="Times New Roman"/>
          <w:sz w:val="22"/>
        </w:rPr>
        <w:t xml:space="preserve">GCIPL thickness across the three groups. </w:t>
      </w:r>
      <w:proofErr w:type="gramStart"/>
      <w:r>
        <w:rPr>
          <w:rFonts w:ascii="Times New Roman" w:eastAsia="宋体" w:hAnsi="Times New Roman" w:cs="Times New Roman"/>
          <w:b/>
          <w:bCs/>
          <w:sz w:val="22"/>
        </w:rPr>
        <w:t xml:space="preserve">a </w:t>
      </w:r>
      <w:proofErr w:type="spellStart"/>
      <w:r>
        <w:rPr>
          <w:rFonts w:ascii="Times New Roman" w:eastAsia="宋体" w:hAnsi="Times New Roman" w:cs="Times New Roman"/>
          <w:sz w:val="22"/>
        </w:rPr>
        <w:t>Colour</w:t>
      </w:r>
      <w:proofErr w:type="spellEnd"/>
      <w:proofErr w:type="gramEnd"/>
      <w:r>
        <w:rPr>
          <w:rFonts w:ascii="Times New Roman" w:eastAsia="宋体" w:hAnsi="Times New Roman" w:cs="Times New Roman"/>
          <w:sz w:val="22"/>
        </w:rPr>
        <w:t xml:space="preserve"> wide-field fundus photograph of NPDR with cotton wool spots. </w:t>
      </w:r>
      <w:r>
        <w:rPr>
          <w:rFonts w:ascii="Times New Roman" w:eastAsia="宋体" w:hAnsi="Times New Roman" w:cs="Times New Roman"/>
          <w:b/>
          <w:bCs/>
          <w:sz w:val="22"/>
        </w:rPr>
        <w:t xml:space="preserve">b </w:t>
      </w:r>
      <w:r>
        <w:rPr>
          <w:rFonts w:ascii="Times New Roman" w:eastAsia="宋体" w:hAnsi="Times New Roman" w:cs="Times New Roman"/>
          <w:sz w:val="22"/>
        </w:rPr>
        <w:t xml:space="preserve">GCIPL thickness in the control group. </w:t>
      </w:r>
      <w:r>
        <w:rPr>
          <w:rFonts w:ascii="Times New Roman" w:eastAsia="宋体" w:hAnsi="Times New Roman" w:cs="Times New Roman"/>
          <w:b/>
          <w:bCs/>
          <w:sz w:val="22"/>
        </w:rPr>
        <w:t>c</w:t>
      </w:r>
      <w:r>
        <w:rPr>
          <w:rFonts w:ascii="Times New Roman" w:eastAsia="宋体" w:hAnsi="Times New Roman" w:cs="Times New Roman"/>
          <w:sz w:val="22"/>
        </w:rPr>
        <w:t xml:space="preserve"> GCIPL thickness in the NDR group; </w:t>
      </w:r>
      <w:r>
        <w:rPr>
          <w:rFonts w:ascii="Times New Roman" w:eastAsia="宋体" w:hAnsi="Times New Roman" w:cs="Times New Roman"/>
          <w:b/>
          <w:bCs/>
          <w:sz w:val="22"/>
        </w:rPr>
        <w:t>d</w:t>
      </w:r>
      <w:r>
        <w:rPr>
          <w:rFonts w:ascii="Times New Roman" w:eastAsia="宋体" w:hAnsi="Times New Roman" w:cs="Times New Roman"/>
          <w:sz w:val="22"/>
        </w:rPr>
        <w:t xml:space="preserve"> GCIPL thickness in the NPDR group.</w:t>
      </w:r>
      <w:r>
        <w:rPr>
          <w:rFonts w:ascii="Times New Roman" w:hAnsi="Times New Roman" w:cs="Times New Roman"/>
          <w:sz w:val="22"/>
        </w:rPr>
        <w:t xml:space="preserve"> </w:t>
      </w:r>
      <w:r>
        <w:rPr>
          <w:rFonts w:ascii="Times New Roman" w:eastAsia="宋体" w:hAnsi="Times New Roman" w:cs="Times New Roman"/>
          <w:sz w:val="22"/>
        </w:rPr>
        <w:t>GCIPL, ganglion cell–inner plexiform layer; NDR, no diabetic retinopathy; NPDR, non-</w:t>
      </w:r>
      <w:proofErr w:type="spellStart"/>
      <w:r>
        <w:rPr>
          <w:rFonts w:ascii="Times New Roman" w:eastAsia="宋体" w:hAnsi="Times New Roman" w:cs="Times New Roman"/>
          <w:sz w:val="22"/>
        </w:rPr>
        <w:t>prsoliferative</w:t>
      </w:r>
      <w:proofErr w:type="spellEnd"/>
      <w:r>
        <w:rPr>
          <w:rFonts w:ascii="Times New Roman" w:eastAsia="宋体" w:hAnsi="Times New Roman" w:cs="Times New Roman"/>
          <w:sz w:val="22"/>
        </w:rPr>
        <w:t xml:space="preserve"> diabetic retinopathy</w:t>
      </w:r>
    </w:p>
    <w:p w14:paraId="1F9D2F8E" w14:textId="77777777" w:rsidR="00D30203" w:rsidRDefault="00D30203" w:rsidP="00222C74">
      <w:pPr>
        <w:snapToGrid w:val="0"/>
        <w:spacing w:line="480" w:lineRule="auto"/>
        <w:rPr>
          <w:rFonts w:ascii="Times New Roman" w:eastAsia="宋体" w:hAnsi="Times New Roman" w:cs="Times New Roman"/>
          <w:sz w:val="22"/>
        </w:rPr>
      </w:pPr>
    </w:p>
    <w:p w14:paraId="7B0ABA1B" w14:textId="77777777" w:rsidR="00D30203" w:rsidRDefault="00D30203" w:rsidP="00222C74">
      <w:pPr>
        <w:snapToGrid w:val="0"/>
        <w:spacing w:line="480" w:lineRule="auto"/>
        <w:rPr>
          <w:rFonts w:ascii="Times New Roman" w:eastAsia="宋体" w:hAnsi="Times New Roman" w:cs="Times New Roman"/>
          <w:sz w:val="22"/>
        </w:rPr>
      </w:pPr>
    </w:p>
    <w:p w14:paraId="6F354A01" w14:textId="7DF82B19" w:rsidR="00222C74" w:rsidRDefault="00222C74" w:rsidP="00222C74">
      <w:pPr>
        <w:snapToGrid w:val="0"/>
        <w:spacing w:line="480" w:lineRule="auto"/>
        <w:rPr>
          <w:rFonts w:ascii="Times New Roman" w:eastAsia="宋体" w:hAnsi="Times New Roman" w:cs="Times New Roman"/>
          <w:b/>
          <w:bCs/>
          <w:sz w:val="22"/>
        </w:rPr>
      </w:pPr>
      <w:r>
        <w:rPr>
          <w:rFonts w:ascii="Times New Roman" w:eastAsia="宋体" w:hAnsi="Times New Roman" w:cs="Times New Roman"/>
          <w:noProof/>
          <w:sz w:val="22"/>
        </w:rPr>
        <w:drawing>
          <wp:inline distT="0" distB="0" distL="0" distR="0" wp14:anchorId="474CBA28" wp14:editId="658E7888">
            <wp:extent cx="3041650" cy="2809875"/>
            <wp:effectExtent l="0" t="0" r="6350" b="9525"/>
            <wp:docPr id="8020900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90218"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1904" cy="2810256"/>
                    </a:xfrm>
                    <a:prstGeom prst="rect">
                      <a:avLst/>
                    </a:prstGeom>
                  </pic:spPr>
                </pic:pic>
              </a:graphicData>
            </a:graphic>
          </wp:inline>
        </w:drawing>
      </w:r>
    </w:p>
    <w:p w14:paraId="6A11B310" w14:textId="07D4022A" w:rsidR="00222C74" w:rsidRDefault="00222C74" w:rsidP="00222C74">
      <w:pPr>
        <w:snapToGrid w:val="0"/>
        <w:spacing w:line="480" w:lineRule="auto"/>
        <w:rPr>
          <w:rFonts w:ascii="Times New Roman" w:eastAsia="宋体" w:hAnsi="Times New Roman" w:cs="Times New Roman"/>
          <w:sz w:val="22"/>
        </w:rPr>
      </w:pPr>
      <w:r>
        <w:rPr>
          <w:rFonts w:ascii="Times New Roman" w:eastAsia="宋体" w:hAnsi="Times New Roman" w:cs="Times New Roman"/>
          <w:b/>
          <w:bCs/>
          <w:sz w:val="22"/>
          <w:lang w:val="en-GB"/>
        </w:rPr>
        <w:t>Supplementary F</w:t>
      </w:r>
      <w:r>
        <w:rPr>
          <w:rFonts w:ascii="Times New Roman" w:eastAsia="Segoe UI" w:hAnsi="Times New Roman" w:cs="Times New Roman"/>
          <w:b/>
          <w:bCs/>
          <w:sz w:val="22"/>
          <w:shd w:val="clear" w:color="auto" w:fill="FFFFFF"/>
          <w:lang w:val="en-GB"/>
        </w:rPr>
        <w:t xml:space="preserve">igure </w:t>
      </w:r>
      <w:r>
        <w:rPr>
          <w:rFonts w:ascii="Times New Roman" w:hAnsi="Times New Roman" w:cs="Times New Roman" w:hint="eastAsia"/>
          <w:b/>
          <w:bCs/>
          <w:sz w:val="22"/>
          <w:shd w:val="clear" w:color="auto" w:fill="FFFFFF"/>
          <w:lang w:val="en-GB"/>
        </w:rPr>
        <w:t>2</w:t>
      </w:r>
      <w:r>
        <w:rPr>
          <w:rFonts w:ascii="Times New Roman" w:eastAsia="Segoe UI" w:hAnsi="Times New Roman" w:cs="Times New Roman"/>
          <w:b/>
          <w:bCs/>
          <w:sz w:val="22"/>
          <w:shd w:val="clear" w:color="auto" w:fill="FFFFFF"/>
          <w:lang w:val="en-GB"/>
        </w:rPr>
        <w:t>.</w:t>
      </w:r>
      <w:r>
        <w:rPr>
          <w:rFonts w:ascii="Times New Roman" w:eastAsia="Segoe UI" w:hAnsi="Times New Roman" w:cs="Times New Roman"/>
          <w:sz w:val="22"/>
          <w:shd w:val="clear" w:color="auto" w:fill="FFFFFF"/>
          <w:lang w:val="en-GB"/>
        </w:rPr>
        <w:t xml:space="preserve"> </w:t>
      </w:r>
      <w:r>
        <w:rPr>
          <w:rFonts w:ascii="Times New Roman" w:eastAsia="Segoe UI" w:hAnsi="Times New Roman" w:cs="Times New Roman"/>
          <w:sz w:val="22"/>
          <w:shd w:val="clear" w:color="auto" w:fill="FFFFFF"/>
        </w:rPr>
        <w:t xml:space="preserve">ROC </w:t>
      </w:r>
      <w:r>
        <w:rPr>
          <w:rFonts w:ascii="Times New Roman" w:eastAsia="宋体" w:hAnsi="Times New Roman" w:cs="Times New Roman"/>
          <w:sz w:val="22"/>
          <w:shd w:val="clear" w:color="auto" w:fill="FFFFFF"/>
        </w:rPr>
        <w:t>c</w:t>
      </w:r>
      <w:r>
        <w:rPr>
          <w:rFonts w:ascii="Times New Roman" w:eastAsia="Segoe UI" w:hAnsi="Times New Roman" w:cs="Times New Roman"/>
          <w:sz w:val="22"/>
          <w:shd w:val="clear" w:color="auto" w:fill="FFFFFF"/>
        </w:rPr>
        <w:t xml:space="preserve">urve of </w:t>
      </w:r>
      <w:r>
        <w:rPr>
          <w:rFonts w:ascii="Times New Roman" w:eastAsia="宋体" w:hAnsi="Times New Roman" w:cs="Times New Roman"/>
          <w:sz w:val="22"/>
          <w:shd w:val="clear" w:color="auto" w:fill="FFFFFF"/>
        </w:rPr>
        <w:t>d</w:t>
      </w:r>
      <w:r>
        <w:rPr>
          <w:rFonts w:ascii="Times New Roman" w:eastAsia="Segoe UI" w:hAnsi="Times New Roman" w:cs="Times New Roman"/>
          <w:sz w:val="22"/>
          <w:shd w:val="clear" w:color="auto" w:fill="FFFFFF"/>
        </w:rPr>
        <w:t xml:space="preserve">eep </w:t>
      </w:r>
      <w:r>
        <w:rPr>
          <w:rFonts w:ascii="Times New Roman" w:eastAsia="宋体" w:hAnsi="Times New Roman" w:cs="Times New Roman"/>
          <w:sz w:val="22"/>
          <w:shd w:val="clear" w:color="auto" w:fill="FFFFFF"/>
        </w:rPr>
        <w:t>n</w:t>
      </w:r>
      <w:r>
        <w:rPr>
          <w:rFonts w:ascii="Times New Roman" w:eastAsia="Segoe UI" w:hAnsi="Times New Roman" w:cs="Times New Roman"/>
          <w:sz w:val="22"/>
          <w:shd w:val="clear" w:color="auto" w:fill="FFFFFF"/>
        </w:rPr>
        <w:t xml:space="preserve">asal </w:t>
      </w:r>
      <w:r>
        <w:rPr>
          <w:rFonts w:ascii="Times New Roman" w:eastAsia="宋体" w:hAnsi="Times New Roman" w:cs="Times New Roman"/>
          <w:sz w:val="22"/>
          <w:shd w:val="clear" w:color="auto" w:fill="FFFFFF"/>
        </w:rPr>
        <w:t>r</w:t>
      </w:r>
      <w:r>
        <w:rPr>
          <w:rFonts w:ascii="Times New Roman" w:eastAsia="Segoe UI" w:hAnsi="Times New Roman" w:cs="Times New Roman"/>
          <w:sz w:val="22"/>
          <w:shd w:val="clear" w:color="auto" w:fill="FFFFFF"/>
        </w:rPr>
        <w:t xml:space="preserve">etinal </w:t>
      </w:r>
      <w:r>
        <w:rPr>
          <w:rFonts w:ascii="Times New Roman" w:eastAsia="宋体" w:hAnsi="Times New Roman" w:cs="Times New Roman"/>
          <w:sz w:val="22"/>
          <w:shd w:val="clear" w:color="auto" w:fill="FFFFFF"/>
        </w:rPr>
        <w:t>v</w:t>
      </w:r>
      <w:r>
        <w:rPr>
          <w:rFonts w:ascii="Times New Roman" w:eastAsia="Segoe UI" w:hAnsi="Times New Roman" w:cs="Times New Roman"/>
          <w:sz w:val="22"/>
          <w:shd w:val="clear" w:color="auto" w:fill="FFFFFF"/>
        </w:rPr>
        <w:t xml:space="preserve">essel </w:t>
      </w:r>
      <w:r>
        <w:rPr>
          <w:rFonts w:ascii="Times New Roman" w:eastAsia="宋体" w:hAnsi="Times New Roman" w:cs="Times New Roman"/>
          <w:sz w:val="22"/>
          <w:shd w:val="clear" w:color="auto" w:fill="FFFFFF"/>
        </w:rPr>
        <w:t>d</w:t>
      </w:r>
      <w:r>
        <w:rPr>
          <w:rFonts w:ascii="Times New Roman" w:eastAsia="Segoe UI" w:hAnsi="Times New Roman" w:cs="Times New Roman"/>
          <w:sz w:val="22"/>
          <w:shd w:val="clear" w:color="auto" w:fill="FFFFFF"/>
        </w:rPr>
        <w:t xml:space="preserve">ensity for </w:t>
      </w:r>
      <w:r>
        <w:rPr>
          <w:rFonts w:ascii="Times New Roman" w:eastAsia="宋体" w:hAnsi="Times New Roman" w:cs="Times New Roman"/>
          <w:sz w:val="22"/>
          <w:shd w:val="clear" w:color="auto" w:fill="FFFFFF"/>
        </w:rPr>
        <w:t>d</w:t>
      </w:r>
      <w:r>
        <w:rPr>
          <w:rFonts w:ascii="Times New Roman" w:eastAsia="Segoe UI" w:hAnsi="Times New Roman" w:cs="Times New Roman"/>
          <w:sz w:val="22"/>
          <w:shd w:val="clear" w:color="auto" w:fill="FFFFFF"/>
        </w:rPr>
        <w:t xml:space="preserve">iagnosing </w:t>
      </w:r>
      <w:r>
        <w:rPr>
          <w:rFonts w:ascii="Times New Roman" w:eastAsia="宋体" w:hAnsi="Times New Roman" w:cs="Times New Roman"/>
          <w:sz w:val="22"/>
          <w:shd w:val="clear" w:color="auto" w:fill="FFFFFF"/>
        </w:rPr>
        <w:t>p</w:t>
      </w:r>
      <w:r>
        <w:rPr>
          <w:rFonts w:ascii="Times New Roman" w:eastAsia="Segoe UI" w:hAnsi="Times New Roman" w:cs="Times New Roman"/>
          <w:sz w:val="22"/>
          <w:shd w:val="clear" w:color="auto" w:fill="FFFFFF"/>
        </w:rPr>
        <w:t xml:space="preserve">reclinical </w:t>
      </w:r>
      <w:r>
        <w:rPr>
          <w:rFonts w:ascii="Times New Roman" w:eastAsia="宋体" w:hAnsi="Times New Roman" w:cs="Times New Roman"/>
          <w:sz w:val="22"/>
          <w:shd w:val="clear" w:color="auto" w:fill="FFFFFF"/>
        </w:rPr>
        <w:t>d</w:t>
      </w:r>
      <w:r>
        <w:rPr>
          <w:rFonts w:ascii="Times New Roman" w:eastAsia="Segoe UI" w:hAnsi="Times New Roman" w:cs="Times New Roman"/>
          <w:sz w:val="22"/>
          <w:shd w:val="clear" w:color="auto" w:fill="FFFFFF"/>
        </w:rPr>
        <w:t xml:space="preserve">iabetic </w:t>
      </w:r>
      <w:r>
        <w:rPr>
          <w:rFonts w:ascii="Times New Roman" w:eastAsia="宋体" w:hAnsi="Times New Roman" w:cs="Times New Roman"/>
          <w:sz w:val="22"/>
          <w:shd w:val="clear" w:color="auto" w:fill="FFFFFF"/>
        </w:rPr>
        <w:t>r</w:t>
      </w:r>
      <w:r>
        <w:rPr>
          <w:rFonts w:ascii="Times New Roman" w:eastAsia="Segoe UI" w:hAnsi="Times New Roman" w:cs="Times New Roman"/>
          <w:sz w:val="22"/>
          <w:shd w:val="clear" w:color="auto" w:fill="FFFFFF"/>
        </w:rPr>
        <w:t>etinopathy. ROC, receiver operating characteristic</w:t>
      </w:r>
    </w:p>
    <w:p w14:paraId="6C58C98A" w14:textId="77777777" w:rsidR="00366007" w:rsidRDefault="00366007">
      <w:pPr>
        <w:snapToGrid w:val="0"/>
        <w:spacing w:line="480" w:lineRule="auto"/>
        <w:rPr>
          <w:rFonts w:ascii="Times New Roman" w:eastAsia="宋体" w:hAnsi="Times New Roman" w:cs="Times New Roman"/>
          <w:b/>
          <w:bCs/>
          <w:sz w:val="22"/>
          <w:lang w:val="en-GB"/>
        </w:rPr>
      </w:pPr>
    </w:p>
    <w:p w14:paraId="341FDAE7" w14:textId="77777777" w:rsidR="007F5D2D" w:rsidRDefault="00000000">
      <w:pPr>
        <w:snapToGrid w:val="0"/>
        <w:spacing w:line="480" w:lineRule="auto"/>
        <w:ind w:leftChars="100" w:left="210"/>
        <w:rPr>
          <w:rFonts w:ascii="Times New Roman" w:eastAsia="宋体" w:hAnsi="Times New Roman" w:cs="Times New Roman"/>
          <w:sz w:val="22"/>
          <w:lang w:val="en-GB"/>
        </w:rPr>
      </w:pPr>
      <w:r>
        <w:rPr>
          <w:rFonts w:ascii="Times New Roman" w:eastAsia="宋体" w:hAnsi="Times New Roman" w:cs="Times New Roman"/>
          <w:noProof/>
          <w:sz w:val="22"/>
          <w:lang w:val="en-GB"/>
        </w:rPr>
        <w:lastRenderedPageBreak/>
        <w:drawing>
          <wp:inline distT="0" distB="0" distL="0" distR="0" wp14:anchorId="52D93070" wp14:editId="71241EBD">
            <wp:extent cx="2651760" cy="2369185"/>
            <wp:effectExtent l="0" t="0" r="0" b="0"/>
            <wp:docPr id="5116377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637748"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3351" cy="2380126"/>
                    </a:xfrm>
                    <a:prstGeom prst="rect">
                      <a:avLst/>
                    </a:prstGeom>
                  </pic:spPr>
                </pic:pic>
              </a:graphicData>
            </a:graphic>
          </wp:inline>
        </w:drawing>
      </w:r>
      <w:r>
        <w:rPr>
          <w:rFonts w:ascii="Times New Roman" w:eastAsia="宋体" w:hAnsi="Times New Roman" w:cs="Times New Roman"/>
          <w:noProof/>
          <w:sz w:val="22"/>
          <w:lang w:val="en-GB"/>
        </w:rPr>
        <w:drawing>
          <wp:inline distT="0" distB="0" distL="0" distR="0" wp14:anchorId="11BC21A3" wp14:editId="7963301F">
            <wp:extent cx="2572385" cy="2369185"/>
            <wp:effectExtent l="0" t="0" r="0" b="0"/>
            <wp:docPr id="2933738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373863" name="图片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6818" cy="2383071"/>
                    </a:xfrm>
                    <a:prstGeom prst="rect">
                      <a:avLst/>
                    </a:prstGeom>
                  </pic:spPr>
                </pic:pic>
              </a:graphicData>
            </a:graphic>
          </wp:inline>
        </w:drawing>
      </w:r>
      <w:r>
        <w:rPr>
          <w:rFonts w:ascii="Times New Roman" w:eastAsia="宋体" w:hAnsi="Times New Roman" w:cs="Times New Roman"/>
          <w:noProof/>
          <w:sz w:val="22"/>
          <w:lang w:val="en-GB"/>
        </w:rPr>
        <w:drawing>
          <wp:inline distT="0" distB="0" distL="0" distR="0" wp14:anchorId="6D3A0128" wp14:editId="654B4AF3">
            <wp:extent cx="2722245" cy="2421255"/>
            <wp:effectExtent l="0" t="0" r="1905" b="0"/>
            <wp:docPr id="14476377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3778" name="图片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9588" cy="2445244"/>
                    </a:xfrm>
                    <a:prstGeom prst="rect">
                      <a:avLst/>
                    </a:prstGeom>
                  </pic:spPr>
                </pic:pic>
              </a:graphicData>
            </a:graphic>
          </wp:inline>
        </w:drawing>
      </w:r>
    </w:p>
    <w:p w14:paraId="451D9B98" w14:textId="349A6301" w:rsidR="007F5D2D" w:rsidRDefault="00000000">
      <w:pPr>
        <w:snapToGrid w:val="0"/>
        <w:spacing w:line="480" w:lineRule="auto"/>
        <w:rPr>
          <w:rFonts w:ascii="Times New Roman" w:eastAsia="Segoe UI" w:hAnsi="Times New Roman" w:cs="Times New Roman"/>
          <w:b/>
          <w:bCs/>
          <w:sz w:val="22"/>
          <w:shd w:val="clear" w:color="auto" w:fill="FFFFFF"/>
          <w:lang w:val="en-GB"/>
        </w:rPr>
      </w:pPr>
      <w:bookmarkStart w:id="0" w:name="OLE_LINK1"/>
      <w:r>
        <w:rPr>
          <w:rFonts w:ascii="Times New Roman" w:eastAsia="宋体" w:hAnsi="Times New Roman" w:cs="Times New Roman"/>
          <w:b/>
          <w:bCs/>
          <w:sz w:val="22"/>
          <w:lang w:val="en-GB"/>
        </w:rPr>
        <w:t>Supplementary F</w:t>
      </w:r>
      <w:r>
        <w:rPr>
          <w:rFonts w:ascii="Times New Roman" w:eastAsia="Segoe UI" w:hAnsi="Times New Roman" w:cs="Times New Roman"/>
          <w:b/>
          <w:bCs/>
          <w:sz w:val="22"/>
          <w:shd w:val="clear" w:color="auto" w:fill="FFFFFF"/>
          <w:lang w:val="en-GB"/>
        </w:rPr>
        <w:t xml:space="preserve">igure </w:t>
      </w:r>
      <w:bookmarkEnd w:id="0"/>
      <w:r w:rsidR="006402B7">
        <w:rPr>
          <w:rFonts w:ascii="Times New Roman" w:hAnsi="Times New Roman" w:cs="Times New Roman" w:hint="eastAsia"/>
          <w:b/>
          <w:bCs/>
          <w:sz w:val="22"/>
          <w:shd w:val="clear" w:color="auto" w:fill="FFFFFF"/>
          <w:lang w:val="en-GB"/>
        </w:rPr>
        <w:t>3</w:t>
      </w:r>
      <w:r>
        <w:rPr>
          <w:rFonts w:ascii="Times New Roman" w:eastAsia="Segoe UI" w:hAnsi="Times New Roman" w:cs="Times New Roman"/>
          <w:b/>
          <w:bCs/>
          <w:sz w:val="22"/>
          <w:shd w:val="clear" w:color="auto" w:fill="FFFFFF"/>
          <w:lang w:val="en-GB"/>
        </w:rPr>
        <w:t>.</w:t>
      </w:r>
      <w:r>
        <w:rPr>
          <w:rFonts w:ascii="Times New Roman" w:eastAsia="Segoe UI" w:hAnsi="Times New Roman" w:cs="Times New Roman"/>
          <w:sz w:val="22"/>
          <w:shd w:val="clear" w:color="auto" w:fill="FFFFFF"/>
          <w:lang w:val="en-GB"/>
        </w:rPr>
        <w:t xml:space="preserve"> ROC curves of retinal vascular density and GCIPL thickness parameters for diagnosing diabetic retinopathy. GCIPL, ganglion cell–inner plexiform layer; ROC, receiver operating characteristic</w:t>
      </w:r>
    </w:p>
    <w:p w14:paraId="1BE70198" w14:textId="77777777" w:rsidR="007F5D2D" w:rsidRDefault="007F5D2D">
      <w:pPr>
        <w:rPr>
          <w:lang w:val="en-GB"/>
        </w:rPr>
      </w:pPr>
    </w:p>
    <w:p w14:paraId="0834E2DD" w14:textId="77777777" w:rsidR="007F5D2D" w:rsidRDefault="007F5D2D">
      <w:pPr>
        <w:rPr>
          <w:lang w:val="en-GB"/>
        </w:rPr>
      </w:pPr>
    </w:p>
    <w:p w14:paraId="6976314E" w14:textId="77777777" w:rsidR="003964DB" w:rsidRPr="003964DB" w:rsidRDefault="00000000" w:rsidP="003964DB">
      <w:pPr>
        <w:pStyle w:val="EndNoteBibliography"/>
        <w:ind w:left="720" w:hanging="720"/>
        <w:rPr>
          <w:noProof/>
        </w:rPr>
      </w:pPr>
      <w:r>
        <w:rPr>
          <w:lang w:val="en-GB"/>
        </w:rPr>
        <w:fldChar w:fldCharType="begin"/>
      </w:r>
      <w:r>
        <w:rPr>
          <w:lang w:val="en-GB"/>
        </w:rPr>
        <w:instrText xml:space="preserve"> ADDIN EN.REFLIST </w:instrText>
      </w:r>
      <w:r>
        <w:rPr>
          <w:lang w:val="en-GB"/>
        </w:rPr>
        <w:fldChar w:fldCharType="separate"/>
      </w:r>
      <w:r w:rsidR="003964DB" w:rsidRPr="003964DB">
        <w:rPr>
          <w:noProof/>
        </w:rPr>
        <w:t>1</w:t>
      </w:r>
      <w:r w:rsidR="003964DB" w:rsidRPr="003964DB">
        <w:rPr>
          <w:noProof/>
        </w:rPr>
        <w:tab/>
        <w:t xml:space="preserve">American Diabetes Association Professional Practice Committee for, D. 2. Diagnosis and Classification of Diabetes: Standards of Care in Diabetes-2026. </w:t>
      </w:r>
      <w:r w:rsidR="003964DB" w:rsidRPr="003964DB">
        <w:rPr>
          <w:i/>
          <w:noProof/>
        </w:rPr>
        <w:t>Diabetes Care</w:t>
      </w:r>
      <w:r w:rsidR="003964DB" w:rsidRPr="003964DB">
        <w:rPr>
          <w:noProof/>
        </w:rPr>
        <w:t xml:space="preserve"> </w:t>
      </w:r>
      <w:r w:rsidR="003964DB" w:rsidRPr="003964DB">
        <w:rPr>
          <w:b/>
          <w:noProof/>
        </w:rPr>
        <w:t>49</w:t>
      </w:r>
      <w:r w:rsidR="003964DB" w:rsidRPr="003964DB">
        <w:rPr>
          <w:noProof/>
        </w:rPr>
        <w:t>, S27-S49, doi:10.2337/dc26-S002 (2026).</w:t>
      </w:r>
    </w:p>
    <w:p w14:paraId="6159F357" w14:textId="082EB161" w:rsidR="007F5D2D" w:rsidRDefault="00000000">
      <w:pPr>
        <w:rPr>
          <w:lang w:val="en-GB"/>
        </w:rPr>
      </w:pPr>
      <w:r>
        <w:rPr>
          <w:lang w:val="en-GB"/>
        </w:rPr>
        <w:fldChar w:fldCharType="end"/>
      </w:r>
    </w:p>
    <w:sectPr w:rsidR="007F5D2D">
      <w:pgSz w:w="11906" w:h="16838"/>
      <w:pgMar w:top="1440" w:right="1440" w:bottom="1440" w:left="1440" w:header="851" w:footer="992" w:gutter="0"/>
      <w:lnNumType w:countBy="1" w:restart="continuous"/>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4A79C" w14:textId="77777777" w:rsidR="005E0C1E" w:rsidRDefault="005E0C1E" w:rsidP="003964DB">
      <w:r>
        <w:separator/>
      </w:r>
    </w:p>
  </w:endnote>
  <w:endnote w:type="continuationSeparator" w:id="0">
    <w:p w14:paraId="62AE525B" w14:textId="77777777" w:rsidR="005E0C1E" w:rsidRDefault="005E0C1E" w:rsidP="00396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宋体">
    <w:altName w:val="SimSun"/>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61AC5" w14:textId="77777777" w:rsidR="005E0C1E" w:rsidRDefault="005E0C1E" w:rsidP="003964DB">
      <w:r>
        <w:separator/>
      </w:r>
    </w:p>
  </w:footnote>
  <w:footnote w:type="continuationSeparator" w:id="0">
    <w:p w14:paraId="76436D2B" w14:textId="77777777" w:rsidR="005E0C1E" w:rsidRDefault="005E0C1E" w:rsidP="003964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20"/>
  <w:displayHorizont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szfv020jse5rwexre4x9paveeftwr20r9v0&quot;&gt;My EndNote Library&lt;record-ids&gt;&lt;item&gt;184&lt;/item&gt;&lt;/record-ids&gt;&lt;/item&gt;&lt;/Libraries&gt;"/>
  </w:docVars>
  <w:rsids>
    <w:rsidRoot w:val="008D6F75"/>
    <w:rsid w:val="000112DF"/>
    <w:rsid w:val="00044F23"/>
    <w:rsid w:val="00073A4B"/>
    <w:rsid w:val="000A60C9"/>
    <w:rsid w:val="000D46DC"/>
    <w:rsid w:val="0013276A"/>
    <w:rsid w:val="00151559"/>
    <w:rsid w:val="0016614F"/>
    <w:rsid w:val="001F5C35"/>
    <w:rsid w:val="00206870"/>
    <w:rsid w:val="00214F9F"/>
    <w:rsid w:val="00222C74"/>
    <w:rsid w:val="00247058"/>
    <w:rsid w:val="002A5B77"/>
    <w:rsid w:val="002E1145"/>
    <w:rsid w:val="00366007"/>
    <w:rsid w:val="003662BA"/>
    <w:rsid w:val="00381411"/>
    <w:rsid w:val="003964DB"/>
    <w:rsid w:val="003A2105"/>
    <w:rsid w:val="003E4296"/>
    <w:rsid w:val="00487D3E"/>
    <w:rsid w:val="00545B43"/>
    <w:rsid w:val="00562497"/>
    <w:rsid w:val="00570514"/>
    <w:rsid w:val="0058083C"/>
    <w:rsid w:val="005A208B"/>
    <w:rsid w:val="005E0C1E"/>
    <w:rsid w:val="005E66B5"/>
    <w:rsid w:val="005F3D7E"/>
    <w:rsid w:val="006402B7"/>
    <w:rsid w:val="00660F69"/>
    <w:rsid w:val="0069218E"/>
    <w:rsid w:val="006978E1"/>
    <w:rsid w:val="0071016C"/>
    <w:rsid w:val="0073796D"/>
    <w:rsid w:val="0076264E"/>
    <w:rsid w:val="00790B54"/>
    <w:rsid w:val="007C5049"/>
    <w:rsid w:val="007E37FE"/>
    <w:rsid w:val="007F5D2D"/>
    <w:rsid w:val="00805790"/>
    <w:rsid w:val="0082047C"/>
    <w:rsid w:val="00834C7E"/>
    <w:rsid w:val="00840029"/>
    <w:rsid w:val="00856510"/>
    <w:rsid w:val="00865C8B"/>
    <w:rsid w:val="008B293D"/>
    <w:rsid w:val="008D6F75"/>
    <w:rsid w:val="008E4614"/>
    <w:rsid w:val="00944D53"/>
    <w:rsid w:val="009544ED"/>
    <w:rsid w:val="009721D2"/>
    <w:rsid w:val="009959C0"/>
    <w:rsid w:val="009A5373"/>
    <w:rsid w:val="009D77D6"/>
    <w:rsid w:val="009F1DFB"/>
    <w:rsid w:val="009F7BE5"/>
    <w:rsid w:val="00A13E1E"/>
    <w:rsid w:val="00A3584E"/>
    <w:rsid w:val="00A40F2A"/>
    <w:rsid w:val="00A627C2"/>
    <w:rsid w:val="00A82C40"/>
    <w:rsid w:val="00A8514B"/>
    <w:rsid w:val="00B0031E"/>
    <w:rsid w:val="00B17913"/>
    <w:rsid w:val="00B32C90"/>
    <w:rsid w:val="00BC1609"/>
    <w:rsid w:val="00BD0E37"/>
    <w:rsid w:val="00BD142F"/>
    <w:rsid w:val="00C107E9"/>
    <w:rsid w:val="00C30DAC"/>
    <w:rsid w:val="00C32EDE"/>
    <w:rsid w:val="00CA77E1"/>
    <w:rsid w:val="00CB3E06"/>
    <w:rsid w:val="00CE47CA"/>
    <w:rsid w:val="00CF0914"/>
    <w:rsid w:val="00CF260E"/>
    <w:rsid w:val="00D01BBA"/>
    <w:rsid w:val="00D30203"/>
    <w:rsid w:val="00D516C2"/>
    <w:rsid w:val="00E236A2"/>
    <w:rsid w:val="00EE18D1"/>
    <w:rsid w:val="00EE6668"/>
    <w:rsid w:val="00EF33EC"/>
    <w:rsid w:val="00F40B2B"/>
    <w:rsid w:val="00F41991"/>
    <w:rsid w:val="00F52674"/>
    <w:rsid w:val="00F70177"/>
    <w:rsid w:val="00FA1FFB"/>
    <w:rsid w:val="00FB6354"/>
    <w:rsid w:val="00FC3E43"/>
    <w:rsid w:val="00FF2024"/>
    <w:rsid w:val="31CF4652"/>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041AA"/>
  <w15:docId w15:val="{806F7958-CDA1-4D84-88E3-1E4EDFBAB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pPr>
      <w:widowControl/>
      <w:jc w:val="left"/>
    </w:pPr>
    <w:rPr>
      <w:rFonts w:ascii="Times New Roman" w:eastAsia="PMingLiU" w:hAnsi="Times New Roman" w:cs="PMingLiU"/>
      <w:kern w:val="0"/>
      <w:sz w:val="20"/>
      <w:szCs w:val="20"/>
      <w:lang w:val="en-IN" w:eastAsia="en-US"/>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pPr>
      <w:tabs>
        <w:tab w:val="center" w:pos="4153"/>
        <w:tab w:val="right" w:pos="8306"/>
      </w:tabs>
      <w:snapToGrid w:val="0"/>
      <w:jc w:val="center"/>
    </w:pPr>
    <w:rPr>
      <w:sz w:val="18"/>
      <w:szCs w:val="18"/>
    </w:rPr>
  </w:style>
  <w:style w:type="paragraph" w:styleId="a9">
    <w:name w:val="Normal (Web)"/>
    <w:basedOn w:val="a"/>
    <w:uiPriority w:val="99"/>
    <w:semiHidden/>
    <w:unhideWhenUsed/>
    <w:qFormat/>
    <w:rPr>
      <w:rFonts w:ascii="Times New Roman" w:hAnsi="Times New Roman" w:cs="Times New Roman"/>
      <w:sz w:val="24"/>
      <w:szCs w:val="24"/>
    </w:rPr>
  </w:style>
  <w:style w:type="paragraph" w:styleId="aa">
    <w:name w:val="annotation subject"/>
    <w:basedOn w:val="a3"/>
    <w:next w:val="a3"/>
    <w:link w:val="ab"/>
    <w:uiPriority w:val="99"/>
    <w:semiHidden/>
    <w:unhideWhenUsed/>
    <w:qFormat/>
    <w:pPr>
      <w:widowControl w:val="0"/>
      <w:jc w:val="both"/>
    </w:pPr>
    <w:rPr>
      <w:rFonts w:asciiTheme="minorHAnsi" w:eastAsiaTheme="minorEastAsia" w:hAnsiTheme="minorHAnsi" w:cstheme="minorBidi"/>
      <w:b/>
      <w:bCs/>
      <w:kern w:val="2"/>
      <w:lang w:val="en-US" w:eastAsia="zh-CN"/>
    </w:rPr>
  </w:style>
  <w:style w:type="character" w:styleId="ac">
    <w:name w:val="line number"/>
    <w:basedOn w:val="a0"/>
    <w:uiPriority w:val="99"/>
    <w:semiHidden/>
    <w:unhideWhenUsed/>
  </w:style>
  <w:style w:type="character" w:styleId="ad">
    <w:name w:val="Hyperlink"/>
    <w:basedOn w:val="a0"/>
    <w:uiPriority w:val="99"/>
    <w:unhideWhenUsed/>
    <w:qFormat/>
    <w:rPr>
      <w:color w:val="0563C1" w:themeColor="hyperlink"/>
      <w:u w:val="single"/>
    </w:rPr>
  </w:style>
  <w:style w:type="character" w:styleId="ae">
    <w:name w:val="annotation reference"/>
    <w:basedOn w:val="a0"/>
    <w:uiPriority w:val="99"/>
    <w:semiHidden/>
    <w:unhideWhenUsed/>
    <w:qFormat/>
    <w:rPr>
      <w:sz w:val="16"/>
      <w:szCs w:val="16"/>
    </w:rPr>
  </w:style>
  <w:style w:type="character" w:customStyle="1" w:styleId="a4">
    <w:name w:val="批注文字 字符"/>
    <w:basedOn w:val="a0"/>
    <w:link w:val="a3"/>
    <w:uiPriority w:val="99"/>
    <w:qFormat/>
    <w:rPr>
      <w:rFonts w:ascii="Times New Roman" w:eastAsia="PMingLiU" w:hAnsi="Times New Roman" w:cs="PMingLiU"/>
      <w:sz w:val="20"/>
      <w:szCs w:val="20"/>
    </w:rPr>
  </w:style>
  <w:style w:type="character" w:customStyle="1" w:styleId="ab">
    <w:name w:val="批注主题 字符"/>
    <w:basedOn w:val="a4"/>
    <w:link w:val="aa"/>
    <w:uiPriority w:val="99"/>
    <w:semiHidden/>
    <w:rPr>
      <w:rFonts w:ascii="Times New Roman" w:eastAsiaTheme="minorEastAsia" w:hAnsi="Times New Roman" w:cs="PMingLiU"/>
      <w:b/>
      <w:bCs/>
      <w:kern w:val="2"/>
      <w:sz w:val="20"/>
      <w:szCs w:val="20"/>
      <w:lang w:val="en-US" w:eastAsia="zh-CN"/>
    </w:rPr>
  </w:style>
  <w:style w:type="paragraph" w:customStyle="1" w:styleId="1">
    <w:name w:val="修订1"/>
    <w:hidden/>
    <w:uiPriority w:val="99"/>
    <w:semiHidden/>
    <w:rPr>
      <w:kern w:val="2"/>
      <w:sz w:val="21"/>
      <w:szCs w:val="22"/>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hAnsi="Calibri" w:cs="Calibri"/>
      <w:kern w:val="2"/>
      <w:szCs w:val="22"/>
    </w:rPr>
  </w:style>
  <w:style w:type="paragraph" w:customStyle="1" w:styleId="EndNoteBibliography">
    <w:name w:val="EndNote Bibliography"/>
    <w:basedOn w:val="a"/>
    <w:link w:val="EndNoteBibliography0"/>
    <w:qFormat/>
    <w:rPr>
      <w:rFonts w:ascii="Calibri" w:hAnsi="Calibri" w:cs="Calibri"/>
      <w:sz w:val="20"/>
    </w:rPr>
  </w:style>
  <w:style w:type="character" w:customStyle="1" w:styleId="EndNoteBibliography0">
    <w:name w:val="EndNote Bibliography 字符"/>
    <w:basedOn w:val="a0"/>
    <w:link w:val="EndNoteBibliography"/>
    <w:qFormat/>
    <w:rPr>
      <w:rFonts w:ascii="Calibri" w:hAnsi="Calibri" w:cs="Calibri"/>
      <w:kern w:val="2"/>
      <w:szCs w:val="22"/>
    </w:rPr>
  </w:style>
  <w:style w:type="character" w:customStyle="1" w:styleId="a8">
    <w:name w:val="页眉 字符"/>
    <w:basedOn w:val="a0"/>
    <w:link w:val="a7"/>
    <w:uiPriority w:val="99"/>
    <w:qFormat/>
    <w:rPr>
      <w:kern w:val="2"/>
      <w:sz w:val="18"/>
      <w:szCs w:val="18"/>
      <w:lang w:val="en-US" w:eastAsia="zh-CN"/>
    </w:rPr>
  </w:style>
  <w:style w:type="character" w:customStyle="1" w:styleId="a6">
    <w:name w:val="页脚 字符"/>
    <w:basedOn w:val="a0"/>
    <w:link w:val="a5"/>
    <w:uiPriority w:val="99"/>
    <w:rPr>
      <w:kern w:val="2"/>
      <w:sz w:val="18"/>
      <w:szCs w:val="18"/>
      <w:lang w:val="en-US" w:eastAsia="zh-CN"/>
    </w:rPr>
  </w:style>
  <w:style w:type="paragraph" w:styleId="af">
    <w:name w:val="Revision"/>
    <w:hidden/>
    <w:uiPriority w:val="99"/>
    <w:unhideWhenUsed/>
    <w:rsid w:val="003964D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5238</TotalTime>
  <Pages>3</Pages>
  <Words>605</Words>
  <Characters>3826</Characters>
  <Application>Microsoft Office Word</Application>
  <DocSecurity>0</DocSecurity>
  <Lines>73</Lines>
  <Paragraphs>15</Paragraphs>
  <ScaleCrop>false</ScaleCrop>
  <Company/>
  <LinksUpToDate>false</LinksUpToDate>
  <CharactersWithSpaces>4416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a20875</cp:lastModifiedBy>
  <cp:revision>47</cp:revision>
  <dcterms:created xsi:type="dcterms:W3CDTF">2026-03-24T06:10:00Z</dcterms:created>
  <dcterms:modified xsi:type="dcterms:W3CDTF">2026-04-16T14:31:00Z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B5A4363E9E6A46F780336044001C15F4_12</vt:lpwstr>
  </property>
</Properties>
</file>