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800"/>
      </w:tblGrid>
      <w:tr w:rsidR="007C23B4" w14:paraId="1D1359F4" w14:textId="77777777">
        <w:trPr>
          <w:cantSplit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22403" w14:textId="77777777" w:rsidR="005A5534" w:rsidRDefault="005A5534" w:rsidP="005A5534">
            <w:pPr>
              <w:rPr>
                <w:b/>
                <w:bCs/>
              </w:rPr>
            </w:pPr>
            <w:r w:rsidRPr="00A60930">
              <w:rPr>
                <w:b/>
                <w:bCs/>
                <w:sz w:val="32"/>
                <w:szCs w:val="32"/>
              </w:rPr>
              <w:t xml:space="preserve">Supplement </w:t>
            </w:r>
            <w:r>
              <w:rPr>
                <w:b/>
                <w:bCs/>
                <w:sz w:val="32"/>
                <w:szCs w:val="32"/>
              </w:rPr>
              <w:t>11</w:t>
            </w:r>
          </w:p>
          <w:p w14:paraId="3D6C473B" w14:textId="22A29765" w:rsidR="005A5534" w:rsidRDefault="005A5534" w:rsidP="005A5534">
            <w:r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 xml:space="preserve">Certainty of Evidence for Outcomes in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en-IN"/>
              </w:rPr>
              <w:t>Children</w:t>
            </w:r>
          </w:p>
          <w:p w14:paraId="6BF47AAE" w14:textId="77777777" w:rsidR="009644BC" w:rsidRDefault="009644BC">
            <w:pPr>
              <w:rPr>
                <w:rFonts w:ascii="Arial Narrow" w:eastAsia="Times New Roman" w:hAnsi="Arial Narrow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 Narrow" w:eastAsia="Times New Roman" w:hAnsi="Arial Narrow"/>
                <w:b/>
                <w:bCs/>
                <w:sz w:val="16"/>
                <w:szCs w:val="16"/>
              </w:rPr>
              <w:t xml:space="preserve">Summary of findings: </w:t>
            </w:r>
          </w:p>
        </w:tc>
      </w:tr>
      <w:tr w:rsidR="007C23B4" w:rsidRPr="00FB068D" w14:paraId="4FF4E592" w14:textId="77777777">
        <w:trPr>
          <w:cantSplit/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A6E991F" w14:textId="77777777" w:rsidR="009644BC" w:rsidRPr="009644BC" w:rsidRDefault="009644BC">
            <w:pPr>
              <w:pStyle w:val="sof-title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644BC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Homeopathy compared to active comparators for insomnia in children</w:t>
            </w:r>
          </w:p>
        </w:tc>
      </w:tr>
      <w:tr w:rsidR="007C23B4" w:rsidRPr="00686B7A" w14:paraId="03579854" w14:textId="77777777">
        <w:trPr>
          <w:cantSplit/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117EB6F" w14:textId="77777777" w:rsidR="009644BC" w:rsidRPr="009644BC" w:rsidRDefault="009644BC">
            <w:pPr>
              <w:divId w:val="1798596664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 xml:space="preserve">Patient or population: 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insomnia in children</w:t>
            </w:r>
          </w:p>
          <w:p w14:paraId="0DAFA931" w14:textId="77777777" w:rsidR="009644BC" w:rsidRPr="009644BC" w:rsidRDefault="009644BC">
            <w:pPr>
              <w:divId w:val="1381175292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 xml:space="preserve">Setting: 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outpatient</w:t>
            </w:r>
          </w:p>
          <w:p w14:paraId="26FA6231" w14:textId="77777777" w:rsidR="009644BC" w:rsidRPr="009644BC" w:rsidRDefault="009644BC">
            <w:pPr>
              <w:divId w:val="1133018467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 xml:space="preserve">Intervention: 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homeopathy</w:t>
            </w:r>
          </w:p>
          <w:p w14:paraId="69DE7627" w14:textId="77777777" w:rsidR="009644BC" w:rsidRDefault="009644BC">
            <w:pPr>
              <w:divId w:val="2015649056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 xml:space="preserve">Comparison: 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active comparators</w:t>
            </w:r>
          </w:p>
          <w:tbl>
            <w:tblPr>
              <w:tblW w:w="4412" w:type="pct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1409"/>
              <w:gridCol w:w="19"/>
              <w:gridCol w:w="3051"/>
              <w:gridCol w:w="7"/>
              <w:gridCol w:w="1237"/>
              <w:gridCol w:w="969"/>
              <w:gridCol w:w="29"/>
              <w:gridCol w:w="2670"/>
            </w:tblGrid>
            <w:tr w:rsidR="00686B7A" w14:paraId="6331F9CF" w14:textId="77777777" w:rsidTr="00686B7A">
              <w:trPr>
                <w:divId w:val="2015649056"/>
                <w:cantSplit/>
                <w:trHeight w:val="1266"/>
                <w:tblHeader/>
              </w:trPr>
              <w:tc>
                <w:tcPr>
                  <w:tcW w:w="756" w:type="pct"/>
                  <w:tcBorders>
                    <w:right w:val="single" w:sz="6" w:space="0" w:color="EFEFEF"/>
                  </w:tcBorders>
                  <w:shd w:val="clear" w:color="auto" w:fill="3271AA"/>
                  <w:vAlign w:val="bottom"/>
                  <w:hideMark/>
                </w:tcPr>
                <w:p w14:paraId="743C8467" w14:textId="77777777" w:rsidR="00686B7A" w:rsidRDefault="00686B7A" w:rsidP="00686B7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Narrow" w:hAnsi="Arial Narrow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FFFFFF"/>
                      <w:sz w:val="16"/>
                      <w:szCs w:val="16"/>
                    </w:rPr>
                    <w:t>Outcomes</w:t>
                  </w:r>
                </w:p>
              </w:tc>
              <w:tc>
                <w:tcPr>
                  <w:tcW w:w="1646" w:type="pct"/>
                  <w:gridSpan w:val="2"/>
                  <w:tcBorders>
                    <w:top w:val="single" w:sz="6" w:space="0" w:color="EFEFEF"/>
                    <w:right w:val="single" w:sz="6" w:space="0" w:color="EFEFEF"/>
                  </w:tcBorders>
                  <w:shd w:val="clear" w:color="auto" w:fill="3271AA"/>
                  <w:vAlign w:val="bottom"/>
                  <w:hideMark/>
                </w:tcPr>
                <w:p w14:paraId="50B05769" w14:textId="77777777" w:rsidR="00686B7A" w:rsidRPr="00635E48" w:rsidRDefault="00686B7A" w:rsidP="00686B7A">
                  <w:pPr>
                    <w:pStyle w:val="first-letter"/>
                    <w:spacing w:before="0" w:after="0"/>
                    <w:jc w:val="center"/>
                    <w:rPr>
                      <w:rFonts w:ascii="Arial Narrow" w:hAnsi="Arial Narrow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r w:rsidRPr="00635E48">
                    <w:rPr>
                      <w:rFonts w:ascii="Arial Narrow" w:hAnsi="Arial Narrow"/>
                      <w:b/>
                      <w:bCs/>
                      <w:color w:val="FFFFFF" w:themeColor="background1"/>
                      <w:sz w:val="16"/>
                      <w:szCs w:val="16"/>
                    </w:rPr>
                    <w:t>Relative effect (95% CI)</w:t>
                  </w:r>
                </w:p>
              </w:tc>
              <w:tc>
                <w:tcPr>
                  <w:tcW w:w="665" w:type="pct"/>
                  <w:gridSpan w:val="2"/>
                  <w:tcBorders>
                    <w:right w:val="single" w:sz="6" w:space="0" w:color="EFEFEF"/>
                  </w:tcBorders>
                  <w:shd w:val="clear" w:color="auto" w:fill="3271AA"/>
                  <w:vAlign w:val="bottom"/>
                  <w:hideMark/>
                </w:tcPr>
                <w:p w14:paraId="18162898" w14:textId="77777777" w:rsidR="00686B7A" w:rsidRDefault="00686B7A" w:rsidP="00686B7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Narrow" w:hAnsi="Arial Narrow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FFFFFF"/>
                      <w:sz w:val="16"/>
                      <w:szCs w:val="16"/>
                    </w:rPr>
                    <w:t>№ of participants</w:t>
                  </w:r>
                  <w:r>
                    <w:rPr>
                      <w:rFonts w:ascii="Arial Narrow" w:hAnsi="Arial Narrow"/>
                      <w:color w:val="FFFFFF"/>
                      <w:sz w:val="16"/>
                      <w:szCs w:val="16"/>
                    </w:rPr>
                    <w:br/>
                    <w:t>(studies)</w:t>
                  </w:r>
                </w:p>
              </w:tc>
              <w:tc>
                <w:tcPr>
                  <w:tcW w:w="485" w:type="pct"/>
                  <w:tcBorders>
                    <w:right w:val="single" w:sz="6" w:space="0" w:color="EFEFEF"/>
                  </w:tcBorders>
                  <w:shd w:val="clear" w:color="auto" w:fill="3271AA"/>
                  <w:vAlign w:val="bottom"/>
                  <w:hideMark/>
                </w:tcPr>
                <w:p w14:paraId="252013B5" w14:textId="77777777" w:rsidR="00686B7A" w:rsidRPr="00E936C1" w:rsidRDefault="00686B7A" w:rsidP="00686B7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Narrow" w:hAnsi="Arial Narrow"/>
                      <w:color w:val="FFFFFF"/>
                      <w:sz w:val="16"/>
                      <w:szCs w:val="16"/>
                      <w:lang w:val="en-GB"/>
                    </w:rPr>
                  </w:pPr>
                  <w:r w:rsidRPr="00E936C1">
                    <w:rPr>
                      <w:rFonts w:ascii="Arial Narrow" w:hAnsi="Arial Narrow"/>
                      <w:color w:val="FFFFFF"/>
                      <w:sz w:val="16"/>
                      <w:szCs w:val="16"/>
                      <w:lang w:val="en-GB"/>
                    </w:rPr>
                    <w:t>Certainty of the evidence</w:t>
                  </w:r>
                  <w:r w:rsidRPr="00E936C1">
                    <w:rPr>
                      <w:rFonts w:ascii="Arial Narrow" w:hAnsi="Arial Narrow"/>
                      <w:color w:val="FFFFFF"/>
                      <w:sz w:val="16"/>
                      <w:szCs w:val="16"/>
                      <w:lang w:val="en-GB"/>
                    </w:rPr>
                    <w:br/>
                    <w:t>(GRADE)</w:t>
                  </w:r>
                </w:p>
              </w:tc>
              <w:tc>
                <w:tcPr>
                  <w:tcW w:w="1449" w:type="pct"/>
                  <w:gridSpan w:val="2"/>
                  <w:tcBorders>
                    <w:right w:val="single" w:sz="6" w:space="0" w:color="EFEFEF"/>
                  </w:tcBorders>
                  <w:shd w:val="clear" w:color="auto" w:fill="3271AA"/>
                  <w:vAlign w:val="bottom"/>
                  <w:hideMark/>
                </w:tcPr>
                <w:p w14:paraId="5AA0BAFA" w14:textId="77777777" w:rsidR="00686B7A" w:rsidRDefault="00686B7A" w:rsidP="00686B7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Narrow" w:hAnsi="Arial Narrow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color w:val="FFFFFF"/>
                      <w:sz w:val="16"/>
                      <w:szCs w:val="16"/>
                    </w:rPr>
                    <w:t>Comments</w:t>
                  </w:r>
                </w:p>
              </w:tc>
            </w:tr>
            <w:tr w:rsidR="00686B7A" w14:paraId="61B46A7A" w14:textId="77777777" w:rsidTr="00686B7A">
              <w:trPr>
                <w:divId w:val="2015649056"/>
                <w:cantSplit/>
              </w:trPr>
              <w:tc>
                <w:tcPr>
                  <w:tcW w:w="756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F49771C" w14:textId="0E3F836E" w:rsidR="00686B7A" w:rsidRPr="00E936C1" w:rsidRDefault="009D7002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</w:pPr>
                  <w:r w:rsidRPr="009644BC">
                    <w:rPr>
                      <w:rStyle w:val="label"/>
                      <w:rFonts w:ascii="Arial Narrow" w:eastAsia="Times New Roman" w:hAnsi="Arial Narrow"/>
                      <w:sz w:val="18"/>
                      <w:szCs w:val="18"/>
                      <w:lang w:val="en-GB"/>
                    </w:rPr>
                    <w:t>Insomnia severity</w:t>
                  </w:r>
                  <w:r w:rsidRPr="009644BC">
                    <w:rPr>
                      <w:rFonts w:ascii="Arial Narrow" w:eastAsia="Times New Roman" w:hAnsi="Arial Narrow"/>
                      <w:sz w:val="18"/>
                      <w:szCs w:val="18"/>
                      <w:lang w:val="en-GB"/>
                    </w:rPr>
                    <w:br/>
                  </w:r>
                  <w:r w:rsidRPr="009644BC">
                    <w:rPr>
                      <w:rStyle w:val="label"/>
                      <w:rFonts w:ascii="Arial Narrow" w:eastAsia="Times New Roman" w:hAnsi="Arial Narrow"/>
                      <w:sz w:val="18"/>
                      <w:szCs w:val="18"/>
                      <w:lang w:val="en-GB"/>
                    </w:rPr>
                    <w:t>follow-up: 4 weeks</w:t>
                  </w:r>
                </w:p>
              </w:tc>
              <w:tc>
                <w:tcPr>
                  <w:tcW w:w="1646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EBEBEB"/>
                  <w:vAlign w:val="center"/>
                  <w:hideMark/>
                </w:tcPr>
                <w:p w14:paraId="106B18C9" w14:textId="724AF7CF" w:rsidR="00686B7A" w:rsidRPr="00E936C1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</w:pPr>
                  <w:r w:rsidRPr="009644BC">
                    <w:rPr>
                      <w:rStyle w:val="cell-value"/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  <w:t xml:space="preserve">SMD </w:t>
                  </w:r>
                  <w:r w:rsidRPr="009644BC">
                    <w:rPr>
                      <w:rStyle w:val="cell-value"/>
                      <w:rFonts w:ascii="Arial Narrow" w:eastAsia="Times New Roman" w:hAnsi="Arial Narrow"/>
                      <w:b/>
                      <w:bCs/>
                      <w:sz w:val="16"/>
                      <w:szCs w:val="16"/>
                      <w:lang w:val="en-GB"/>
                    </w:rPr>
                    <w:t>0.82 SD higher</w:t>
                  </w:r>
                  <w:r w:rsidRPr="009644BC">
                    <w:rPr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  <w:br/>
                  </w:r>
                  <w:r w:rsidRPr="009644BC">
                    <w:rPr>
                      <w:rStyle w:val="cell-value"/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  <w:t>(0.56 higher to 1.09 higher)</w:t>
                  </w:r>
                </w:p>
              </w:tc>
              <w:tc>
                <w:tcPr>
                  <w:tcW w:w="665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77A27F8D" w14:textId="4C499CDC" w:rsidR="00686B7A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</w:rPr>
                  </w:pPr>
                  <w:r>
                    <w:rPr>
                      <w:rFonts w:ascii="Arial Narrow" w:eastAsia="Times New Roman" w:hAnsi="Arial Narrow"/>
                      <w:sz w:val="16"/>
                      <w:szCs w:val="16"/>
                    </w:rPr>
                    <w:t>176</w:t>
                  </w:r>
                  <w:r>
                    <w:rPr>
                      <w:rFonts w:ascii="Arial Narrow" w:eastAsia="Times New Roman" w:hAnsi="Arial Narrow"/>
                      <w:sz w:val="16"/>
                      <w:szCs w:val="16"/>
                    </w:rPr>
                    <w:br/>
                    <w:t>(1 RCT)</w:t>
                  </w:r>
                </w:p>
              </w:tc>
              <w:tc>
                <w:tcPr>
                  <w:tcW w:w="485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0044EB1" w14:textId="78B2C2FD" w:rsidR="00686B7A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</w:rPr>
                  </w:pPr>
                  <w:r>
                    <w:rPr>
                      <w:rStyle w:val="quality-sign"/>
                      <w:rFonts w:ascii="Cambria Math" w:eastAsia="Times New Roman" w:hAnsi="Cambria Math" w:cs="Cambria Math"/>
                      <w:sz w:val="21"/>
                      <w:szCs w:val="21"/>
                    </w:rPr>
                    <w:t>⨁◯◯◯</w:t>
                  </w:r>
                  <w:r>
                    <w:rPr>
                      <w:rFonts w:ascii="Arial Narrow" w:eastAsia="Times New Roman" w:hAnsi="Arial Narrow"/>
                      <w:sz w:val="16"/>
                      <w:szCs w:val="16"/>
                    </w:rPr>
                    <w:br/>
                  </w:r>
                  <w:r>
                    <w:rPr>
                      <w:rStyle w:val="quality-text"/>
                      <w:rFonts w:ascii="Arial Narrow" w:eastAsia="Times New Roman" w:hAnsi="Arial Narrow"/>
                      <w:sz w:val="16"/>
                      <w:szCs w:val="16"/>
                    </w:rPr>
                    <w:t>Very low</w:t>
                  </w:r>
                  <w:r>
                    <w:rPr>
                      <w:rFonts w:ascii="Arial Narrow" w:eastAsia="Times New Roman" w:hAnsi="Arial Narrow"/>
                      <w:sz w:val="16"/>
                      <w:szCs w:val="16"/>
                      <w:vertAlign w:val="superscript"/>
                    </w:rPr>
                    <w:t>a</w:t>
                  </w:r>
                  <w:r>
                    <w:rPr>
                      <w:rStyle w:val="comma"/>
                      <w:rFonts w:ascii="Arial Narrow" w:eastAsia="Times New Roman" w:hAnsi="Arial Narrow"/>
                      <w:sz w:val="16"/>
                      <w:szCs w:val="16"/>
                      <w:vertAlign w:val="superscript"/>
                    </w:rPr>
                    <w:t>,</w:t>
                  </w:r>
                  <w:r>
                    <w:rPr>
                      <w:rFonts w:ascii="Arial Narrow" w:eastAsia="Times New Roman" w:hAnsi="Arial Narrow"/>
                      <w:sz w:val="16"/>
                      <w:szCs w:val="16"/>
                      <w:vertAlign w:val="superscript"/>
                    </w:rPr>
                    <w:t>b</w:t>
                  </w:r>
                  <w:r>
                    <w:rPr>
                      <w:rStyle w:val="comma"/>
                      <w:rFonts w:ascii="Arial Narrow" w:eastAsia="Times New Roman" w:hAnsi="Arial Narrow"/>
                      <w:sz w:val="16"/>
                      <w:szCs w:val="16"/>
                      <w:vertAlign w:val="superscript"/>
                    </w:rPr>
                    <w:t>,</w:t>
                  </w:r>
                  <w:r>
                    <w:rPr>
                      <w:rFonts w:ascii="Arial Narrow" w:eastAsia="Times New Roman" w:hAnsi="Arial Narrow"/>
                      <w:sz w:val="16"/>
                      <w:szCs w:val="16"/>
                      <w:vertAlign w:val="superscript"/>
                    </w:rPr>
                    <w:t>c</w:t>
                  </w:r>
                </w:p>
              </w:tc>
              <w:tc>
                <w:tcPr>
                  <w:tcW w:w="1449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304BA98E" w14:textId="77777777" w:rsidR="00686B7A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</w:rPr>
                  </w:pPr>
                </w:p>
              </w:tc>
            </w:tr>
            <w:tr w:rsidR="00686B7A" w:rsidRPr="009D7002" w14:paraId="035CABD7" w14:textId="77777777" w:rsidTr="00686B7A">
              <w:trPr>
                <w:divId w:val="2015649056"/>
                <w:cantSplit/>
              </w:trPr>
              <w:tc>
                <w:tcPr>
                  <w:tcW w:w="772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60C320C5" w14:textId="439B780C" w:rsidR="00686B7A" w:rsidRPr="00E936C1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</w:pPr>
                  <w:r w:rsidRPr="009644BC">
                    <w:rPr>
                      <w:rStyle w:val="label"/>
                      <w:rFonts w:ascii="Arial Narrow" w:eastAsia="Times New Roman" w:hAnsi="Arial Narrow"/>
                      <w:sz w:val="18"/>
                      <w:szCs w:val="18"/>
                      <w:lang w:val="en-GB"/>
                    </w:rPr>
                    <w:t>Adverse events</w:t>
                  </w:r>
                  <w:r w:rsidRPr="009644BC">
                    <w:rPr>
                      <w:rFonts w:ascii="Arial Narrow" w:eastAsia="Times New Roman" w:hAnsi="Arial Narrow"/>
                      <w:sz w:val="18"/>
                      <w:szCs w:val="18"/>
                      <w:lang w:val="en-GB"/>
                    </w:rPr>
                    <w:br/>
                  </w:r>
                  <w:r w:rsidRPr="009644BC">
                    <w:rPr>
                      <w:rStyle w:val="label"/>
                      <w:rFonts w:ascii="Arial Narrow" w:eastAsia="Times New Roman" w:hAnsi="Arial Narrow"/>
                      <w:sz w:val="18"/>
                      <w:szCs w:val="18"/>
                      <w:lang w:val="en-GB"/>
                    </w:rPr>
                    <w:t>follow-up: 4 weeks</w:t>
                  </w:r>
                </w:p>
              </w:tc>
              <w:tc>
                <w:tcPr>
                  <w:tcW w:w="1631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EBEBEB"/>
                  <w:vAlign w:val="center"/>
                  <w:hideMark/>
                </w:tcPr>
                <w:p w14:paraId="38CD1702" w14:textId="7DDBFFB6" w:rsidR="00686B7A" w:rsidRPr="00E936C1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</w:pPr>
                  <w:r w:rsidRPr="009644BC">
                    <w:rPr>
                      <w:rFonts w:ascii="Arial Narrow" w:eastAsia="Times New Roman" w:hAnsi="Arial Narrow"/>
                      <w:sz w:val="16"/>
                      <w:szCs w:val="16"/>
                      <w:lang w:val="en-GB"/>
                    </w:rPr>
                    <w:t>In this randomized controlled trial involving 179 children under 6 years with sleep disorders, adverse events were systematically monitored. A total of 11 non-serious events were reported (6 in the homeopathy group, 5 in the comparator group), most unrelated to treatment. One child in the homeopathy group withdrew due to excitability. No serious adverse events occurred. While the trial was open-label, AE monitoring appeared unbiased.</w:t>
                  </w:r>
                </w:p>
              </w:tc>
              <w:tc>
                <w:tcPr>
                  <w:tcW w:w="656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2EF881B8" w14:textId="022AF328" w:rsidR="00686B7A" w:rsidRPr="009D7002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  <w:lang w:val="en-US"/>
                    </w:rPr>
                  </w:pPr>
                  <w:r w:rsidRPr="009D7002">
                    <w:rPr>
                      <w:rFonts w:ascii="Arial Narrow" w:eastAsia="Times New Roman" w:hAnsi="Arial Narrow"/>
                      <w:sz w:val="16"/>
                      <w:szCs w:val="16"/>
                      <w:lang w:val="en-US"/>
                    </w:rPr>
                    <w:t>176</w:t>
                  </w:r>
                  <w:r w:rsidRPr="009D7002">
                    <w:rPr>
                      <w:rFonts w:ascii="Arial Narrow" w:eastAsia="Times New Roman" w:hAnsi="Arial Narrow"/>
                      <w:sz w:val="16"/>
                      <w:szCs w:val="16"/>
                      <w:lang w:val="en-US"/>
                    </w:rPr>
                    <w:br/>
                    <w:t>(1 RCT)</w:t>
                  </w:r>
                </w:p>
              </w:tc>
              <w:tc>
                <w:tcPr>
                  <w:tcW w:w="506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E952918" w14:textId="6229C3D4" w:rsidR="00686B7A" w:rsidRPr="009D7002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quality-sign"/>
                      <w:rFonts w:ascii="Cambria Math" w:eastAsia="Times New Roman" w:hAnsi="Cambria Math" w:cs="Cambria Math"/>
                      <w:sz w:val="21"/>
                      <w:szCs w:val="21"/>
                    </w:rPr>
                    <w:t>⨁⨁</w:t>
                  </w:r>
                  <w:r w:rsidRPr="009D7002">
                    <w:rPr>
                      <w:rStyle w:val="quality-sign"/>
                      <w:rFonts w:ascii="Cambria Math" w:eastAsia="Times New Roman" w:hAnsi="Cambria Math" w:cs="Cambria Math"/>
                      <w:sz w:val="21"/>
                      <w:szCs w:val="21"/>
                      <w:lang w:val="en-US"/>
                    </w:rPr>
                    <w:t>◯◯</w:t>
                  </w:r>
                  <w:r w:rsidRPr="009D7002">
                    <w:rPr>
                      <w:rFonts w:ascii="Arial Narrow" w:eastAsia="Times New Roman" w:hAnsi="Arial Narrow"/>
                      <w:sz w:val="16"/>
                      <w:szCs w:val="16"/>
                      <w:lang w:val="en-US"/>
                    </w:rPr>
                    <w:br/>
                  </w:r>
                  <w:r w:rsidRPr="009D7002">
                    <w:rPr>
                      <w:rStyle w:val="quality-text"/>
                      <w:rFonts w:ascii="Arial Narrow" w:eastAsia="Times New Roman" w:hAnsi="Arial Narrow"/>
                      <w:sz w:val="16"/>
                      <w:szCs w:val="16"/>
                      <w:lang w:val="en-US"/>
                    </w:rPr>
                    <w:t>Low</w:t>
                  </w:r>
                  <w:r w:rsidRPr="009D7002">
                    <w:rPr>
                      <w:rFonts w:ascii="Arial Narrow" w:eastAsia="Times New Roman" w:hAnsi="Arial Narrow"/>
                      <w:sz w:val="16"/>
                      <w:szCs w:val="16"/>
                      <w:vertAlign w:val="superscript"/>
                      <w:lang w:val="en-US"/>
                    </w:rPr>
                    <w:t>c</w:t>
                  </w:r>
                  <w:r w:rsidRPr="009D7002">
                    <w:rPr>
                      <w:rStyle w:val="comma"/>
                      <w:rFonts w:ascii="Arial Narrow" w:eastAsia="Times New Roman" w:hAnsi="Arial Narrow"/>
                      <w:sz w:val="16"/>
                      <w:szCs w:val="16"/>
                      <w:vertAlign w:val="superscript"/>
                      <w:lang w:val="en-US"/>
                    </w:rPr>
                    <w:t>,</w:t>
                  </w:r>
                  <w:r w:rsidRPr="009D7002">
                    <w:rPr>
                      <w:rFonts w:ascii="Arial Narrow" w:eastAsia="Times New Roman" w:hAnsi="Arial Narrow"/>
                      <w:sz w:val="16"/>
                      <w:szCs w:val="16"/>
                      <w:vertAlign w:val="superscript"/>
                      <w:lang w:val="en-US"/>
                    </w:rPr>
                    <w:t>d</w:t>
                  </w:r>
                </w:p>
              </w:tc>
              <w:tc>
                <w:tcPr>
                  <w:tcW w:w="1435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14:paraId="0B562882" w14:textId="77777777" w:rsidR="00686B7A" w:rsidRPr="009D7002" w:rsidRDefault="00686B7A" w:rsidP="00686B7A">
                  <w:pPr>
                    <w:jc w:val="center"/>
                    <w:rPr>
                      <w:rFonts w:ascii="Arial Narrow" w:eastAsia="Times New Roman" w:hAnsi="Arial Narrow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6E95C947" w14:textId="77777777" w:rsidR="00686B7A" w:rsidRPr="009644BC" w:rsidRDefault="00686B7A" w:rsidP="009D7002">
            <w:pPr>
              <w:divId w:val="2015649056"/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</w:p>
        </w:tc>
      </w:tr>
      <w:tr w:rsidR="007C23B4" w:rsidRPr="009D7002" w14:paraId="7404367F" w14:textId="77777777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33EC7C" w14:textId="77777777" w:rsidR="009644BC" w:rsidRPr="009D7002" w:rsidRDefault="009644BC">
            <w:pPr>
              <w:rPr>
                <w:rFonts w:ascii="Arial Narrow" w:eastAsia="Times New Roman" w:hAnsi="Arial Narrow"/>
                <w:sz w:val="16"/>
                <w:szCs w:val="16"/>
                <w:lang w:val="en-US"/>
              </w:rPr>
            </w:pP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>*</w:t>
            </w: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The risk in the intervention group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(and its 95% confidence interval) is based on the assumed risk in the comparison group and the </w:t>
            </w: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relative effect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of the intervention (and its 95% CI).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9D7002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US"/>
              </w:rPr>
              <w:t>CI:</w:t>
            </w:r>
            <w:r w:rsidRPr="009D7002">
              <w:rPr>
                <w:rFonts w:ascii="Arial Narrow" w:eastAsia="Times New Roman" w:hAnsi="Arial Narrow"/>
                <w:sz w:val="16"/>
                <w:szCs w:val="16"/>
                <w:lang w:val="en-US"/>
              </w:rPr>
              <w:t xml:space="preserve"> confidence interval; </w:t>
            </w:r>
            <w:r w:rsidRPr="009D7002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US"/>
              </w:rPr>
              <w:t>SMD:</w:t>
            </w:r>
            <w:r w:rsidRPr="009D7002">
              <w:rPr>
                <w:rFonts w:ascii="Arial Narrow" w:eastAsia="Times New Roman" w:hAnsi="Arial Narrow"/>
                <w:sz w:val="16"/>
                <w:szCs w:val="16"/>
                <w:lang w:val="en-US"/>
              </w:rPr>
              <w:t xml:space="preserve"> standardised mean difference</w:t>
            </w:r>
          </w:p>
        </w:tc>
      </w:tr>
      <w:tr w:rsidR="007C23B4" w:rsidRPr="00FB068D" w14:paraId="33C2ED3C" w14:textId="77777777">
        <w:trPr>
          <w:cantSplit/>
        </w:trPr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ABA417" w14:textId="77777777" w:rsidR="009644BC" w:rsidRPr="009644BC" w:rsidRDefault="009644BC">
            <w:pPr>
              <w:rPr>
                <w:rFonts w:ascii="Arial Narrow" w:eastAsia="Times New Roman" w:hAnsi="Arial Narrow"/>
                <w:sz w:val="16"/>
                <w:szCs w:val="16"/>
                <w:lang w:val="en-GB"/>
              </w:rPr>
            </w:pP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GRADE Working Group grades of evidence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High certainty: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we are very confident that the true effect lies close to that of the estimate of the effect.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Moderate certainty: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we are moderately confident in the effect estimate: the true effect is likely to be close to the estimate of the effect, but there is a possibility that it is substantially different.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Low certainty: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our confidence in the effect estimate is limited: the true effect may be substantially different from the estimate of the effect.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br/>
            </w:r>
            <w:r w:rsidRPr="009644BC">
              <w:rPr>
                <w:rFonts w:ascii="Arial Narrow" w:eastAsia="Times New Roman" w:hAnsi="Arial Narrow"/>
                <w:b/>
                <w:bCs/>
                <w:sz w:val="16"/>
                <w:szCs w:val="16"/>
                <w:lang w:val="en-GB"/>
              </w:rPr>
              <w:t>Very low certainty:</w:t>
            </w:r>
            <w:r w:rsidRPr="009644BC">
              <w:rPr>
                <w:rFonts w:ascii="Arial Narrow" w:eastAsia="Times New Roman" w:hAnsi="Arial Narrow"/>
                <w:sz w:val="16"/>
                <w:szCs w:val="16"/>
                <w:lang w:val="en-GB"/>
              </w:rPr>
              <w:t xml:space="preserve"> we have very little confidence in the effect estimate: the true effect is likely to be substantially different from the estimate of effect.</w:t>
            </w:r>
          </w:p>
        </w:tc>
      </w:tr>
    </w:tbl>
    <w:p w14:paraId="5813D955" w14:textId="77777777" w:rsidR="009644BC" w:rsidRDefault="009644BC">
      <w:pPr>
        <w:pStyle w:val="Heading4"/>
        <w:rPr>
          <w:rFonts w:ascii="Arial Narrow" w:eastAsia="Times New Roman" w:hAnsi="Arial Narrow"/>
          <w:color w:val="000000"/>
          <w:lang w:val="en"/>
        </w:rPr>
      </w:pPr>
      <w:r>
        <w:rPr>
          <w:rFonts w:ascii="Arial Narrow" w:eastAsia="Times New Roman" w:hAnsi="Arial Narrow"/>
          <w:color w:val="000000"/>
          <w:lang w:val="en"/>
        </w:rPr>
        <w:t>Explanations</w:t>
      </w:r>
    </w:p>
    <w:p w14:paraId="0C85771C" w14:textId="6FD72079" w:rsidR="009644BC" w:rsidRDefault="009644BC">
      <w:pPr>
        <w:divId w:val="1882860702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a. </w:t>
      </w:r>
      <w:r w:rsidR="00AE08EC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Downgraded one </w:t>
      </w:r>
      <w:r w:rsidR="00FB068D">
        <w:rPr>
          <w:rFonts w:ascii="Arial Narrow" w:eastAsia="Times New Roman" w:hAnsi="Arial Narrow"/>
          <w:color w:val="000000"/>
          <w:sz w:val="16"/>
          <w:szCs w:val="16"/>
          <w:lang w:val="en"/>
        </w:rPr>
        <w:t>level</w:t>
      </w:r>
      <w:r w:rsidR="00AE08EC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 for s</w:t>
      </w: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erious risk of bias due to missing blinding and subjective outcome measures.</w:t>
      </w:r>
    </w:p>
    <w:p w14:paraId="77372FDB" w14:textId="47E86BB8" w:rsidR="009644BC" w:rsidRDefault="009644BC">
      <w:pPr>
        <w:divId w:val="981085489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b. </w:t>
      </w:r>
      <w:r w:rsidR="00AE08EC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Downgraded one </w:t>
      </w:r>
      <w:r w:rsidR="00FB068D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level </w:t>
      </w:r>
      <w:r w:rsidR="00AE08EC">
        <w:rPr>
          <w:rFonts w:ascii="Arial Narrow" w:eastAsia="Times New Roman" w:hAnsi="Arial Narrow"/>
          <w:color w:val="000000"/>
          <w:sz w:val="16"/>
          <w:szCs w:val="16"/>
          <w:lang w:val="en"/>
        </w:rPr>
        <w:t>for i</w:t>
      </w: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ndirectness due to use of non-validated, proxy-reported composite measure of sleep disturbance severity.</w:t>
      </w:r>
    </w:p>
    <w:p w14:paraId="1B33D7BA" w14:textId="3DF78700" w:rsidR="009644BC" w:rsidRDefault="009644BC">
      <w:pPr>
        <w:divId w:val="1315988938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c. </w:t>
      </w:r>
      <w:r w:rsidR="00AE08EC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Downgraded one </w:t>
      </w:r>
      <w:r w:rsidR="00FB068D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level </w:t>
      </w:r>
      <w:r w:rsidR="00AE08EC">
        <w:rPr>
          <w:rFonts w:ascii="Arial Narrow" w:eastAsia="Times New Roman" w:hAnsi="Arial Narrow"/>
          <w:color w:val="000000"/>
          <w:sz w:val="16"/>
          <w:szCs w:val="16"/>
          <w:lang w:val="en"/>
        </w:rPr>
        <w:t xml:space="preserve">for publication bias. </w:t>
      </w: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The only available study is industry-funded. Given the absence of independent studies and the potential for selective non-publication, we downgraded the certainty of evidence by one level for suspected publication bias.</w:t>
      </w:r>
    </w:p>
    <w:p w14:paraId="2EE7B517" w14:textId="77777777" w:rsidR="009644BC" w:rsidRDefault="009644BC">
      <w:pPr>
        <w:divId w:val="467555297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  <w:r>
        <w:rPr>
          <w:rFonts w:ascii="Arial Narrow" w:eastAsia="Times New Roman" w:hAnsi="Arial Narrow"/>
          <w:color w:val="000000"/>
          <w:sz w:val="16"/>
          <w:szCs w:val="16"/>
          <w:lang w:val="en"/>
        </w:rPr>
        <w:t>d. Only 11 adverse events occurred in total (6 in the homeopathy group), all non-serious and mostly unrelated. The small number of events and the limited sample (N=179) make it difficult to precisely estimate risk.</w:t>
      </w:r>
    </w:p>
    <w:p w14:paraId="272F7DF9" w14:textId="77777777" w:rsidR="009644BC" w:rsidRDefault="009644BC">
      <w:pPr>
        <w:divId w:val="467555297"/>
        <w:rPr>
          <w:rFonts w:ascii="Arial Narrow" w:eastAsia="Times New Roman" w:hAnsi="Arial Narrow"/>
          <w:color w:val="000000"/>
          <w:sz w:val="16"/>
          <w:szCs w:val="16"/>
          <w:lang w:val="en"/>
        </w:rPr>
      </w:pPr>
    </w:p>
    <w:p w14:paraId="0000D742" w14:textId="30BB7283" w:rsidR="009644BC" w:rsidRPr="009644BC" w:rsidRDefault="009644BC">
      <w:pPr>
        <w:divId w:val="467555297"/>
        <w:rPr>
          <w:rFonts w:ascii="Arial Narrow" w:eastAsia="Times New Roman" w:hAnsi="Arial Narrow"/>
          <w:color w:val="000000"/>
          <w:sz w:val="16"/>
          <w:szCs w:val="16"/>
          <w:lang w:val="en-GB"/>
        </w:rPr>
      </w:pPr>
    </w:p>
    <w:sectPr w:rsidR="009644BC" w:rsidRPr="009644B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29"/>
    <w:rsid w:val="00090CB2"/>
    <w:rsid w:val="004C143E"/>
    <w:rsid w:val="005118DE"/>
    <w:rsid w:val="00516EFE"/>
    <w:rsid w:val="005A5534"/>
    <w:rsid w:val="00686B7A"/>
    <w:rsid w:val="007C23B4"/>
    <w:rsid w:val="007D5029"/>
    <w:rsid w:val="008E0B02"/>
    <w:rsid w:val="009644BC"/>
    <w:rsid w:val="009D7002"/>
    <w:rsid w:val="00AE08EC"/>
    <w:rsid w:val="00B6524D"/>
    <w:rsid w:val="00F027CF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74E4"/>
  <w15:docId w15:val="{8E613065-645C-4873-99EB-31AFB8A9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paragraph" w:customStyle="1" w:styleId="sof-title">
    <w:name w:val="sof-title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rst-letter">
    <w:name w:val="first-letter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label">
    <w:name w:val="label"/>
    <w:basedOn w:val="DefaultParagraphFont"/>
  </w:style>
  <w:style w:type="character" w:customStyle="1" w:styleId="cell">
    <w:name w:val="cell"/>
    <w:basedOn w:val="DefaultParagraphFont"/>
  </w:style>
  <w:style w:type="character" w:customStyle="1" w:styleId="cell-value">
    <w:name w:val="cell-value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character" w:customStyle="1" w:styleId="comma">
    <w:name w:val="comma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>GKF Berlin e.V.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Loef</dc:creator>
  <cp:lastModifiedBy>Abhijit Dutta</cp:lastModifiedBy>
  <cp:revision>6</cp:revision>
  <dcterms:created xsi:type="dcterms:W3CDTF">2026-01-09T12:20:00Z</dcterms:created>
  <dcterms:modified xsi:type="dcterms:W3CDTF">2026-04-04T17:51:00Z</dcterms:modified>
</cp:coreProperties>
</file>