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F335" w14:textId="2BA1F2CC" w:rsidR="00B90511" w:rsidRDefault="00B90511" w:rsidP="00BA3750">
      <w:pPr>
        <w:rPr>
          <w:b/>
          <w:bCs/>
        </w:rPr>
      </w:pPr>
      <w:r w:rsidRPr="00A60930">
        <w:rPr>
          <w:b/>
          <w:bCs/>
          <w:sz w:val="32"/>
          <w:szCs w:val="32"/>
        </w:rPr>
        <w:t xml:space="preserve">Supplement </w:t>
      </w:r>
      <w:r>
        <w:rPr>
          <w:b/>
          <w:bCs/>
          <w:sz w:val="32"/>
          <w:szCs w:val="32"/>
        </w:rPr>
        <w:t>11</w:t>
      </w:r>
    </w:p>
    <w:p w14:paraId="07A34A98" w14:textId="0D35B799" w:rsidR="00B90511" w:rsidRDefault="00B90511" w:rsidP="00BA3750">
      <w:r>
        <w:rPr>
          <w:rFonts w:ascii="Times New Roman" w:eastAsia="Times New Roman" w:hAnsi="Times New Roman" w:cs="Times New Roman"/>
          <w:b/>
          <w:bCs/>
          <w:lang w:val="en-US" w:eastAsia="en-IN"/>
        </w:rPr>
        <w:t>Certainty of Evidence</w:t>
      </w:r>
      <w:r>
        <w:rPr>
          <w:rFonts w:ascii="Times New Roman" w:eastAsia="Times New Roman" w:hAnsi="Times New Roman" w:cs="Times New Roman"/>
          <w:b/>
          <w:bCs/>
          <w:lang w:val="en-US" w:eastAsia="en-IN"/>
        </w:rPr>
        <w:t xml:space="preserve"> for Outcomes in Adults</w:t>
      </w:r>
    </w:p>
    <w:tbl>
      <w:tblPr>
        <w:tblW w:w="4412" w:type="pct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348"/>
        <w:gridCol w:w="2950"/>
        <w:gridCol w:w="1184"/>
        <w:gridCol w:w="923"/>
        <w:gridCol w:w="2597"/>
      </w:tblGrid>
      <w:tr w:rsidR="00635E48" w14:paraId="116D44A8" w14:textId="77777777" w:rsidTr="00635E48">
        <w:trPr>
          <w:cantSplit/>
          <w:trHeight w:val="1266"/>
          <w:tblHeader/>
        </w:trPr>
        <w:tc>
          <w:tcPr>
            <w:tcW w:w="757" w:type="pc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3A50401" w14:textId="77777777" w:rsidR="00635E48" w:rsidRDefault="00635E48" w:rsidP="00BA375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  <w:t>Outcomes</w:t>
            </w:r>
          </w:p>
        </w:tc>
        <w:tc>
          <w:tcPr>
            <w:tcW w:w="1647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C9777CC" w14:textId="75D817AF" w:rsidR="00635E48" w:rsidRPr="00635E48" w:rsidRDefault="00635E48" w:rsidP="00BA3750">
            <w:pPr>
              <w:pStyle w:val="first-letter"/>
              <w:spacing w:before="0" w:after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635E48"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</w:rPr>
              <w:t>Relative effect (95% CI)</w:t>
            </w:r>
          </w:p>
        </w:tc>
        <w:tc>
          <w:tcPr>
            <w:tcW w:w="666" w:type="pc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D890874" w14:textId="77777777" w:rsidR="00635E48" w:rsidRDefault="00635E48" w:rsidP="00BA375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  <w:t>№ of participants</w:t>
            </w:r>
            <w:r>
              <w:rPr>
                <w:rFonts w:ascii="Arial Narrow" w:hAnsi="Arial Narrow"/>
                <w:color w:val="FFFFFF"/>
                <w:sz w:val="16"/>
                <w:szCs w:val="16"/>
              </w:rPr>
              <w:br/>
              <w:t>(studies)</w:t>
            </w:r>
          </w:p>
        </w:tc>
        <w:tc>
          <w:tcPr>
            <w:tcW w:w="480" w:type="pc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D162A59" w14:textId="77777777" w:rsidR="00635E48" w:rsidRPr="00E936C1" w:rsidRDefault="00635E48" w:rsidP="00BA375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en-GB"/>
              </w:rPr>
            </w:pPr>
            <w:r w:rsidRPr="00E936C1">
              <w:rPr>
                <w:rFonts w:ascii="Arial Narrow" w:hAnsi="Arial Narrow"/>
                <w:color w:val="FFFFFF"/>
                <w:sz w:val="16"/>
                <w:szCs w:val="16"/>
                <w:lang w:val="en-GB"/>
              </w:rPr>
              <w:t>Certainty of the evidence</w:t>
            </w:r>
            <w:r w:rsidRPr="00E936C1">
              <w:rPr>
                <w:rFonts w:ascii="Arial Narrow" w:hAnsi="Arial Narrow"/>
                <w:color w:val="FFFFFF"/>
                <w:sz w:val="16"/>
                <w:szCs w:val="16"/>
                <w:lang w:val="en-GB"/>
              </w:rPr>
              <w:br/>
              <w:t>(GRADE)</w:t>
            </w:r>
          </w:p>
        </w:tc>
        <w:tc>
          <w:tcPr>
            <w:tcW w:w="1450" w:type="pc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6637ADC" w14:textId="77777777" w:rsidR="00635E48" w:rsidRDefault="00635E48" w:rsidP="00BA375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  <w:t>Comments</w:t>
            </w:r>
          </w:p>
        </w:tc>
      </w:tr>
      <w:tr w:rsidR="00635E48" w14:paraId="4BB9373F" w14:textId="77777777" w:rsidTr="00635E48">
        <w:trPr>
          <w:cantSplit/>
        </w:trPr>
        <w:tc>
          <w:tcPr>
            <w:tcW w:w="75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2313799" w14:textId="77777777" w:rsidR="00635E48" w:rsidRPr="00E936C1" w:rsidRDefault="00635E48" w:rsidP="00BA3750">
            <w:pPr>
              <w:jc w:val="center"/>
              <w:divId w:val="2005667023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Sleep quality</w:t>
            </w:r>
            <w:r w:rsidRPr="00E936C1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assessed with: PSQI</w:t>
            </w:r>
            <w:r w:rsidRPr="00E936C1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Scale from: 0 to 21</w:t>
            </w:r>
            <w:r w:rsidRPr="00E936C1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follow-up: 6 weeks</w:t>
            </w:r>
          </w:p>
        </w:tc>
        <w:tc>
          <w:tcPr>
            <w:tcW w:w="164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1B3679D1" w14:textId="242D2EE2" w:rsidR="00635E48" w:rsidRPr="00E936C1" w:rsidRDefault="00635E48" w:rsidP="00BA3750">
            <w:pPr>
              <w:jc w:val="center"/>
              <w:divId w:val="1848056944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936C1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MD </w:t>
            </w:r>
            <w:r w:rsidRPr="00E936C1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2.62 points lower</w:t>
            </w:r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E936C1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(-5.5 lower to 0.26 higher)</w:t>
            </w: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C3671E" w14:textId="77777777" w:rsidR="00635E48" w:rsidRDefault="00635E48" w:rsidP="00BA3750">
            <w:pPr>
              <w:jc w:val="center"/>
              <w:divId w:val="1263339909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30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  <w:t>(1 RCT)</w:t>
            </w:r>
          </w:p>
        </w:tc>
        <w:tc>
          <w:tcPr>
            <w:tcW w:w="48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57D591" w14:textId="77777777" w:rsidR="00635E48" w:rsidRDefault="00635E48" w:rsidP="00BA3750">
            <w:pPr>
              <w:jc w:val="center"/>
              <w:divId w:val="1104303532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⨁⨁◯◯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Low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a</w:t>
            </w:r>
            <w:r>
              <w:rPr>
                <w:rStyle w:val="comma"/>
                <w:rFonts w:ascii="Arial Narrow" w:eastAsia="Times New Roman" w:hAnsi="Arial Narrow"/>
                <w:sz w:val="16"/>
                <w:szCs w:val="16"/>
                <w:vertAlign w:val="superscript"/>
              </w:rPr>
              <w:t>,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A91C8E" w14:textId="77777777" w:rsidR="00635E48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</w:tr>
    </w:tbl>
    <w:tbl>
      <w:tblPr>
        <w:tblW w:w="4412" w:type="pct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357"/>
        <w:gridCol w:w="2965"/>
        <w:gridCol w:w="1195"/>
        <w:gridCol w:w="877"/>
        <w:gridCol w:w="2608"/>
      </w:tblGrid>
      <w:tr w:rsidR="00635E48" w14:paraId="59B01ECA" w14:textId="77777777" w:rsidTr="00635E48">
        <w:trPr>
          <w:divId w:val="1489596760"/>
          <w:cantSplit/>
        </w:trPr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B8188F" w14:textId="78BCC6AD" w:rsidR="00635E48" w:rsidRPr="00E936C1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Sleep efficiency</w:t>
            </w:r>
            <w:r w:rsidRPr="00E936C1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 xml:space="preserve">assessed with: </w:t>
            </w:r>
            <w:r w:rsidR="0020680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s</w:t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leep diary</w:t>
            </w:r>
            <w:r w:rsidRPr="00E936C1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follow-up: 12 weeks</w:t>
            </w:r>
          </w:p>
        </w:tc>
        <w:tc>
          <w:tcPr>
            <w:tcW w:w="164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1A71D0D2" w14:textId="77777777" w:rsidR="00635E48" w:rsidRPr="00E936C1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936C1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MD </w:t>
            </w:r>
            <w:r w:rsidRPr="00E936C1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6.9 points higher</w:t>
            </w:r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E936C1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(3.99 higher to 9.81 higher)</w:t>
            </w: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E8E6DD" w14:textId="77777777" w:rsidR="00635E48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60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  <w:t>(1 RCT)</w:t>
            </w:r>
          </w:p>
        </w:tc>
        <w:tc>
          <w:tcPr>
            <w:tcW w:w="47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ED57AB" w14:textId="155BC7E0" w:rsidR="00635E48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Moderate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2491B7B" w14:textId="77777777" w:rsidR="00635E48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</w:tr>
    </w:tbl>
    <w:tbl>
      <w:tblPr>
        <w:tblW w:w="4412" w:type="pct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348"/>
        <w:gridCol w:w="2950"/>
        <w:gridCol w:w="1184"/>
        <w:gridCol w:w="923"/>
        <w:gridCol w:w="2597"/>
      </w:tblGrid>
      <w:tr w:rsidR="00635E48" w14:paraId="35F08D9A" w14:textId="77777777" w:rsidTr="00635E48">
        <w:trPr>
          <w:cantSplit/>
        </w:trPr>
        <w:tc>
          <w:tcPr>
            <w:tcW w:w="75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B89468D" w14:textId="77777777" w:rsidR="00635E48" w:rsidRPr="00EC47DC" w:rsidRDefault="00635E48" w:rsidP="00BA3750">
            <w:pPr>
              <w:jc w:val="center"/>
              <w:divId w:val="1489596760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C47DC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Total sleep duration</w:t>
            </w:r>
            <w:r w:rsidRPr="00EC47DC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C47DC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assessed with: sleep diary</w:t>
            </w:r>
            <w:r w:rsidRPr="00EC47DC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C47DC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follow-up: range 4 weeks to 12 weeks</w:t>
            </w:r>
          </w:p>
        </w:tc>
        <w:tc>
          <w:tcPr>
            <w:tcW w:w="164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31E32AB6" w14:textId="3A907796" w:rsidR="00635E48" w:rsidRPr="00EC47DC" w:rsidRDefault="00635E48" w:rsidP="00BA3750">
            <w:pPr>
              <w:jc w:val="center"/>
              <w:divId w:val="1474637910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C47DC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MD </w:t>
            </w:r>
            <w:r w:rsidRPr="00EC47DC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0.65 hours more</w:t>
            </w:r>
            <w:r w:rsidRPr="00EC47D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EC47DC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(</w:t>
            </w:r>
            <w:r w:rsidR="001C2040" w:rsidRPr="00EC47DC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0.9</w:t>
            </w:r>
            <w:r w:rsidRPr="00EC47DC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fewer to </w:t>
            </w:r>
            <w:r w:rsidR="001C2040" w:rsidRPr="00EC47DC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2</w:t>
            </w:r>
            <w:r w:rsidRPr="00EC47DC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.</w:t>
            </w:r>
            <w:r w:rsidR="001C2040" w:rsidRPr="00EC47DC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2</w:t>
            </w:r>
            <w:r w:rsidRPr="00EC47DC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more)</w:t>
            </w: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9D529C" w14:textId="5333DCA5" w:rsidR="00635E48" w:rsidRPr="00EC47DC" w:rsidRDefault="00635E48" w:rsidP="00BA3750">
            <w:pPr>
              <w:jc w:val="center"/>
              <w:divId w:val="1841508289"/>
              <w:rPr>
                <w:rFonts w:ascii="Arial Narrow" w:eastAsia="Times New Roman" w:hAnsi="Arial Narrow"/>
                <w:sz w:val="16"/>
                <w:szCs w:val="16"/>
              </w:rPr>
            </w:pPr>
            <w:r w:rsidRPr="00EC47DC">
              <w:rPr>
                <w:rFonts w:ascii="Arial Narrow" w:eastAsia="Times New Roman" w:hAnsi="Arial Narrow"/>
                <w:sz w:val="16"/>
                <w:szCs w:val="16"/>
              </w:rPr>
              <w:t>1</w:t>
            </w:r>
            <w:r w:rsidR="001C2040" w:rsidRPr="00EC47DC">
              <w:rPr>
                <w:rFonts w:ascii="Arial Narrow" w:eastAsia="Times New Roman" w:hAnsi="Arial Narrow"/>
                <w:sz w:val="16"/>
                <w:szCs w:val="16"/>
              </w:rPr>
              <w:t>24</w:t>
            </w:r>
            <w:r w:rsidRPr="00EC47DC">
              <w:rPr>
                <w:rFonts w:ascii="Arial Narrow" w:eastAsia="Times New Roman" w:hAnsi="Arial Narrow"/>
                <w:sz w:val="16"/>
                <w:szCs w:val="16"/>
              </w:rPr>
              <w:br/>
              <w:t>(</w:t>
            </w:r>
            <w:r w:rsidR="001C2040" w:rsidRPr="00EC47DC">
              <w:rPr>
                <w:rFonts w:ascii="Arial Narrow" w:eastAsia="Times New Roman" w:hAnsi="Arial Narrow"/>
                <w:sz w:val="16"/>
                <w:szCs w:val="16"/>
              </w:rPr>
              <w:t>3</w:t>
            </w:r>
            <w:r w:rsidRPr="00EC47DC">
              <w:rPr>
                <w:rFonts w:ascii="Arial Narrow" w:eastAsia="Times New Roman" w:hAnsi="Arial Narrow"/>
                <w:sz w:val="16"/>
                <w:szCs w:val="16"/>
              </w:rPr>
              <w:t xml:space="preserve"> RCTs)</w:t>
            </w:r>
          </w:p>
        </w:tc>
        <w:tc>
          <w:tcPr>
            <w:tcW w:w="48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576FA52" w14:textId="77777777" w:rsidR="00635E48" w:rsidRPr="00EC47DC" w:rsidRDefault="00635E48" w:rsidP="00BA3750">
            <w:pPr>
              <w:jc w:val="center"/>
              <w:divId w:val="311104806"/>
              <w:rPr>
                <w:rFonts w:ascii="Arial Narrow" w:eastAsia="Times New Roman" w:hAnsi="Arial Narrow"/>
                <w:sz w:val="16"/>
                <w:szCs w:val="16"/>
              </w:rPr>
            </w:pPr>
            <w:r w:rsidRPr="00EC47DC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⨁⨁◯◯</w:t>
            </w:r>
            <w:r w:rsidRPr="00EC47DC">
              <w:rPr>
                <w:rFonts w:ascii="Arial Narrow" w:eastAsia="Times New Roman" w:hAnsi="Arial Narrow"/>
                <w:sz w:val="16"/>
                <w:szCs w:val="16"/>
              </w:rPr>
              <w:br/>
            </w:r>
            <w:r w:rsidRPr="00EC47DC"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Low</w:t>
            </w:r>
            <w:r w:rsidRPr="00EC47DC"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a</w:t>
            </w:r>
            <w:r w:rsidRPr="00EC47DC">
              <w:rPr>
                <w:rStyle w:val="comma"/>
                <w:rFonts w:ascii="Arial Narrow" w:eastAsia="Times New Roman" w:hAnsi="Arial Narrow"/>
                <w:sz w:val="16"/>
                <w:szCs w:val="16"/>
                <w:vertAlign w:val="superscript"/>
              </w:rPr>
              <w:t>,</w:t>
            </w:r>
            <w:r w:rsidRPr="00EC47DC"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6DF8DA" w14:textId="77777777" w:rsidR="00635E48" w:rsidRPr="00EC47DC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</w:tr>
      <w:tr w:rsidR="00635E48" w14:paraId="007EE379" w14:textId="77777777" w:rsidTr="00635E48">
        <w:trPr>
          <w:cantSplit/>
        </w:trPr>
        <w:tc>
          <w:tcPr>
            <w:tcW w:w="75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750E95" w14:textId="387141A1" w:rsidR="00635E48" w:rsidRPr="001C2040" w:rsidRDefault="00635E48" w:rsidP="00BA3750">
            <w:pPr>
              <w:jc w:val="center"/>
              <w:divId w:val="1384791235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1C2040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Insomnia severity</w:t>
            </w:r>
            <w:r w:rsidRPr="001C2040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1C2040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 xml:space="preserve">assessed with: </w:t>
            </w:r>
            <w:r w:rsidR="00AB7DDE" w:rsidRPr="001C2040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insomnia severity index</w:t>
            </w:r>
            <w:r w:rsidRPr="001C2040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1C2040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follow-up: range 4 weeks to 12 weeks</w:t>
            </w:r>
          </w:p>
        </w:tc>
        <w:tc>
          <w:tcPr>
            <w:tcW w:w="164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1191CB02" w14:textId="76DB3C15" w:rsidR="00635E48" w:rsidRPr="001C2040" w:rsidRDefault="00635E48" w:rsidP="00BA3750">
            <w:pPr>
              <w:jc w:val="center"/>
              <w:divId w:val="1260063741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MD </w:t>
            </w:r>
            <w:r w:rsidR="001C2040" w:rsidRPr="001C2040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3</w:t>
            </w:r>
            <w:r w:rsidRPr="001C2040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.</w:t>
            </w:r>
            <w:r w:rsidR="001C2040" w:rsidRPr="001C2040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2</w:t>
            </w:r>
            <w:r w:rsidRPr="001C2040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2040" w:rsidRPr="001C2040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points lower</w:t>
            </w:r>
            <w:r w:rsidRPr="001C2040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(</w:t>
            </w:r>
            <w:r w:rsidR="001C2040"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5</w:t>
            </w:r>
            <w:r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.</w:t>
            </w:r>
            <w:r w:rsidR="001C2040"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68 </w:t>
            </w:r>
            <w:r w:rsid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lower</w:t>
            </w:r>
            <w:r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to </w:t>
            </w:r>
            <w:r w:rsidR="001C2040"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0</w:t>
            </w:r>
            <w:r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.7</w:t>
            </w:r>
            <w:r w:rsidR="001C2040"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2</w:t>
            </w:r>
            <w:r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</w:t>
            </w:r>
            <w:r w:rsid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lower</w:t>
            </w:r>
            <w:r w:rsidRPr="001C2040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)</w:t>
            </w: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49DB5A" w14:textId="027FE45E" w:rsidR="00635E48" w:rsidRPr="001C2040" w:rsidRDefault="0002147C" w:rsidP="00BA3750">
            <w:pPr>
              <w:jc w:val="center"/>
              <w:divId w:val="110981398"/>
              <w:rPr>
                <w:rFonts w:ascii="Arial Narrow" w:eastAsia="Times New Roman" w:hAnsi="Arial Narrow"/>
                <w:sz w:val="16"/>
                <w:szCs w:val="16"/>
              </w:rPr>
            </w:pPr>
            <w:r w:rsidRPr="001C2040">
              <w:rPr>
                <w:rFonts w:ascii="Arial Narrow" w:eastAsia="Times New Roman" w:hAnsi="Arial Narrow"/>
                <w:sz w:val="16"/>
                <w:szCs w:val="16"/>
              </w:rPr>
              <w:t>60</w:t>
            </w:r>
            <w:r w:rsidR="00635E48" w:rsidRPr="001C2040">
              <w:rPr>
                <w:rFonts w:ascii="Arial Narrow" w:eastAsia="Times New Roman" w:hAnsi="Arial Narrow"/>
                <w:sz w:val="16"/>
                <w:szCs w:val="16"/>
              </w:rPr>
              <w:br/>
              <w:t>(</w:t>
            </w:r>
            <w:r w:rsidRPr="001C2040">
              <w:rPr>
                <w:rFonts w:ascii="Arial Narrow" w:eastAsia="Times New Roman" w:hAnsi="Arial Narrow"/>
                <w:sz w:val="16"/>
                <w:szCs w:val="16"/>
              </w:rPr>
              <w:t>1</w:t>
            </w:r>
            <w:r w:rsidR="00635E48" w:rsidRPr="001C2040">
              <w:rPr>
                <w:rFonts w:ascii="Arial Narrow" w:eastAsia="Times New Roman" w:hAnsi="Arial Narrow"/>
                <w:sz w:val="16"/>
                <w:szCs w:val="16"/>
              </w:rPr>
              <w:t xml:space="preserve"> RCT)</w:t>
            </w:r>
          </w:p>
        </w:tc>
        <w:tc>
          <w:tcPr>
            <w:tcW w:w="48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370E217" w14:textId="008C9301" w:rsidR="00635E48" w:rsidRPr="001C2040" w:rsidRDefault="00635E48" w:rsidP="00BA3750">
            <w:pPr>
              <w:jc w:val="center"/>
              <w:divId w:val="155994947"/>
              <w:rPr>
                <w:rFonts w:ascii="Arial Narrow" w:eastAsia="Times New Roman" w:hAnsi="Arial Narrow"/>
                <w:sz w:val="16"/>
                <w:szCs w:val="16"/>
              </w:rPr>
            </w:pPr>
            <w:r w:rsidRPr="001C2040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</w:t>
            </w:r>
            <w:r w:rsidR="00BB49C9" w:rsidRPr="001C2040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</w:t>
            </w:r>
            <w:r w:rsidRPr="001C2040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◯</w:t>
            </w:r>
            <w:r w:rsidRPr="001C2040">
              <w:rPr>
                <w:rFonts w:ascii="Arial Narrow" w:eastAsia="Times New Roman" w:hAnsi="Arial Narrow"/>
                <w:sz w:val="16"/>
                <w:szCs w:val="16"/>
              </w:rPr>
              <w:br/>
            </w:r>
            <w:r w:rsidR="00BB49C9" w:rsidRPr="001C2040"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Moderate</w:t>
            </w:r>
            <w:r w:rsidR="00BB49C9" w:rsidRPr="001C2040"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4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C9E5065" w14:textId="77777777" w:rsidR="00635E48" w:rsidRPr="001C2040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</w:tr>
      <w:tr w:rsidR="00635E48" w14:paraId="09920692" w14:textId="77777777" w:rsidTr="00635E48">
        <w:trPr>
          <w:cantSplit/>
        </w:trPr>
        <w:tc>
          <w:tcPr>
            <w:tcW w:w="75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E955F3" w14:textId="77777777" w:rsidR="00635E48" w:rsidRPr="00E936C1" w:rsidRDefault="00635E48" w:rsidP="00BA3750">
            <w:pPr>
              <w:jc w:val="center"/>
              <w:divId w:val="2009404261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Sleep onset latency</w:t>
            </w:r>
            <w:r w:rsidRPr="00E936C1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assessed with: sleep diary</w:t>
            </w:r>
            <w:r w:rsidRPr="00E936C1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follow-up: 12 weeks</w:t>
            </w:r>
          </w:p>
        </w:tc>
        <w:tc>
          <w:tcPr>
            <w:tcW w:w="164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3F2F16A4" w14:textId="7DB7343F" w:rsidR="00635E48" w:rsidRPr="00E936C1" w:rsidRDefault="00635E48" w:rsidP="00BA3750">
            <w:pPr>
              <w:jc w:val="center"/>
              <w:divId w:val="336857472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936C1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MD </w:t>
            </w:r>
            <w:r w:rsidRPr="00E936C1">
              <w:rPr>
                <w:rStyle w:val="cell-value"/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5.6 minutes lower</w:t>
            </w:r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E936C1">
              <w:rPr>
                <w:rStyle w:val="cell-value"/>
                <w:rFonts w:ascii="Arial Narrow" w:eastAsia="Times New Roman" w:hAnsi="Arial Narrow"/>
                <w:sz w:val="16"/>
                <w:szCs w:val="16"/>
                <w:lang w:val="en-GB"/>
              </w:rPr>
              <w:t>(-15.35 lower to 4.15 higher)</w:t>
            </w: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F12455" w14:textId="77777777" w:rsidR="00635E48" w:rsidRDefault="00635E48" w:rsidP="00BA3750">
            <w:pPr>
              <w:jc w:val="center"/>
              <w:divId w:val="1271815901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60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  <w:t>(1 RCT)</w:t>
            </w:r>
          </w:p>
        </w:tc>
        <w:tc>
          <w:tcPr>
            <w:tcW w:w="48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E0BB8F4" w14:textId="75769281" w:rsidR="00635E48" w:rsidRDefault="00635E48" w:rsidP="00BA3750">
            <w:pPr>
              <w:jc w:val="center"/>
              <w:divId w:val="2006543040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⨁⨁◯◯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Low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4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C34DF2" w14:textId="77777777" w:rsidR="00635E48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</w:tr>
      <w:tr w:rsidR="00635E48" w14:paraId="2091571B" w14:textId="77777777" w:rsidTr="00635E48">
        <w:trPr>
          <w:cantSplit/>
        </w:trPr>
        <w:tc>
          <w:tcPr>
            <w:tcW w:w="75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F27594" w14:textId="77777777" w:rsidR="00635E48" w:rsidRPr="00E936C1" w:rsidRDefault="00635E48" w:rsidP="00BA3750">
            <w:pPr>
              <w:jc w:val="center"/>
              <w:divId w:val="1271477645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Adverse events</w:t>
            </w:r>
            <w:r w:rsidRPr="00E936C1">
              <w:rPr>
                <w:rFonts w:ascii="Arial Narrow" w:eastAsia="Times New Roman" w:hAnsi="Arial Narrow"/>
                <w:sz w:val="18"/>
                <w:szCs w:val="18"/>
                <w:lang w:val="en-GB"/>
              </w:rPr>
              <w:br/>
            </w:r>
            <w:r w:rsidRPr="00E936C1">
              <w:rPr>
                <w:rStyle w:val="label"/>
                <w:rFonts w:ascii="Arial Narrow" w:eastAsia="Times New Roman" w:hAnsi="Arial Narrow"/>
                <w:sz w:val="18"/>
                <w:szCs w:val="18"/>
                <w:lang w:val="en-GB"/>
              </w:rPr>
              <w:t>follow-up: range 4 weeks to 12 weeks</w:t>
            </w:r>
          </w:p>
        </w:tc>
        <w:tc>
          <w:tcPr>
            <w:tcW w:w="164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5C958F46" w14:textId="77777777" w:rsidR="00635E48" w:rsidRPr="00E936C1" w:rsidRDefault="00635E48" w:rsidP="00BA3750">
            <w:pPr>
              <w:divId w:val="152911150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Only 2 of the 9 studies reported on adverse events (Michael et al., 2019; </w:t>
            </w:r>
            <w:proofErr w:type="spellStart"/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>Waldschütz</w:t>
            </w:r>
            <w:proofErr w:type="spellEnd"/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&amp; Klein, 2008). In </w:t>
            </w:r>
            <w:r w:rsidRPr="00E936C1">
              <w:rPr>
                <w:rFonts w:ascii="Arial Narrow" w:eastAsia="Times New Roman" w:hAnsi="Arial Narrow"/>
                <w:i/>
                <w:iCs/>
                <w:sz w:val="16"/>
                <w:szCs w:val="16"/>
                <w:lang w:val="en-GB"/>
              </w:rPr>
              <w:t>Michael et al.</w:t>
            </w:r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(3-month intervention), one mild case of rectal bleeding occurred and was managed with homeopathic treatment; no serious AEs were reported. In </w:t>
            </w:r>
            <w:proofErr w:type="spellStart"/>
            <w:r w:rsidRPr="00E936C1">
              <w:rPr>
                <w:rFonts w:ascii="Arial Narrow" w:eastAsia="Times New Roman" w:hAnsi="Arial Narrow"/>
                <w:i/>
                <w:iCs/>
                <w:sz w:val="16"/>
                <w:szCs w:val="16"/>
                <w:lang w:val="en-GB"/>
              </w:rPr>
              <w:t>Waldschütz</w:t>
            </w:r>
            <w:proofErr w:type="spellEnd"/>
            <w:r w:rsidRPr="00E936C1">
              <w:rPr>
                <w:rFonts w:ascii="Arial Narrow" w:eastAsia="Times New Roman" w:hAnsi="Arial Narrow"/>
                <w:i/>
                <w:iCs/>
                <w:sz w:val="16"/>
                <w:szCs w:val="16"/>
                <w:lang w:val="en-GB"/>
              </w:rPr>
              <w:t xml:space="preserve"> &amp; Klein</w:t>
            </w:r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(4-week intervention), a single case of mild caffeine intolerance was observed. Both studies explicitly monitored AEs and reported high </w:t>
            </w:r>
            <w:proofErr w:type="spellStart"/>
            <w:proofErr w:type="gramStart"/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>tolerability.The</w:t>
            </w:r>
            <w:proofErr w:type="spellEnd"/>
            <w:proofErr w:type="gramEnd"/>
            <w:r w:rsidRPr="00E936C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remaining studies either did not monitor or did not report AEs, limiting the ability to estimate AE frequency reliably.</w:t>
            </w:r>
          </w:p>
        </w:tc>
        <w:tc>
          <w:tcPr>
            <w:tcW w:w="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CB30E2" w14:textId="77777777" w:rsidR="00635E48" w:rsidRDefault="00635E48" w:rsidP="00BA3750">
            <w:pPr>
              <w:spacing w:after="0"/>
              <w:jc w:val="center"/>
              <w:divId w:val="1568299110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60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  <w:t>(1 RCT),</w:t>
            </w:r>
          </w:p>
          <w:p w14:paraId="448921C9" w14:textId="5E2EDFC7" w:rsidR="00635E48" w:rsidRDefault="00635E48" w:rsidP="00BA3750">
            <w:pPr>
              <w:spacing w:after="0"/>
              <w:jc w:val="center"/>
              <w:divId w:val="1568299110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320</w:t>
            </w:r>
          </w:p>
          <w:p w14:paraId="36370DD8" w14:textId="573E91FF" w:rsidR="00635E48" w:rsidRDefault="00635E48" w:rsidP="00BA3750">
            <w:pPr>
              <w:spacing w:after="0"/>
              <w:jc w:val="center"/>
              <w:divId w:val="1568299110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(1 NRSI)</w:t>
            </w:r>
          </w:p>
        </w:tc>
        <w:tc>
          <w:tcPr>
            <w:tcW w:w="48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1AE0D2" w14:textId="64A23A5F" w:rsidR="00635E48" w:rsidRDefault="00635E48" w:rsidP="00BA3750">
            <w:pPr>
              <w:jc w:val="center"/>
              <w:divId w:val="1908417859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⨁⨁◯◯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Low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f,g</w:t>
            </w:r>
          </w:p>
        </w:tc>
        <w:tc>
          <w:tcPr>
            <w:tcW w:w="14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2FD1D3" w14:textId="77777777" w:rsidR="00635E48" w:rsidRDefault="00635E48" w:rsidP="00BA3750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</w:tr>
    </w:tbl>
    <w:p w14:paraId="7AE3BCE9" w14:textId="77777777" w:rsidR="002C18A6" w:rsidRDefault="002C18A6" w:rsidP="00BA3750">
      <w:pPr>
        <w:pStyle w:val="Heading4"/>
        <w:rPr>
          <w:rFonts w:ascii="Arial Narrow" w:eastAsia="Times New Roman" w:hAnsi="Arial Narrow"/>
          <w:color w:val="000000"/>
          <w:lang w:val="en"/>
        </w:rPr>
      </w:pPr>
      <w:r>
        <w:rPr>
          <w:rFonts w:ascii="Arial Narrow" w:eastAsia="Times New Roman" w:hAnsi="Arial Narrow"/>
          <w:color w:val="000000"/>
          <w:lang w:val="en"/>
        </w:rPr>
        <w:t>Explanations</w:t>
      </w:r>
    </w:p>
    <w:p w14:paraId="0DD33068" w14:textId="68659D5F" w:rsidR="002C18A6" w:rsidRDefault="002C18A6" w:rsidP="00BA3750">
      <w:pPr>
        <w:divId w:val="1742866674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lastRenderedPageBreak/>
        <w:t xml:space="preserve">a. </w:t>
      </w:r>
      <w:r w:rsidR="00DC0942">
        <w:rPr>
          <w:rFonts w:ascii="Arial Narrow" w:eastAsia="Times New Roman" w:hAnsi="Arial Narrow"/>
          <w:color w:val="000000"/>
          <w:sz w:val="16"/>
          <w:szCs w:val="16"/>
          <w:lang w:val="en"/>
        </w:rPr>
        <w:t>Downgraded one level with regard to h</w:t>
      </w: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igh risk of bias due to missing outcome data and inadequate analysis.</w:t>
      </w:r>
    </w:p>
    <w:p w14:paraId="79F4BFB3" w14:textId="51FB2523" w:rsidR="002C18A6" w:rsidRDefault="002C18A6" w:rsidP="00BA3750">
      <w:pPr>
        <w:divId w:val="824513263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b. </w:t>
      </w:r>
      <w:r w:rsidR="00DC0942">
        <w:rPr>
          <w:rFonts w:ascii="Arial Narrow" w:eastAsia="Times New Roman" w:hAnsi="Arial Narrow"/>
          <w:color w:val="000000"/>
          <w:sz w:val="16"/>
          <w:szCs w:val="16"/>
          <w:lang w:val="en"/>
        </w:rPr>
        <w:t>Downgraded one level for i</w:t>
      </w: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mprecision due to confidence interval including the null effect.</w:t>
      </w:r>
    </w:p>
    <w:p w14:paraId="7793C834" w14:textId="0C47D3F1" w:rsidR="00DC0942" w:rsidRDefault="002C18A6" w:rsidP="00BA3750">
      <w:pPr>
        <w:divId w:val="2047169486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c. </w:t>
      </w:r>
      <w:r w:rsidR="00F44C5D" w:rsidRPr="00F44C5D">
        <w:rPr>
          <w:rFonts w:ascii="Arial Narrow" w:eastAsia="Times New Roman" w:hAnsi="Arial Narrow"/>
          <w:color w:val="000000"/>
          <w:sz w:val="16"/>
          <w:szCs w:val="16"/>
          <w:lang w:val="en-GB"/>
        </w:rPr>
        <w:t>Downgraded one level for imprecision — total sample size (N≈60) well below the optimal information size, but the 95 % CI lies entirely on the beneficial side, indicating a consistent direction of effect</w:t>
      </w:r>
      <w:r w:rsidR="00AD690C">
        <w:rPr>
          <w:rFonts w:ascii="Arial Narrow" w:eastAsia="Times New Roman" w:hAnsi="Arial Narrow"/>
          <w:color w:val="000000"/>
          <w:sz w:val="16"/>
          <w:szCs w:val="16"/>
          <w:lang w:val="en-GB"/>
        </w:rPr>
        <w:t>.</w:t>
      </w:r>
    </w:p>
    <w:p w14:paraId="3D6B1F87" w14:textId="7D69EC38" w:rsidR="002C18A6" w:rsidRDefault="00DC0942" w:rsidP="00BA3750">
      <w:pPr>
        <w:divId w:val="2047169486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d. Downgraded one level for i</w:t>
      </w:r>
      <w:r w:rsidR="002C18A6">
        <w:rPr>
          <w:rFonts w:ascii="Arial Narrow" w:eastAsia="Times New Roman" w:hAnsi="Arial Narrow"/>
          <w:color w:val="000000"/>
          <w:sz w:val="16"/>
          <w:szCs w:val="16"/>
          <w:lang w:val="en"/>
        </w:rPr>
        <w:t>mprecision due to low number of patients</w:t>
      </w:r>
      <w:r w:rsidR="00581349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 and</w:t>
      </w:r>
      <w:r w:rsidR="00292954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 the confidence interval</w:t>
      </w:r>
      <w:r w:rsidR="00581349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 crossing the null-threshold in sensitivity analyses</w:t>
      </w:r>
      <w:r w:rsidR="002C18A6">
        <w:rPr>
          <w:rFonts w:ascii="Arial Narrow" w:eastAsia="Times New Roman" w:hAnsi="Arial Narrow"/>
          <w:color w:val="000000"/>
          <w:sz w:val="16"/>
          <w:szCs w:val="16"/>
          <w:lang w:val="en"/>
        </w:rPr>
        <w:t>.</w:t>
      </w:r>
    </w:p>
    <w:p w14:paraId="3B7F7B0D" w14:textId="5D61F566" w:rsidR="00DC0942" w:rsidRDefault="00DC0942" w:rsidP="00BA3750">
      <w:pPr>
        <w:divId w:val="442312063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e</w:t>
      </w:r>
      <w:r w:rsidR="002C18A6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. </w:t>
      </w:r>
      <w:r w:rsidRPr="00DC0942">
        <w:rPr>
          <w:rFonts w:ascii="Arial Narrow" w:eastAsia="Times New Roman" w:hAnsi="Arial Narrow"/>
          <w:color w:val="000000"/>
          <w:sz w:val="16"/>
          <w:szCs w:val="16"/>
          <w:lang w:val="en"/>
        </w:rPr>
        <w:t>Downgraded two levels for very serious imprecision — confidence interval crosses the null, total sample size very small (N≈60), and</w:t>
      </w: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 </w:t>
      </w:r>
      <w:r w:rsidRPr="00DC0942">
        <w:rPr>
          <w:rFonts w:ascii="Arial Narrow" w:eastAsia="Times New Roman" w:hAnsi="Arial Narrow"/>
          <w:color w:val="000000"/>
          <w:sz w:val="16"/>
          <w:szCs w:val="16"/>
          <w:lang w:val="en"/>
        </w:rPr>
        <w:t>no minimally important difference (MID) available.</w:t>
      </w:r>
    </w:p>
    <w:p w14:paraId="51A54E4A" w14:textId="63DBE34C" w:rsidR="002C18A6" w:rsidRDefault="00DC0942" w:rsidP="00BA3750">
      <w:pPr>
        <w:divId w:val="442312063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f. </w:t>
      </w:r>
      <w:r w:rsidR="00AD690C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Downgraded one level for high risk of bias. </w:t>
      </w:r>
      <w:r w:rsidR="002C18A6">
        <w:rPr>
          <w:rFonts w:ascii="Arial Narrow" w:eastAsia="Times New Roman" w:hAnsi="Arial Narrow"/>
          <w:color w:val="000000"/>
          <w:sz w:val="16"/>
          <w:szCs w:val="16"/>
          <w:lang w:val="en"/>
        </w:rPr>
        <w:t>One of two studies that report adverse events (AE) have a high risk of bias; the lack of reporting in studies that have not reported AEs introduces risk of selective outcome reporting.</w:t>
      </w:r>
    </w:p>
    <w:p w14:paraId="4DB95B54" w14:textId="62DFCB18" w:rsidR="002C18A6" w:rsidRDefault="00DC0942" w:rsidP="00BA3750">
      <w:pPr>
        <w:divId w:val="464590665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g</w:t>
      </w:r>
      <w:r w:rsidR="002C18A6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. </w:t>
      </w:r>
      <w:r w:rsidR="00AD690C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Downgraded one level for imprecision. </w:t>
      </w:r>
      <w:r w:rsidR="002C18A6">
        <w:rPr>
          <w:rFonts w:ascii="Arial Narrow" w:eastAsia="Times New Roman" w:hAnsi="Arial Narrow"/>
          <w:color w:val="000000"/>
          <w:sz w:val="16"/>
          <w:szCs w:val="16"/>
          <w:lang w:val="en"/>
        </w:rPr>
        <w:t>Two out of 9 studies reported AEs. Most reported events were few and non-serious. The total number of events is very small, making it difficult to estimate the true incidence of AEs with precision.</w:t>
      </w:r>
    </w:p>
    <w:p w14:paraId="13191EB7" w14:textId="77777777" w:rsidR="00E936C1" w:rsidRDefault="00E936C1" w:rsidP="00BA3750">
      <w:pPr>
        <w:divId w:val="464590665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</w:p>
    <w:p w14:paraId="412EF94C" w14:textId="77777777" w:rsidR="00E936C1" w:rsidRPr="00F65614" w:rsidRDefault="00E936C1" w:rsidP="00BA3750">
      <w:pPr>
        <w:divId w:val="464590665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</w:p>
    <w:sectPr w:rsidR="00E936C1" w:rsidRPr="00F65614" w:rsidSect="00BA3750">
      <w:pgSz w:w="12240" w:h="15840"/>
      <w:pgMar w:top="720" w:right="720" w:bottom="72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7B2"/>
    <w:rsid w:val="0002147C"/>
    <w:rsid w:val="000C1F9E"/>
    <w:rsid w:val="001C2040"/>
    <w:rsid w:val="00206801"/>
    <w:rsid w:val="00292954"/>
    <w:rsid w:val="002C18A6"/>
    <w:rsid w:val="00366EDB"/>
    <w:rsid w:val="00454CD1"/>
    <w:rsid w:val="004C143E"/>
    <w:rsid w:val="00516EFE"/>
    <w:rsid w:val="00581349"/>
    <w:rsid w:val="005B27B2"/>
    <w:rsid w:val="00635E48"/>
    <w:rsid w:val="00733A0F"/>
    <w:rsid w:val="008156CD"/>
    <w:rsid w:val="0089624E"/>
    <w:rsid w:val="008A787C"/>
    <w:rsid w:val="008E0B02"/>
    <w:rsid w:val="00A0743A"/>
    <w:rsid w:val="00A86485"/>
    <w:rsid w:val="00AB7DDE"/>
    <w:rsid w:val="00AD690C"/>
    <w:rsid w:val="00B6524D"/>
    <w:rsid w:val="00B87E27"/>
    <w:rsid w:val="00B90511"/>
    <w:rsid w:val="00BA3750"/>
    <w:rsid w:val="00BB49C9"/>
    <w:rsid w:val="00DC0942"/>
    <w:rsid w:val="00E11DA3"/>
    <w:rsid w:val="00E35461"/>
    <w:rsid w:val="00E936C1"/>
    <w:rsid w:val="00EC47DC"/>
    <w:rsid w:val="00F027CF"/>
    <w:rsid w:val="00F07346"/>
    <w:rsid w:val="00F44C5D"/>
    <w:rsid w:val="00F65614"/>
    <w:rsid w:val="00F658A4"/>
    <w:rsid w:val="00F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4CFA"/>
  <w15:docId w15:val="{0B66CA1F-5D86-4976-8E88-673A70D0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paragraph" w:customStyle="1" w:styleId="sof-title">
    <w:name w:val="sof-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rst-letter">
    <w:name w:val="first-lette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label">
    <w:name w:val="label"/>
    <w:basedOn w:val="DefaultParagraphFont"/>
  </w:style>
  <w:style w:type="character" w:customStyle="1" w:styleId="cell-value">
    <w:name w:val="cell-value"/>
    <w:basedOn w:val="DefaultParagraphFont"/>
  </w:style>
  <w:style w:type="character" w:customStyle="1" w:styleId="cell">
    <w:name w:val="cel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omma">
    <w:name w:val="comma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rsid w:val="00E936C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oSpacing">
    <w:name w:val="No Spacing"/>
    <w:uiPriority w:val="1"/>
    <w:qFormat/>
    <w:rsid w:val="00E35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7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GKF Berlin e.V.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Abhijit Dutta</cp:lastModifiedBy>
  <cp:revision>21</cp:revision>
  <dcterms:created xsi:type="dcterms:W3CDTF">2025-05-15T09:16:00Z</dcterms:created>
  <dcterms:modified xsi:type="dcterms:W3CDTF">2026-04-04T17:51:00Z</dcterms:modified>
</cp:coreProperties>
</file>