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6030E6">
      <w:pPr>
        <w:jc w:val="center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Supplementary Material</w:t>
      </w:r>
    </w:p>
    <w:p w14:paraId="610949E0">
      <w:pPr>
        <w:rPr>
          <w:rFonts w:hint="eastAsia" w:ascii="Times New Roman" w:hAnsi="Times New Roman" w:cs="Times New Roman"/>
          <w:b/>
          <w:bCs/>
          <w:sz w:val="22"/>
          <w:szCs w:val="22"/>
          <w:lang w:val="en-US" w:eastAsia="zh-CN"/>
        </w:rPr>
      </w:pPr>
      <w:bookmarkStart w:id="0" w:name="_Hlk227014231"/>
      <w:r>
        <w:rPr>
          <w:rFonts w:hint="eastAsia" w:ascii="Times New Roman" w:hAnsi="Times New Roman" w:cs="Times New Roman"/>
          <w:b/>
          <w:bCs/>
          <w:sz w:val="22"/>
          <w:szCs w:val="22"/>
          <w:lang w:val="en-US" w:eastAsia="zh-CN"/>
        </w:rPr>
        <w:t>1. Supplementary Figures</w:t>
      </w:r>
    </w:p>
    <w:p w14:paraId="41B9789A">
      <w:pPr>
        <w:rPr>
          <w:rFonts w:hint="default" w:ascii="Times New Roman" w:hAnsi="Times New Roman" w:cs="Times New Roman"/>
          <w:b/>
          <w:bCs/>
          <w:sz w:val="22"/>
          <w:szCs w:val="22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2"/>
          <w:szCs w:val="22"/>
          <w:lang w:val="en-US" w:eastAsia="zh-CN"/>
        </w:rPr>
        <w:t>1.1 UHPLC-MS/MS identification of chemical constituents in SLBZS</w:t>
      </w:r>
    </w:p>
    <w:bookmarkEnd w:id="0"/>
    <w:p w14:paraId="1CF97F62">
      <w:pPr>
        <w:widowControl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hint="eastAsia" w:ascii="Times New Roman" w:hAnsi="Times New Roman" w:cs="Times New Roman"/>
          <w:sz w:val="22"/>
          <w:szCs w:val="22"/>
        </w:rPr>
        <w:drawing>
          <wp:inline distT="0" distB="0" distL="114300" distR="114300">
            <wp:extent cx="5205095" cy="5354955"/>
            <wp:effectExtent l="0" t="0" r="0" b="0"/>
            <wp:docPr id="1" name="图片 1" descr="fig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igure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25259" cy="537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88B66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Supplementary</w:t>
      </w:r>
      <w:r>
        <w:rPr>
          <w:rFonts w:hint="eastAsia" w:ascii="Times New Roman" w:hAnsi="Times New Roman" w:cs="Times New Roman"/>
          <w:b/>
          <w:bCs/>
          <w:szCs w:val="21"/>
        </w:rPr>
        <w:t xml:space="preserve"> </w:t>
      </w:r>
      <w:r>
        <w:rPr>
          <w:rFonts w:ascii="Times New Roman" w:hAnsi="Times New Roman" w:cs="Times New Roman"/>
          <w:b/>
          <w:bCs/>
          <w:szCs w:val="21"/>
        </w:rPr>
        <w:t>F</w:t>
      </w:r>
      <w:r>
        <w:rPr>
          <w:rFonts w:hint="eastAsia" w:ascii="Times New Roman" w:hAnsi="Times New Roman" w:cs="Times New Roman"/>
          <w:b/>
          <w:bCs/>
          <w:szCs w:val="21"/>
        </w:rPr>
        <w:t>igure</w:t>
      </w:r>
      <w:r>
        <w:rPr>
          <w:rFonts w:ascii="Times New Roman" w:hAnsi="Times New Roman" w:cs="Times New Roman"/>
          <w:b/>
          <w:bCs/>
          <w:szCs w:val="21"/>
        </w:rPr>
        <w:t xml:space="preserve"> 1.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</w:p>
    <w:p w14:paraId="7CE0D6B0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UHPLC-MS/MS identification of chemical constituents in SLBZS. (A) Positive ion mode. (B) Negative ion mode.</w:t>
      </w:r>
    </w:p>
    <w:p w14:paraId="282BFBA9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br w:type="page"/>
      </w:r>
    </w:p>
    <w:p w14:paraId="71F71319">
      <w:pPr>
        <w:rPr>
          <w:rFonts w:hint="eastAsia" w:ascii="Times New Roman" w:hAnsi="Times New Roman" w:cs="Times New Roman"/>
          <w:sz w:val="22"/>
          <w:szCs w:val="22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2"/>
          <w:szCs w:val="22"/>
          <w:lang w:val="en-US" w:eastAsia="zh-CN"/>
        </w:rPr>
        <w:t>1.2 Original western blot images</w:t>
      </w:r>
    </w:p>
    <w:p w14:paraId="6F4F0A4D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drawing>
          <wp:inline distT="0" distB="0" distL="114300" distR="114300">
            <wp:extent cx="5273675" cy="4258310"/>
            <wp:effectExtent l="0" t="0" r="14605" b="8890"/>
            <wp:docPr id="2" name="图片 2" descr="Supplementary Fig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upplementary Figure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25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6CCAF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Supplementary</w:t>
      </w:r>
      <w:r>
        <w:rPr>
          <w:rFonts w:hint="eastAsia" w:ascii="Times New Roman" w:hAnsi="Times New Roman" w:cs="Times New Roman"/>
          <w:b/>
          <w:bCs/>
          <w:szCs w:val="21"/>
        </w:rPr>
        <w:t xml:space="preserve"> </w:t>
      </w:r>
      <w:r>
        <w:rPr>
          <w:rFonts w:ascii="Times New Roman" w:hAnsi="Times New Roman" w:cs="Times New Roman"/>
          <w:b/>
          <w:bCs/>
          <w:szCs w:val="21"/>
        </w:rPr>
        <w:t>F</w:t>
      </w:r>
      <w:r>
        <w:rPr>
          <w:rFonts w:hint="eastAsia" w:ascii="Times New Roman" w:hAnsi="Times New Roman" w:cs="Times New Roman"/>
          <w:b/>
          <w:bCs/>
          <w:szCs w:val="21"/>
        </w:rPr>
        <w:t>igure</w:t>
      </w:r>
      <w:r>
        <w:rPr>
          <w:rFonts w:ascii="Times New Roman" w:hAnsi="Times New Roman" w:cs="Times New Roman"/>
          <w:b/>
          <w:bCs/>
          <w:szCs w:val="21"/>
        </w:rPr>
        <w:t xml:space="preserve"> </w:t>
      </w:r>
      <w:r>
        <w:rPr>
          <w:rFonts w:hint="eastAsia" w:ascii="Times New Roman" w:hAnsi="Times New Roman" w:cs="Times New Roman"/>
          <w:b/>
          <w:bCs/>
          <w:szCs w:val="21"/>
          <w:lang w:val="en-US" w:eastAsia="zh-CN"/>
        </w:rPr>
        <w:t>2</w:t>
      </w:r>
      <w:r>
        <w:rPr>
          <w:rFonts w:ascii="Times New Roman" w:hAnsi="Times New Roman" w:cs="Times New Roman"/>
          <w:b/>
          <w:bCs/>
          <w:szCs w:val="21"/>
        </w:rPr>
        <w:t>.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</w:p>
    <w:p w14:paraId="2B0DF368">
      <w:pPr>
        <w:rPr>
          <w:rFonts w:hint="eastAsia" w:ascii="Times New Roman" w:hAnsi="Times New Roman" w:cs="Times New Roman"/>
          <w:b w:val="0"/>
          <w:bCs w:val="0"/>
          <w:sz w:val="22"/>
          <w:szCs w:val="22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2"/>
          <w:szCs w:val="22"/>
          <w:lang w:val="en-US" w:eastAsia="zh-CN"/>
        </w:rPr>
        <w:t>Full uncropped western blot images of the liver.</w:t>
      </w:r>
    </w:p>
    <w:p w14:paraId="528A3E0F">
      <w:pPr>
        <w:rPr>
          <w:rFonts w:hint="eastAsia" w:ascii="Times New Roman" w:hAnsi="Times New Roman" w:cs="Times New Roman"/>
          <w:b w:val="0"/>
          <w:bCs w:val="0"/>
          <w:sz w:val="22"/>
          <w:szCs w:val="22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2"/>
          <w:szCs w:val="22"/>
          <w:lang w:val="en-US" w:eastAsia="zh-CN"/>
        </w:rPr>
        <w:br w:type="page"/>
      </w:r>
    </w:p>
    <w:p w14:paraId="1924AE6D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drawing>
          <wp:inline distT="0" distB="0" distL="114300" distR="114300">
            <wp:extent cx="5273040" cy="4897120"/>
            <wp:effectExtent l="0" t="0" r="0" b="10160"/>
            <wp:docPr id="3" name="图片 3" descr="Supplementary Fig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upplementary Fig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89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33FCF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Supplementary</w:t>
      </w:r>
      <w:r>
        <w:rPr>
          <w:rFonts w:hint="eastAsia" w:ascii="Times New Roman" w:hAnsi="Times New Roman" w:cs="Times New Roman"/>
          <w:b/>
          <w:bCs/>
          <w:szCs w:val="21"/>
        </w:rPr>
        <w:t xml:space="preserve"> </w:t>
      </w:r>
      <w:r>
        <w:rPr>
          <w:rFonts w:ascii="Times New Roman" w:hAnsi="Times New Roman" w:cs="Times New Roman"/>
          <w:b/>
          <w:bCs/>
          <w:szCs w:val="21"/>
        </w:rPr>
        <w:t>F</w:t>
      </w:r>
      <w:r>
        <w:rPr>
          <w:rFonts w:hint="eastAsia" w:ascii="Times New Roman" w:hAnsi="Times New Roman" w:cs="Times New Roman"/>
          <w:b/>
          <w:bCs/>
          <w:szCs w:val="21"/>
        </w:rPr>
        <w:t>igure</w:t>
      </w:r>
      <w:r>
        <w:rPr>
          <w:rFonts w:ascii="Times New Roman" w:hAnsi="Times New Roman" w:cs="Times New Roman"/>
          <w:b/>
          <w:bCs/>
          <w:szCs w:val="21"/>
        </w:rPr>
        <w:t xml:space="preserve"> </w:t>
      </w:r>
      <w:r>
        <w:rPr>
          <w:rFonts w:hint="eastAsia" w:ascii="Times New Roman" w:hAnsi="Times New Roman" w:cs="Times New Roman"/>
          <w:b/>
          <w:bCs/>
          <w:szCs w:val="21"/>
          <w:lang w:val="en-US" w:eastAsia="zh-CN"/>
        </w:rPr>
        <w:t>3</w:t>
      </w:r>
      <w:r>
        <w:rPr>
          <w:rFonts w:ascii="Times New Roman" w:hAnsi="Times New Roman" w:cs="Times New Roman"/>
          <w:b/>
          <w:bCs/>
          <w:szCs w:val="21"/>
        </w:rPr>
        <w:t>.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</w:p>
    <w:p w14:paraId="392895C2">
      <w:pPr>
        <w:rPr>
          <w:rFonts w:ascii="Times New Roman" w:hAnsi="Times New Roman" w:cs="Times New Roman"/>
          <w:sz w:val="22"/>
          <w:szCs w:val="22"/>
        </w:rPr>
      </w:pPr>
      <w:r>
        <w:rPr>
          <w:rFonts w:hint="eastAsia" w:ascii="Times New Roman" w:hAnsi="Times New Roman" w:cs="Times New Roman"/>
          <w:b w:val="0"/>
          <w:bCs w:val="0"/>
          <w:sz w:val="22"/>
          <w:szCs w:val="22"/>
          <w:lang w:val="en-US" w:eastAsia="zh-CN"/>
        </w:rPr>
        <w:t>Full uncropped western blot images of the gastrocnemius</w:t>
      </w:r>
      <w:bookmarkStart w:id="6" w:name="_GoBack"/>
      <w:bookmarkEnd w:id="6"/>
      <w:r>
        <w:rPr>
          <w:rFonts w:hint="eastAsia" w:ascii="Times New Roman" w:hAnsi="Times New Roman" w:cs="Times New Roman"/>
          <w:b w:val="0"/>
          <w:bCs w:val="0"/>
          <w:sz w:val="22"/>
          <w:szCs w:val="22"/>
          <w:lang w:val="en-US" w:eastAsia="zh-CN"/>
        </w:rPr>
        <w:t>.</w:t>
      </w:r>
      <w:r>
        <w:rPr>
          <w:rFonts w:ascii="Times New Roman" w:hAnsi="Times New Roman" w:cs="Times New Roman"/>
          <w:sz w:val="22"/>
          <w:szCs w:val="22"/>
        </w:rPr>
        <w:br w:type="page"/>
      </w:r>
    </w:p>
    <w:p w14:paraId="34B1E4F9">
      <w:pPr>
        <w:jc w:val="left"/>
        <w:rPr>
          <w:rFonts w:ascii="Times New Roman" w:hAnsi="Times New Roman" w:cs="Times New Roman"/>
          <w:b/>
          <w:bCs/>
          <w:sz w:val="22"/>
          <w:szCs w:val="22"/>
        </w:rPr>
      </w:pPr>
      <w:bookmarkStart w:id="1" w:name="_Hlk227011273"/>
      <w:r>
        <w:rPr>
          <w:rFonts w:hint="eastAsia" w:ascii="Times New Roman" w:hAnsi="Times New Roman" w:cs="Times New Roman"/>
          <w:b/>
          <w:bCs/>
          <w:sz w:val="22"/>
          <w:szCs w:val="22"/>
          <w:lang w:val="en-US" w:eastAsia="zh-CN"/>
        </w:rPr>
        <w:t>2. Supplementary Tables</w:t>
      </w:r>
    </w:p>
    <w:p w14:paraId="35C550F7">
      <w:pPr>
        <w:jc w:val="lef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Supplementary</w:t>
      </w:r>
      <w:r>
        <w:rPr>
          <w:rFonts w:hint="eastAsia" w:ascii="Times New Roman" w:hAnsi="Times New Roman" w:cs="Times New Roman"/>
          <w:b/>
          <w:bCs/>
          <w:sz w:val="22"/>
          <w:szCs w:val="22"/>
        </w:rPr>
        <w:t xml:space="preserve"> </w:t>
      </w:r>
      <w:r>
        <w:rPr>
          <w:rFonts w:hint="eastAsia" w:ascii="Times New Roman" w:hAnsi="Times New Roman" w:cs="Times New Roman"/>
          <w:b/>
          <w:bCs/>
        </w:rPr>
        <w:t>Table 1.</w:t>
      </w:r>
      <w:bookmarkEnd w:id="1"/>
      <w:r>
        <w:rPr>
          <w:rFonts w:hint="eastAsia" w:ascii="Times New Roman" w:hAnsi="Times New Roman" w:cs="Times New Roman"/>
          <w:b/>
          <w:bCs/>
        </w:rPr>
        <w:t xml:space="preserve"> </w:t>
      </w:r>
      <w:r>
        <w:rPr>
          <w:rFonts w:hint="eastAsia" w:ascii="Times New Roman" w:hAnsi="Times New Roman" w:cs="Times New Roman"/>
        </w:rPr>
        <w:t xml:space="preserve">The composition of </w:t>
      </w:r>
      <w:bookmarkStart w:id="2" w:name="_Hlk227014081"/>
      <w:r>
        <w:rPr>
          <w:rFonts w:hint="eastAsia" w:ascii="Times New Roman" w:hAnsi="Times New Roman" w:cs="Times New Roman"/>
        </w:rPr>
        <w:t>SLBZS</w:t>
      </w:r>
      <w:bookmarkEnd w:id="2"/>
      <w:r>
        <w:rPr>
          <w:rFonts w:hint="eastAsia" w:ascii="Times New Roman" w:hAnsi="Times New Roman" w:cs="Times New Roman"/>
        </w:rPr>
        <w:t>.</w:t>
      </w:r>
    </w:p>
    <w:tbl>
      <w:tblPr>
        <w:tblStyle w:val="5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87"/>
        <w:gridCol w:w="2359"/>
        <w:gridCol w:w="4876"/>
      </w:tblGrid>
      <w:tr w14:paraId="259BAF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5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  <w:tl2br w:val="nil"/>
            </w:tcBorders>
            <w:shd w:val="clear" w:color="auto" w:fill="FFFFFF"/>
            <w:vAlign w:val="center"/>
          </w:tcPr>
          <w:p w14:paraId="396E6BF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hint="eastAsia" w:ascii="Times New Roman" w:hAnsi="Times New Roman" w:cs="Times New Roman"/>
                <w:b/>
                <w:bCs/>
                <w:color w:val="000000"/>
              </w:rPr>
              <w:t>Chinese name</w:t>
            </w:r>
          </w:p>
        </w:tc>
        <w:tc>
          <w:tcPr>
            <w:tcW w:w="1384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4D7D39B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hint="eastAsia" w:ascii="Times New Roman" w:hAnsi="Times New Roman" w:cs="Times New Roman"/>
                <w:b/>
                <w:bCs/>
                <w:color w:val="000000"/>
              </w:rPr>
              <w:t>English name</w:t>
            </w:r>
          </w:p>
        </w:tc>
        <w:tc>
          <w:tcPr>
            <w:tcW w:w="2861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2EDB687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Latin name</w:t>
            </w:r>
            <w:r>
              <w:rPr>
                <w:rFonts w:hint="eastAsia" w:ascii="Times New Roman" w:hAnsi="Times New Roman" w:cs="Times New Roman"/>
                <w:b/>
                <w:bCs/>
                <w:color w:val="000000"/>
              </w:rPr>
              <w:t xml:space="preserve"> of the plants</w:t>
            </w:r>
          </w:p>
        </w:tc>
      </w:tr>
      <w:tr w14:paraId="65D339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5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09E15E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hint="eastAsia" w:ascii="Times New Roman" w:hAnsi="Times New Roman" w:cs="Times New Roman"/>
                <w:color w:val="000000"/>
              </w:rPr>
              <w:t>Ren Shen</w:t>
            </w:r>
          </w:p>
        </w:tc>
        <w:tc>
          <w:tcPr>
            <w:tcW w:w="1384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E3FE9C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Ginseng</w:t>
            </w:r>
          </w:p>
        </w:tc>
        <w:tc>
          <w:tcPr>
            <w:tcW w:w="2861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E656A0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>Panax ginseng</w:t>
            </w:r>
            <w:r>
              <w:rPr>
                <w:rFonts w:ascii="Times New Roman" w:hAnsi="Times New Roman" w:cs="Times New Roman"/>
                <w:color w:val="000000"/>
              </w:rPr>
              <w:t xml:space="preserve"> C. A. Mey.</w:t>
            </w:r>
          </w:p>
        </w:tc>
      </w:tr>
      <w:tr w14:paraId="7B5898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3AC2E0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Fu Ling</w:t>
            </w:r>
          </w:p>
        </w:tc>
        <w:tc>
          <w:tcPr>
            <w:tcW w:w="138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11FB2A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Poria</w:t>
            </w:r>
          </w:p>
        </w:tc>
        <w:tc>
          <w:tcPr>
            <w:tcW w:w="28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C0955D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>Poria cocos</w:t>
            </w:r>
            <w:r>
              <w:rPr>
                <w:rFonts w:ascii="Times New Roman" w:hAnsi="Times New Roman" w:cs="Times New Roman"/>
                <w:color w:val="000000"/>
              </w:rPr>
              <w:t xml:space="preserve"> (Schw.) Wolf</w:t>
            </w:r>
          </w:p>
        </w:tc>
      </w:tr>
      <w:tr w14:paraId="58C202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6476C4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Bai Zhu</w:t>
            </w:r>
          </w:p>
        </w:tc>
        <w:tc>
          <w:tcPr>
            <w:tcW w:w="138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4CB7DC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Atractylodes Rhizome</w:t>
            </w:r>
          </w:p>
        </w:tc>
        <w:tc>
          <w:tcPr>
            <w:tcW w:w="28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4AF5B5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>Atractylodes macrocephala</w:t>
            </w:r>
            <w:r>
              <w:rPr>
                <w:rFonts w:ascii="Times New Roman" w:hAnsi="Times New Roman" w:cs="Times New Roman"/>
                <w:color w:val="000000"/>
              </w:rPr>
              <w:t xml:space="preserve"> Koidz.</w:t>
            </w:r>
          </w:p>
        </w:tc>
      </w:tr>
      <w:tr w14:paraId="64CAD3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217855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Shan Yao</w:t>
            </w:r>
          </w:p>
        </w:tc>
        <w:tc>
          <w:tcPr>
            <w:tcW w:w="138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8BB40B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Dioscorea Rhizome</w:t>
            </w:r>
          </w:p>
        </w:tc>
        <w:tc>
          <w:tcPr>
            <w:tcW w:w="28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1FBE99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>Dioscorea opposita</w:t>
            </w:r>
            <w:r>
              <w:rPr>
                <w:rFonts w:ascii="Times New Roman" w:hAnsi="Times New Roman" w:cs="Times New Roman"/>
                <w:color w:val="000000"/>
              </w:rPr>
              <w:t xml:space="preserve"> Thunb.</w:t>
            </w:r>
          </w:p>
        </w:tc>
      </w:tr>
      <w:tr w14:paraId="31AEB6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F24D19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Bai Bian Dou</w:t>
            </w:r>
          </w:p>
        </w:tc>
        <w:tc>
          <w:tcPr>
            <w:tcW w:w="138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489D8C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Lablab Semen Album</w:t>
            </w:r>
          </w:p>
        </w:tc>
        <w:tc>
          <w:tcPr>
            <w:tcW w:w="28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B44276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Lablab purpureus </w:t>
            </w:r>
            <w:r>
              <w:rPr>
                <w:rFonts w:ascii="Times New Roman" w:hAnsi="Times New Roman" w:cs="Times New Roman"/>
                <w:color w:val="000000"/>
              </w:rPr>
              <w:t>(L.) Sweet</w:t>
            </w:r>
          </w:p>
        </w:tc>
      </w:tr>
      <w:tr w14:paraId="72A376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383DA5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Lian Zi</w:t>
            </w:r>
          </w:p>
        </w:tc>
        <w:tc>
          <w:tcPr>
            <w:tcW w:w="138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E8EBBD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Nelumbinis Semen</w:t>
            </w:r>
          </w:p>
        </w:tc>
        <w:tc>
          <w:tcPr>
            <w:tcW w:w="28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AEC94C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>Nelumbo nucifera</w:t>
            </w:r>
            <w:r>
              <w:rPr>
                <w:rFonts w:ascii="Times New Roman" w:hAnsi="Times New Roman" w:cs="Times New Roman"/>
                <w:color w:val="000000"/>
              </w:rPr>
              <w:t xml:space="preserve"> Gaertn.</w:t>
            </w:r>
          </w:p>
        </w:tc>
      </w:tr>
      <w:tr w14:paraId="33F024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B82607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Yi Yi Ren</w:t>
            </w:r>
          </w:p>
        </w:tc>
        <w:tc>
          <w:tcPr>
            <w:tcW w:w="138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07559D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Coicis Semen</w:t>
            </w:r>
          </w:p>
        </w:tc>
        <w:tc>
          <w:tcPr>
            <w:tcW w:w="28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30CA32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>Coix lacryma-jobi</w:t>
            </w:r>
            <w:r>
              <w:rPr>
                <w:rFonts w:ascii="Times New Roman" w:hAnsi="Times New Roman" w:cs="Times New Roman"/>
                <w:color w:val="000000"/>
              </w:rPr>
              <w:t xml:space="preserve"> L. var. </w:t>
            </w:r>
            <w:r>
              <w:rPr>
                <w:rFonts w:ascii="Times New Roman" w:hAnsi="Times New Roman" w:cs="Times New Roman"/>
                <w:i/>
                <w:iCs/>
                <w:color w:val="000000"/>
              </w:rPr>
              <w:t>ma-yuen</w:t>
            </w:r>
            <w:r>
              <w:rPr>
                <w:rFonts w:ascii="Times New Roman" w:hAnsi="Times New Roman" w:cs="Times New Roman"/>
                <w:color w:val="000000"/>
              </w:rPr>
              <w:t xml:space="preserve"> (Roman.) Stapf</w:t>
            </w:r>
          </w:p>
        </w:tc>
      </w:tr>
      <w:tr w14:paraId="75FA38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7FC716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Sha Ren</w:t>
            </w:r>
          </w:p>
        </w:tc>
        <w:tc>
          <w:tcPr>
            <w:tcW w:w="138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9662E2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Amomi Fructus</w:t>
            </w:r>
          </w:p>
        </w:tc>
        <w:tc>
          <w:tcPr>
            <w:tcW w:w="28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81146A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>Amomum villosum</w:t>
            </w:r>
            <w:r>
              <w:rPr>
                <w:rFonts w:ascii="Times New Roman" w:hAnsi="Times New Roman" w:cs="Times New Roman"/>
                <w:color w:val="000000"/>
              </w:rPr>
              <w:t xml:space="preserve"> Lour.</w:t>
            </w:r>
          </w:p>
        </w:tc>
      </w:tr>
      <w:tr w14:paraId="7F076F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C72924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Jie Geng</w:t>
            </w:r>
          </w:p>
        </w:tc>
        <w:tc>
          <w:tcPr>
            <w:tcW w:w="138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BCF660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Platycodonis Radix</w:t>
            </w:r>
          </w:p>
        </w:tc>
        <w:tc>
          <w:tcPr>
            <w:tcW w:w="28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4906F1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>Platycodon grandiflorus</w:t>
            </w:r>
            <w:r>
              <w:rPr>
                <w:rFonts w:ascii="Times New Roman" w:hAnsi="Times New Roman" w:cs="Times New Roman"/>
                <w:color w:val="000000"/>
              </w:rPr>
              <w:t xml:space="preserve"> (Jacq.) A. DC.</w:t>
            </w:r>
          </w:p>
        </w:tc>
      </w:tr>
      <w:tr w14:paraId="40DD43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5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3A3EDB0F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Gan Cao</w:t>
            </w:r>
          </w:p>
        </w:tc>
        <w:tc>
          <w:tcPr>
            <w:tcW w:w="1384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5B2ECD5C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Glycyrrhizae Radix et Rhizoma</w:t>
            </w:r>
          </w:p>
        </w:tc>
        <w:tc>
          <w:tcPr>
            <w:tcW w:w="2861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34BE82E6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>Glycyrrhiza uralensis</w:t>
            </w:r>
            <w:r>
              <w:rPr>
                <w:rFonts w:ascii="Times New Roman" w:hAnsi="Times New Roman" w:cs="Times New Roman"/>
                <w:color w:val="000000"/>
              </w:rPr>
              <w:t xml:space="preserve"> Fisch.</w:t>
            </w:r>
          </w:p>
        </w:tc>
      </w:tr>
    </w:tbl>
    <w:p w14:paraId="470DE6C8">
      <w:pPr>
        <w:rPr>
          <w:rFonts w:ascii="Times New Roman" w:hAnsi="Times New Roman" w:cs="Times New Roman"/>
          <w:sz w:val="22"/>
          <w:szCs w:val="22"/>
        </w:rPr>
      </w:pPr>
    </w:p>
    <w:p w14:paraId="16AA40F8">
      <w:pPr>
        <w:widowControl/>
        <w:jc w:val="left"/>
        <w:rPr>
          <w:rFonts w:hint="eastAsia"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br w:type="page"/>
      </w:r>
    </w:p>
    <w:p w14:paraId="47E78C39">
      <w:pPr>
        <w:widowControl/>
        <w:jc w:val="left"/>
        <w:rPr>
          <w:rFonts w:ascii="Times New Roman" w:hAnsi="Times New Roman" w:cs="Times New Roman"/>
          <w:sz w:val="22"/>
          <w:szCs w:val="22"/>
        </w:rPr>
      </w:pPr>
      <w:bookmarkStart w:id="3" w:name="_Hlk227011384"/>
      <w:r>
        <w:rPr>
          <w:rFonts w:ascii="Times New Roman" w:hAnsi="Times New Roman" w:cs="Times New Roman"/>
          <w:b/>
          <w:bCs/>
          <w:sz w:val="22"/>
          <w:szCs w:val="22"/>
        </w:rPr>
        <w:t>Supplementary</w:t>
      </w:r>
      <w:r>
        <w:rPr>
          <w:rFonts w:hint="eastAsia" w:ascii="Times New Roman" w:hAnsi="Times New Roman" w:cs="Times New Roman"/>
          <w:b/>
          <w:bCs/>
          <w:sz w:val="22"/>
          <w:szCs w:val="22"/>
        </w:rPr>
        <w:t xml:space="preserve"> </w:t>
      </w:r>
      <w:r>
        <w:rPr>
          <w:rFonts w:hint="eastAsia" w:ascii="Times New Roman" w:hAnsi="Times New Roman" w:cs="Times New Roman"/>
          <w:b/>
          <w:bCs/>
        </w:rPr>
        <w:t>Table 2.</w:t>
      </w:r>
      <w:bookmarkEnd w:id="3"/>
      <w:r>
        <w:rPr>
          <w:rFonts w:ascii="Times New Roman" w:hAnsi="Times New Roman" w:cs="Times New Roman"/>
          <w:szCs w:val="21"/>
        </w:rPr>
        <w:t>Positive ion mode TIC peak gauge</w:t>
      </w:r>
    </w:p>
    <w:tbl>
      <w:tblPr>
        <w:tblStyle w:val="4"/>
        <w:tblW w:w="5000" w:type="pct"/>
        <w:tblInd w:w="0" w:type="dxa"/>
        <w:tblBorders>
          <w:top w:val="single" w:color="000000" w:sz="12" w:space="0"/>
          <w:left w:val="none" w:color="auto" w:sz="0" w:space="0"/>
          <w:bottom w:val="single" w:color="000000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1"/>
        <w:gridCol w:w="4431"/>
        <w:gridCol w:w="1398"/>
        <w:gridCol w:w="1179"/>
        <w:gridCol w:w="1033"/>
      </w:tblGrid>
      <w:tr w14:paraId="7F780ED0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282" w:type="pct"/>
            <w:noWrap/>
            <w:vAlign w:val="bottom"/>
          </w:tcPr>
          <w:p w14:paraId="675315B0">
            <w:pPr>
              <w:widowControl/>
              <w:jc w:val="left"/>
              <w:rPr>
                <w:rFonts w:ascii="Times New Roman" w:hAnsi="Times New Roman" w:eastAsia="宋体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000000"/>
                <w:kern w:val="0"/>
                <w:szCs w:val="21"/>
              </w:rPr>
              <w:t>ID</w:t>
            </w:r>
          </w:p>
        </w:tc>
        <w:tc>
          <w:tcPr>
            <w:tcW w:w="2600" w:type="pct"/>
            <w:noWrap/>
            <w:vAlign w:val="bottom"/>
          </w:tcPr>
          <w:p w14:paraId="7973FCDE">
            <w:pPr>
              <w:widowControl/>
              <w:jc w:val="left"/>
              <w:rPr>
                <w:rFonts w:ascii="Times New Roman" w:hAnsi="Times New Roman" w:eastAsia="宋体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000000"/>
                <w:kern w:val="0"/>
                <w:szCs w:val="21"/>
              </w:rPr>
              <w:t>MS2_name</w:t>
            </w:r>
          </w:p>
        </w:tc>
        <w:tc>
          <w:tcPr>
            <w:tcW w:w="820" w:type="pct"/>
            <w:noWrap/>
            <w:vAlign w:val="bottom"/>
          </w:tcPr>
          <w:p w14:paraId="71B8BB1E">
            <w:pPr>
              <w:widowControl/>
              <w:jc w:val="left"/>
              <w:rPr>
                <w:rFonts w:ascii="Times New Roman" w:hAnsi="Times New Roman" w:eastAsia="宋体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000000"/>
                <w:kern w:val="0"/>
                <w:szCs w:val="21"/>
              </w:rPr>
              <w:t>Formula</w:t>
            </w:r>
          </w:p>
        </w:tc>
        <w:tc>
          <w:tcPr>
            <w:tcW w:w="692" w:type="pct"/>
            <w:noWrap/>
            <w:vAlign w:val="bottom"/>
          </w:tcPr>
          <w:p w14:paraId="56EF7272">
            <w:pPr>
              <w:widowControl/>
              <w:jc w:val="left"/>
              <w:rPr>
                <w:rFonts w:ascii="Times New Roman" w:hAnsi="Times New Roman" w:eastAsia="宋体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000000"/>
                <w:kern w:val="0"/>
                <w:szCs w:val="21"/>
              </w:rPr>
              <w:t>mzmed</w:t>
            </w:r>
          </w:p>
        </w:tc>
        <w:tc>
          <w:tcPr>
            <w:tcW w:w="606" w:type="pct"/>
            <w:noWrap/>
            <w:vAlign w:val="bottom"/>
          </w:tcPr>
          <w:p w14:paraId="3B0665B1">
            <w:pPr>
              <w:widowControl/>
              <w:jc w:val="left"/>
              <w:rPr>
                <w:rFonts w:ascii="Times New Roman" w:hAnsi="Times New Roman" w:eastAsia="宋体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000000"/>
                <w:kern w:val="0"/>
                <w:szCs w:val="21"/>
              </w:rPr>
              <w:t>rtmed</w:t>
            </w:r>
          </w:p>
        </w:tc>
      </w:tr>
      <w:tr w14:paraId="634B8757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282" w:type="pct"/>
            <w:noWrap/>
            <w:vAlign w:val="bottom"/>
          </w:tcPr>
          <w:p w14:paraId="3BDD47C2"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1</w:t>
            </w:r>
          </w:p>
        </w:tc>
        <w:tc>
          <w:tcPr>
            <w:tcW w:w="2600" w:type="pct"/>
            <w:noWrap/>
            <w:vAlign w:val="bottom"/>
          </w:tcPr>
          <w:p w14:paraId="3316C39B"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Kaempferol-3-O-galactoside</w:t>
            </w:r>
          </w:p>
        </w:tc>
        <w:tc>
          <w:tcPr>
            <w:tcW w:w="820" w:type="pct"/>
            <w:noWrap/>
            <w:vAlign w:val="bottom"/>
          </w:tcPr>
          <w:p w14:paraId="0B5ADAE4"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C21H20O11</w:t>
            </w:r>
          </w:p>
        </w:tc>
        <w:tc>
          <w:tcPr>
            <w:tcW w:w="692" w:type="pct"/>
            <w:noWrap/>
            <w:vAlign w:val="bottom"/>
          </w:tcPr>
          <w:p w14:paraId="378C1E8B">
            <w:pPr>
              <w:widowControl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449.1062</w:t>
            </w:r>
          </w:p>
        </w:tc>
        <w:tc>
          <w:tcPr>
            <w:tcW w:w="606" w:type="pct"/>
            <w:noWrap/>
            <w:vAlign w:val="bottom"/>
          </w:tcPr>
          <w:p w14:paraId="157C7970">
            <w:pPr>
              <w:widowControl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296.9</w:t>
            </w:r>
          </w:p>
        </w:tc>
      </w:tr>
      <w:tr w14:paraId="3CF36311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282" w:type="pct"/>
            <w:noWrap/>
            <w:vAlign w:val="bottom"/>
          </w:tcPr>
          <w:p w14:paraId="639403A6"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2</w:t>
            </w:r>
          </w:p>
        </w:tc>
        <w:tc>
          <w:tcPr>
            <w:tcW w:w="2600" w:type="pct"/>
            <w:noWrap/>
            <w:vAlign w:val="bottom"/>
          </w:tcPr>
          <w:p w14:paraId="405CD87D"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Benzoylacetone</w:t>
            </w:r>
          </w:p>
        </w:tc>
        <w:tc>
          <w:tcPr>
            <w:tcW w:w="820" w:type="pct"/>
            <w:noWrap/>
            <w:vAlign w:val="bottom"/>
          </w:tcPr>
          <w:p w14:paraId="44E9FD70"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C10H10O2</w:t>
            </w:r>
          </w:p>
        </w:tc>
        <w:tc>
          <w:tcPr>
            <w:tcW w:w="692" w:type="pct"/>
            <w:noWrap/>
            <w:vAlign w:val="bottom"/>
          </w:tcPr>
          <w:p w14:paraId="5FAC9D35">
            <w:pPr>
              <w:widowControl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163.0745</w:t>
            </w:r>
          </w:p>
        </w:tc>
        <w:tc>
          <w:tcPr>
            <w:tcW w:w="606" w:type="pct"/>
            <w:noWrap/>
            <w:vAlign w:val="bottom"/>
          </w:tcPr>
          <w:p w14:paraId="7C17ED31">
            <w:pPr>
              <w:widowControl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454.8</w:t>
            </w:r>
          </w:p>
        </w:tc>
      </w:tr>
      <w:tr w14:paraId="48474743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282" w:type="pct"/>
            <w:noWrap/>
            <w:vAlign w:val="center"/>
          </w:tcPr>
          <w:p w14:paraId="602C5D2A"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3</w:t>
            </w:r>
          </w:p>
        </w:tc>
        <w:tc>
          <w:tcPr>
            <w:tcW w:w="2600" w:type="pct"/>
            <w:noWrap/>
            <w:vAlign w:val="center"/>
          </w:tcPr>
          <w:p w14:paraId="01A72172">
            <w:pPr>
              <w:widowControl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3,5-dihydroxy-7-methoxy-2-(4-methoxyphenyl)</w:t>
            </w:r>
          </w:p>
          <w:p w14:paraId="20FEF3DE">
            <w:pPr>
              <w:widowControl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chromen-4-one</w:t>
            </w:r>
          </w:p>
        </w:tc>
        <w:tc>
          <w:tcPr>
            <w:tcW w:w="820" w:type="pct"/>
            <w:noWrap/>
            <w:vAlign w:val="center"/>
          </w:tcPr>
          <w:p w14:paraId="6FDE5CCB">
            <w:pPr>
              <w:widowControl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C17H14O6</w:t>
            </w:r>
          </w:p>
        </w:tc>
        <w:tc>
          <w:tcPr>
            <w:tcW w:w="692" w:type="pct"/>
            <w:noWrap/>
            <w:vAlign w:val="center"/>
          </w:tcPr>
          <w:p w14:paraId="409ACD16">
            <w:pPr>
              <w:widowControl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315.0849</w:t>
            </w:r>
          </w:p>
        </w:tc>
        <w:tc>
          <w:tcPr>
            <w:tcW w:w="606" w:type="pct"/>
            <w:noWrap/>
            <w:vAlign w:val="center"/>
          </w:tcPr>
          <w:p w14:paraId="0DBA89DB">
            <w:pPr>
              <w:widowControl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450.1</w:t>
            </w:r>
          </w:p>
        </w:tc>
      </w:tr>
      <w:tr w14:paraId="7F9DCD7B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282" w:type="pct"/>
            <w:noWrap/>
            <w:vAlign w:val="bottom"/>
          </w:tcPr>
          <w:p w14:paraId="7185B1B9"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4</w:t>
            </w:r>
          </w:p>
        </w:tc>
        <w:tc>
          <w:tcPr>
            <w:tcW w:w="2600" w:type="pct"/>
            <w:noWrap/>
            <w:vAlign w:val="bottom"/>
          </w:tcPr>
          <w:p w14:paraId="310004FD"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Glycyrol</w:t>
            </w:r>
          </w:p>
        </w:tc>
        <w:tc>
          <w:tcPr>
            <w:tcW w:w="820" w:type="pct"/>
            <w:noWrap/>
            <w:vAlign w:val="bottom"/>
          </w:tcPr>
          <w:p w14:paraId="68CC1E45"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C21H18O6</w:t>
            </w:r>
          </w:p>
        </w:tc>
        <w:tc>
          <w:tcPr>
            <w:tcW w:w="692" w:type="pct"/>
            <w:noWrap/>
            <w:vAlign w:val="bottom"/>
          </w:tcPr>
          <w:p w14:paraId="79B23E64">
            <w:pPr>
              <w:widowControl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367.1159</w:t>
            </w:r>
          </w:p>
        </w:tc>
        <w:tc>
          <w:tcPr>
            <w:tcW w:w="606" w:type="pct"/>
            <w:noWrap/>
            <w:vAlign w:val="bottom"/>
          </w:tcPr>
          <w:p w14:paraId="46106FCC">
            <w:pPr>
              <w:widowControl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441.7</w:t>
            </w:r>
          </w:p>
        </w:tc>
      </w:tr>
      <w:tr w14:paraId="6B58BBF0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282" w:type="pct"/>
            <w:noWrap/>
            <w:vAlign w:val="bottom"/>
          </w:tcPr>
          <w:p w14:paraId="63E0E8DC"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5</w:t>
            </w:r>
          </w:p>
        </w:tc>
        <w:tc>
          <w:tcPr>
            <w:tcW w:w="2600" w:type="pct"/>
            <w:noWrap/>
            <w:vAlign w:val="bottom"/>
          </w:tcPr>
          <w:p w14:paraId="46521F75"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Pseudo-ginsenoside F11</w:t>
            </w:r>
          </w:p>
        </w:tc>
        <w:tc>
          <w:tcPr>
            <w:tcW w:w="820" w:type="pct"/>
            <w:noWrap/>
            <w:vAlign w:val="bottom"/>
          </w:tcPr>
          <w:p w14:paraId="578D95AF"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C42H72O14</w:t>
            </w:r>
          </w:p>
        </w:tc>
        <w:tc>
          <w:tcPr>
            <w:tcW w:w="692" w:type="pct"/>
            <w:noWrap/>
            <w:vAlign w:val="bottom"/>
          </w:tcPr>
          <w:p w14:paraId="6DB42DAB">
            <w:pPr>
              <w:widowControl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801.4961</w:t>
            </w:r>
          </w:p>
        </w:tc>
        <w:tc>
          <w:tcPr>
            <w:tcW w:w="606" w:type="pct"/>
            <w:noWrap/>
            <w:vAlign w:val="bottom"/>
          </w:tcPr>
          <w:p w14:paraId="3448E3D2">
            <w:pPr>
              <w:widowControl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363</w:t>
            </w:r>
          </w:p>
        </w:tc>
      </w:tr>
      <w:tr w14:paraId="040C1007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282" w:type="pct"/>
            <w:noWrap/>
            <w:vAlign w:val="bottom"/>
          </w:tcPr>
          <w:p w14:paraId="462EDF6C"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6</w:t>
            </w:r>
          </w:p>
        </w:tc>
        <w:tc>
          <w:tcPr>
            <w:tcW w:w="2600" w:type="pct"/>
            <w:noWrap/>
            <w:vAlign w:val="bottom"/>
          </w:tcPr>
          <w:p w14:paraId="0F3E082E"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Pratensein</w:t>
            </w:r>
          </w:p>
        </w:tc>
        <w:tc>
          <w:tcPr>
            <w:tcW w:w="820" w:type="pct"/>
            <w:noWrap/>
            <w:vAlign w:val="bottom"/>
          </w:tcPr>
          <w:p w14:paraId="59CC8D4C"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C16H12O6</w:t>
            </w:r>
          </w:p>
        </w:tc>
        <w:tc>
          <w:tcPr>
            <w:tcW w:w="692" w:type="pct"/>
            <w:noWrap/>
            <w:vAlign w:val="bottom"/>
          </w:tcPr>
          <w:p w14:paraId="17558C7B">
            <w:pPr>
              <w:widowControl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301.0693</w:t>
            </w:r>
          </w:p>
        </w:tc>
        <w:tc>
          <w:tcPr>
            <w:tcW w:w="606" w:type="pct"/>
            <w:noWrap/>
            <w:vAlign w:val="bottom"/>
          </w:tcPr>
          <w:p w14:paraId="47FB056D">
            <w:pPr>
              <w:widowControl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361.3</w:t>
            </w:r>
          </w:p>
        </w:tc>
      </w:tr>
      <w:tr w14:paraId="4C663376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282" w:type="pct"/>
            <w:noWrap/>
            <w:vAlign w:val="bottom"/>
          </w:tcPr>
          <w:p w14:paraId="5DCF7F75"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7</w:t>
            </w:r>
          </w:p>
        </w:tc>
        <w:tc>
          <w:tcPr>
            <w:tcW w:w="2600" w:type="pct"/>
            <w:noWrap/>
            <w:vAlign w:val="bottom"/>
          </w:tcPr>
          <w:p w14:paraId="7C599E11"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3'-Methoxydaidzein</w:t>
            </w:r>
          </w:p>
        </w:tc>
        <w:tc>
          <w:tcPr>
            <w:tcW w:w="820" w:type="pct"/>
            <w:noWrap/>
            <w:vAlign w:val="bottom"/>
          </w:tcPr>
          <w:p w14:paraId="1511E7F7"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C16H12O5</w:t>
            </w:r>
          </w:p>
        </w:tc>
        <w:tc>
          <w:tcPr>
            <w:tcW w:w="692" w:type="pct"/>
            <w:noWrap/>
            <w:vAlign w:val="bottom"/>
          </w:tcPr>
          <w:p w14:paraId="6AFCB6E2">
            <w:pPr>
              <w:widowControl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285.0744</w:t>
            </w:r>
          </w:p>
        </w:tc>
        <w:tc>
          <w:tcPr>
            <w:tcW w:w="606" w:type="pct"/>
            <w:noWrap/>
            <w:vAlign w:val="bottom"/>
          </w:tcPr>
          <w:p w14:paraId="7C00F93A">
            <w:pPr>
              <w:widowControl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332.9</w:t>
            </w:r>
          </w:p>
        </w:tc>
      </w:tr>
      <w:tr w14:paraId="20346D11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282" w:type="pct"/>
            <w:noWrap/>
            <w:vAlign w:val="bottom"/>
          </w:tcPr>
          <w:p w14:paraId="07D1066B"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8</w:t>
            </w:r>
          </w:p>
        </w:tc>
        <w:tc>
          <w:tcPr>
            <w:tcW w:w="2600" w:type="pct"/>
            <w:noWrap/>
            <w:vAlign w:val="bottom"/>
          </w:tcPr>
          <w:p w14:paraId="78EFF476"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Glycitin</w:t>
            </w:r>
          </w:p>
        </w:tc>
        <w:tc>
          <w:tcPr>
            <w:tcW w:w="820" w:type="pct"/>
            <w:noWrap/>
            <w:vAlign w:val="bottom"/>
          </w:tcPr>
          <w:p w14:paraId="2882388C"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C22H22O10</w:t>
            </w:r>
          </w:p>
        </w:tc>
        <w:tc>
          <w:tcPr>
            <w:tcW w:w="692" w:type="pct"/>
            <w:noWrap/>
            <w:vAlign w:val="bottom"/>
          </w:tcPr>
          <w:p w14:paraId="26C01912">
            <w:pPr>
              <w:widowControl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447.1267</w:t>
            </w:r>
          </w:p>
        </w:tc>
        <w:tc>
          <w:tcPr>
            <w:tcW w:w="606" w:type="pct"/>
            <w:noWrap/>
            <w:vAlign w:val="bottom"/>
          </w:tcPr>
          <w:p w14:paraId="328E8295">
            <w:pPr>
              <w:widowControl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274.8</w:t>
            </w:r>
          </w:p>
        </w:tc>
      </w:tr>
      <w:tr w14:paraId="3AC5BA1E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282" w:type="pct"/>
            <w:noWrap/>
            <w:vAlign w:val="bottom"/>
          </w:tcPr>
          <w:p w14:paraId="1648DDF9"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9</w:t>
            </w:r>
          </w:p>
        </w:tc>
        <w:tc>
          <w:tcPr>
            <w:tcW w:w="2600" w:type="pct"/>
            <w:noWrap/>
            <w:vAlign w:val="bottom"/>
          </w:tcPr>
          <w:p w14:paraId="04786729"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Daidzin</w:t>
            </w:r>
          </w:p>
        </w:tc>
        <w:tc>
          <w:tcPr>
            <w:tcW w:w="820" w:type="pct"/>
            <w:noWrap/>
            <w:vAlign w:val="bottom"/>
          </w:tcPr>
          <w:p w14:paraId="1A1A513C"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C21H20O9</w:t>
            </w:r>
          </w:p>
        </w:tc>
        <w:tc>
          <w:tcPr>
            <w:tcW w:w="692" w:type="pct"/>
            <w:noWrap/>
            <w:vAlign w:val="bottom"/>
          </w:tcPr>
          <w:p w14:paraId="7EAB2D41">
            <w:pPr>
              <w:widowControl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417.1163</w:t>
            </w:r>
          </w:p>
        </w:tc>
        <w:tc>
          <w:tcPr>
            <w:tcW w:w="606" w:type="pct"/>
            <w:noWrap/>
            <w:vAlign w:val="bottom"/>
          </w:tcPr>
          <w:p w14:paraId="07F41B3D">
            <w:pPr>
              <w:widowControl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259.9</w:t>
            </w:r>
          </w:p>
        </w:tc>
      </w:tr>
      <w:tr w14:paraId="7846E652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282" w:type="pct"/>
            <w:noWrap/>
            <w:vAlign w:val="bottom"/>
          </w:tcPr>
          <w:p w14:paraId="4E81EB43">
            <w:pPr>
              <w:widowControl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2600" w:type="pct"/>
            <w:noWrap/>
            <w:vAlign w:val="bottom"/>
          </w:tcPr>
          <w:p w14:paraId="692B456D"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Higenamine</w:t>
            </w:r>
          </w:p>
        </w:tc>
        <w:tc>
          <w:tcPr>
            <w:tcW w:w="820" w:type="pct"/>
            <w:noWrap/>
            <w:vAlign w:val="bottom"/>
          </w:tcPr>
          <w:p w14:paraId="3C134981"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C16H17NO3</w:t>
            </w:r>
          </w:p>
        </w:tc>
        <w:tc>
          <w:tcPr>
            <w:tcW w:w="692" w:type="pct"/>
            <w:noWrap/>
            <w:vAlign w:val="bottom"/>
          </w:tcPr>
          <w:p w14:paraId="4AF7AAB6">
            <w:pPr>
              <w:widowControl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272.1271</w:t>
            </w:r>
          </w:p>
        </w:tc>
        <w:tc>
          <w:tcPr>
            <w:tcW w:w="606" w:type="pct"/>
            <w:noWrap/>
            <w:vAlign w:val="bottom"/>
          </w:tcPr>
          <w:p w14:paraId="1A5CE196">
            <w:pPr>
              <w:widowControl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bookmarkStart w:id="4" w:name="OLE_LINK1"/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209.4</w:t>
            </w:r>
            <w:bookmarkEnd w:id="4"/>
          </w:p>
        </w:tc>
      </w:tr>
    </w:tbl>
    <w:p w14:paraId="21EB95AA">
      <w:pPr>
        <w:rPr>
          <w:rFonts w:ascii="Times New Roman" w:hAnsi="Times New Roman" w:cs="Times New Roman"/>
          <w:b/>
          <w:bCs/>
          <w:sz w:val="22"/>
          <w:szCs w:val="22"/>
        </w:rPr>
      </w:pPr>
      <w:bookmarkStart w:id="5" w:name="_Hlk227014398"/>
    </w:p>
    <w:p w14:paraId="6BBD5C7C">
      <w:pPr>
        <w:widowControl/>
        <w:jc w:val="left"/>
        <w:rPr>
          <w:rFonts w:hint="eastAsia"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br w:type="page"/>
      </w:r>
    </w:p>
    <w:p w14:paraId="77969B03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Supplementary</w:t>
      </w:r>
      <w:r>
        <w:rPr>
          <w:rFonts w:hint="eastAsia" w:ascii="Times New Roman" w:hAnsi="Times New Roman" w:cs="Times New Roman"/>
          <w:b/>
          <w:bCs/>
          <w:sz w:val="22"/>
          <w:szCs w:val="22"/>
        </w:rPr>
        <w:t xml:space="preserve"> </w:t>
      </w:r>
      <w:r>
        <w:rPr>
          <w:rFonts w:hint="eastAsia" w:ascii="Times New Roman" w:hAnsi="Times New Roman" w:cs="Times New Roman"/>
          <w:b/>
          <w:bCs/>
        </w:rPr>
        <w:t>Table 3.</w:t>
      </w:r>
      <w:bookmarkEnd w:id="5"/>
      <w:r>
        <w:rPr>
          <w:rFonts w:ascii="Times New Roman" w:hAnsi="Times New Roman" w:cs="Times New Roman"/>
          <w:sz w:val="22"/>
          <w:szCs w:val="22"/>
        </w:rPr>
        <w:t>Negative ion mode TIC peak gauge</w:t>
      </w:r>
    </w:p>
    <w:tbl>
      <w:tblPr>
        <w:tblStyle w:val="4"/>
        <w:tblW w:w="5000" w:type="pct"/>
        <w:tblInd w:w="0" w:type="dxa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3"/>
        <w:gridCol w:w="4355"/>
        <w:gridCol w:w="1306"/>
        <w:gridCol w:w="1159"/>
        <w:gridCol w:w="1159"/>
      </w:tblGrid>
      <w:tr w14:paraId="1CB803C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319" w:type="pct"/>
            <w:noWrap/>
            <w:vAlign w:val="center"/>
          </w:tcPr>
          <w:p w14:paraId="1A980732">
            <w:pPr>
              <w:widowControl/>
              <w:jc w:val="left"/>
              <w:rPr>
                <w:rFonts w:ascii="Times New Roman" w:hAnsi="Times New Roman" w:eastAsia="宋体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000000"/>
                <w:kern w:val="0"/>
                <w:szCs w:val="21"/>
              </w:rPr>
              <w:t>ID</w:t>
            </w:r>
          </w:p>
        </w:tc>
        <w:tc>
          <w:tcPr>
            <w:tcW w:w="2555" w:type="pct"/>
            <w:noWrap/>
            <w:vAlign w:val="center"/>
          </w:tcPr>
          <w:p w14:paraId="5558C362">
            <w:pPr>
              <w:widowControl/>
              <w:jc w:val="left"/>
              <w:rPr>
                <w:rFonts w:ascii="Times New Roman" w:hAnsi="Times New Roman" w:eastAsia="宋体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000000"/>
                <w:kern w:val="0"/>
                <w:szCs w:val="21"/>
              </w:rPr>
              <w:t>MS2_name</w:t>
            </w:r>
          </w:p>
        </w:tc>
        <w:tc>
          <w:tcPr>
            <w:tcW w:w="766" w:type="pct"/>
            <w:noWrap/>
            <w:vAlign w:val="center"/>
          </w:tcPr>
          <w:p w14:paraId="494C659C">
            <w:pPr>
              <w:widowControl/>
              <w:jc w:val="left"/>
              <w:rPr>
                <w:rFonts w:ascii="Times New Roman" w:hAnsi="Times New Roman" w:eastAsia="宋体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000000"/>
                <w:kern w:val="0"/>
                <w:szCs w:val="21"/>
              </w:rPr>
              <w:t>Formula</w:t>
            </w:r>
          </w:p>
        </w:tc>
        <w:tc>
          <w:tcPr>
            <w:tcW w:w="680" w:type="pct"/>
            <w:noWrap/>
            <w:vAlign w:val="center"/>
          </w:tcPr>
          <w:p w14:paraId="12E2F7CD">
            <w:pPr>
              <w:widowControl/>
              <w:jc w:val="left"/>
              <w:rPr>
                <w:rFonts w:ascii="Times New Roman" w:hAnsi="Times New Roman" w:eastAsia="宋体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000000"/>
                <w:kern w:val="0"/>
                <w:szCs w:val="21"/>
              </w:rPr>
              <w:t>mzmed</w:t>
            </w:r>
          </w:p>
        </w:tc>
        <w:tc>
          <w:tcPr>
            <w:tcW w:w="680" w:type="pct"/>
            <w:noWrap/>
            <w:vAlign w:val="center"/>
          </w:tcPr>
          <w:p w14:paraId="28493D0E">
            <w:pPr>
              <w:widowControl/>
              <w:jc w:val="left"/>
              <w:rPr>
                <w:rFonts w:ascii="Times New Roman" w:hAnsi="Times New Roman" w:eastAsia="宋体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000000"/>
                <w:kern w:val="0"/>
                <w:szCs w:val="21"/>
              </w:rPr>
              <w:t>rtmed</w:t>
            </w:r>
          </w:p>
        </w:tc>
      </w:tr>
      <w:tr w14:paraId="1E85A0A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319" w:type="pct"/>
            <w:noWrap/>
            <w:vAlign w:val="center"/>
          </w:tcPr>
          <w:p w14:paraId="5A768E69"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1</w:t>
            </w:r>
          </w:p>
        </w:tc>
        <w:tc>
          <w:tcPr>
            <w:tcW w:w="2555" w:type="pct"/>
            <w:noWrap/>
            <w:vAlign w:val="center"/>
          </w:tcPr>
          <w:p w14:paraId="1142422A"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Anemosapogenin</w:t>
            </w:r>
          </w:p>
        </w:tc>
        <w:tc>
          <w:tcPr>
            <w:tcW w:w="766" w:type="pct"/>
            <w:noWrap/>
            <w:vAlign w:val="center"/>
          </w:tcPr>
          <w:p w14:paraId="35F10DF0">
            <w:pPr>
              <w:widowControl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C30H48O4</w:t>
            </w:r>
          </w:p>
        </w:tc>
        <w:tc>
          <w:tcPr>
            <w:tcW w:w="680" w:type="pct"/>
            <w:noWrap/>
            <w:vAlign w:val="center"/>
          </w:tcPr>
          <w:p w14:paraId="7BB0915E">
            <w:pPr>
              <w:widowControl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471.3471</w:t>
            </w:r>
          </w:p>
        </w:tc>
        <w:tc>
          <w:tcPr>
            <w:tcW w:w="680" w:type="pct"/>
            <w:noWrap/>
            <w:vAlign w:val="center"/>
          </w:tcPr>
          <w:p w14:paraId="3FC5B38B">
            <w:pPr>
              <w:widowControl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478.2</w:t>
            </w:r>
          </w:p>
        </w:tc>
      </w:tr>
      <w:tr w14:paraId="5586730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319" w:type="pct"/>
            <w:noWrap/>
            <w:vAlign w:val="center"/>
          </w:tcPr>
          <w:p w14:paraId="0771199D"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2</w:t>
            </w:r>
          </w:p>
        </w:tc>
        <w:tc>
          <w:tcPr>
            <w:tcW w:w="2555" w:type="pct"/>
            <w:noWrap/>
            <w:vAlign w:val="center"/>
          </w:tcPr>
          <w:p w14:paraId="18F04194"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18α-Glycyrrhetinic acid</w:t>
            </w:r>
          </w:p>
        </w:tc>
        <w:tc>
          <w:tcPr>
            <w:tcW w:w="766" w:type="pct"/>
            <w:noWrap/>
            <w:vAlign w:val="center"/>
          </w:tcPr>
          <w:p w14:paraId="54107E51">
            <w:pPr>
              <w:widowControl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C30H46O4</w:t>
            </w:r>
          </w:p>
        </w:tc>
        <w:tc>
          <w:tcPr>
            <w:tcW w:w="680" w:type="pct"/>
            <w:noWrap/>
            <w:vAlign w:val="center"/>
          </w:tcPr>
          <w:p w14:paraId="17CAC212">
            <w:pPr>
              <w:widowControl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469.331</w:t>
            </w:r>
          </w:p>
        </w:tc>
        <w:tc>
          <w:tcPr>
            <w:tcW w:w="680" w:type="pct"/>
            <w:noWrap/>
            <w:vAlign w:val="center"/>
          </w:tcPr>
          <w:p w14:paraId="5883DB71">
            <w:pPr>
              <w:widowControl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498.4</w:t>
            </w:r>
          </w:p>
        </w:tc>
      </w:tr>
      <w:tr w14:paraId="1226956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319" w:type="pct"/>
            <w:noWrap/>
            <w:vAlign w:val="center"/>
          </w:tcPr>
          <w:p w14:paraId="21F728B0"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3</w:t>
            </w:r>
          </w:p>
        </w:tc>
        <w:tc>
          <w:tcPr>
            <w:tcW w:w="2555" w:type="pct"/>
            <w:noWrap/>
            <w:vAlign w:val="center"/>
          </w:tcPr>
          <w:p w14:paraId="21E09F50"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4-Aminobutyric acid (GABA)</w:t>
            </w:r>
          </w:p>
        </w:tc>
        <w:tc>
          <w:tcPr>
            <w:tcW w:w="766" w:type="pct"/>
            <w:noWrap/>
            <w:vAlign w:val="center"/>
          </w:tcPr>
          <w:p w14:paraId="414C7C74">
            <w:pPr>
              <w:widowControl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C4H9NO2</w:t>
            </w:r>
          </w:p>
        </w:tc>
        <w:tc>
          <w:tcPr>
            <w:tcW w:w="680" w:type="pct"/>
            <w:noWrap/>
            <w:vAlign w:val="center"/>
          </w:tcPr>
          <w:p w14:paraId="2E4F576B">
            <w:pPr>
              <w:widowControl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102.0557</w:t>
            </w:r>
          </w:p>
        </w:tc>
        <w:tc>
          <w:tcPr>
            <w:tcW w:w="680" w:type="pct"/>
            <w:noWrap/>
            <w:vAlign w:val="center"/>
          </w:tcPr>
          <w:p w14:paraId="34D95F37">
            <w:pPr>
              <w:widowControl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41.1</w:t>
            </w:r>
          </w:p>
        </w:tc>
      </w:tr>
      <w:tr w14:paraId="7BF30BD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319" w:type="pct"/>
            <w:noWrap/>
            <w:vAlign w:val="center"/>
          </w:tcPr>
          <w:p w14:paraId="6D3F4545"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4</w:t>
            </w:r>
          </w:p>
        </w:tc>
        <w:tc>
          <w:tcPr>
            <w:tcW w:w="2555" w:type="pct"/>
            <w:noWrap/>
            <w:vAlign w:val="center"/>
          </w:tcPr>
          <w:p w14:paraId="2EB97CFB"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(1R,2R,4aS,6aS,6bR,10S,12aR)-1,10-</w:t>
            </w:r>
          </w:p>
          <w:p w14:paraId="27A3A51C"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dihydroxy-1,2,6a,6b,9,9,12a-heptamethyl-</w:t>
            </w:r>
          </w:p>
          <w:p w14:paraId="7523D2D4"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2,3,4,5,6,6a,7,8,8a,10,11,12,13,14b-tetradecahy</w:t>
            </w:r>
          </w:p>
          <w:p w14:paraId="2F515DA1"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dropicene-4a-carboxylic acid</w:t>
            </w:r>
          </w:p>
        </w:tc>
        <w:tc>
          <w:tcPr>
            <w:tcW w:w="766" w:type="pct"/>
            <w:noWrap/>
            <w:vAlign w:val="center"/>
          </w:tcPr>
          <w:p w14:paraId="5F81C32D">
            <w:pPr>
              <w:widowControl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C30H48O4</w:t>
            </w:r>
          </w:p>
        </w:tc>
        <w:tc>
          <w:tcPr>
            <w:tcW w:w="680" w:type="pct"/>
            <w:noWrap/>
            <w:vAlign w:val="center"/>
          </w:tcPr>
          <w:p w14:paraId="10297F73">
            <w:pPr>
              <w:widowControl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471.3471</w:t>
            </w:r>
          </w:p>
        </w:tc>
        <w:tc>
          <w:tcPr>
            <w:tcW w:w="680" w:type="pct"/>
            <w:noWrap/>
            <w:vAlign w:val="center"/>
          </w:tcPr>
          <w:p w14:paraId="230B1A0C">
            <w:pPr>
              <w:widowControl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478.2</w:t>
            </w:r>
          </w:p>
        </w:tc>
      </w:tr>
      <w:tr w14:paraId="32F9D31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319" w:type="pct"/>
            <w:noWrap/>
            <w:vAlign w:val="center"/>
          </w:tcPr>
          <w:p w14:paraId="3619E38A"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5</w:t>
            </w:r>
          </w:p>
        </w:tc>
        <w:tc>
          <w:tcPr>
            <w:tcW w:w="2555" w:type="pct"/>
            <w:noWrap/>
            <w:vAlign w:val="center"/>
          </w:tcPr>
          <w:p w14:paraId="1A3AF409"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Ethyl stearate</w:t>
            </w:r>
          </w:p>
        </w:tc>
        <w:tc>
          <w:tcPr>
            <w:tcW w:w="766" w:type="pct"/>
            <w:noWrap/>
            <w:vAlign w:val="center"/>
          </w:tcPr>
          <w:p w14:paraId="62B0BB02">
            <w:pPr>
              <w:widowControl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C20H40O2</w:t>
            </w:r>
          </w:p>
        </w:tc>
        <w:tc>
          <w:tcPr>
            <w:tcW w:w="680" w:type="pct"/>
            <w:noWrap/>
            <w:vAlign w:val="center"/>
          </w:tcPr>
          <w:p w14:paraId="31032F58">
            <w:pPr>
              <w:widowControl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311.2945</w:t>
            </w:r>
          </w:p>
        </w:tc>
        <w:tc>
          <w:tcPr>
            <w:tcW w:w="680" w:type="pct"/>
            <w:noWrap/>
            <w:vAlign w:val="center"/>
          </w:tcPr>
          <w:p w14:paraId="623C00DC">
            <w:pPr>
              <w:widowControl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605.8</w:t>
            </w:r>
          </w:p>
        </w:tc>
      </w:tr>
      <w:tr w14:paraId="266B771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319" w:type="pct"/>
            <w:noWrap/>
            <w:vAlign w:val="center"/>
          </w:tcPr>
          <w:p w14:paraId="3524B52F"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6</w:t>
            </w:r>
          </w:p>
        </w:tc>
        <w:tc>
          <w:tcPr>
            <w:tcW w:w="2555" w:type="pct"/>
            <w:noWrap/>
            <w:vAlign w:val="center"/>
          </w:tcPr>
          <w:p w14:paraId="5C47A803"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Butyl palmitate</w:t>
            </w:r>
          </w:p>
        </w:tc>
        <w:tc>
          <w:tcPr>
            <w:tcW w:w="766" w:type="pct"/>
            <w:noWrap/>
            <w:vAlign w:val="center"/>
          </w:tcPr>
          <w:p w14:paraId="4405500F">
            <w:pPr>
              <w:widowControl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C20H40O2</w:t>
            </w:r>
          </w:p>
        </w:tc>
        <w:tc>
          <w:tcPr>
            <w:tcW w:w="680" w:type="pct"/>
            <w:noWrap/>
            <w:vAlign w:val="center"/>
          </w:tcPr>
          <w:p w14:paraId="1ADD288B">
            <w:pPr>
              <w:widowControl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311.2945</w:t>
            </w:r>
          </w:p>
        </w:tc>
        <w:tc>
          <w:tcPr>
            <w:tcW w:w="680" w:type="pct"/>
            <w:noWrap/>
            <w:vAlign w:val="center"/>
          </w:tcPr>
          <w:p w14:paraId="31690ED9">
            <w:pPr>
              <w:widowControl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605.8</w:t>
            </w:r>
          </w:p>
        </w:tc>
      </w:tr>
      <w:tr w14:paraId="4B1131F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319" w:type="pct"/>
            <w:noWrap/>
            <w:vAlign w:val="center"/>
          </w:tcPr>
          <w:p w14:paraId="03C3B806"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7</w:t>
            </w:r>
          </w:p>
        </w:tc>
        <w:tc>
          <w:tcPr>
            <w:tcW w:w="2555" w:type="pct"/>
            <w:noWrap/>
            <w:vAlign w:val="center"/>
          </w:tcPr>
          <w:p w14:paraId="0677606D"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Oleic acid</w:t>
            </w:r>
          </w:p>
        </w:tc>
        <w:tc>
          <w:tcPr>
            <w:tcW w:w="766" w:type="pct"/>
            <w:noWrap/>
            <w:vAlign w:val="center"/>
          </w:tcPr>
          <w:p w14:paraId="2CBAE973">
            <w:pPr>
              <w:widowControl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C18H34O2</w:t>
            </w:r>
          </w:p>
        </w:tc>
        <w:tc>
          <w:tcPr>
            <w:tcW w:w="680" w:type="pct"/>
            <w:noWrap/>
            <w:vAlign w:val="center"/>
          </w:tcPr>
          <w:p w14:paraId="199AAEEE">
            <w:pPr>
              <w:widowControl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281.2475</w:t>
            </w:r>
          </w:p>
        </w:tc>
        <w:tc>
          <w:tcPr>
            <w:tcW w:w="680" w:type="pct"/>
            <w:noWrap/>
            <w:vAlign w:val="center"/>
          </w:tcPr>
          <w:p w14:paraId="5E35A53E">
            <w:pPr>
              <w:widowControl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565</w:t>
            </w:r>
          </w:p>
        </w:tc>
      </w:tr>
      <w:tr w14:paraId="436DB98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319" w:type="pct"/>
            <w:noWrap/>
            <w:vAlign w:val="center"/>
          </w:tcPr>
          <w:p w14:paraId="6DB7710D"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8</w:t>
            </w:r>
          </w:p>
        </w:tc>
        <w:tc>
          <w:tcPr>
            <w:tcW w:w="2555" w:type="pct"/>
            <w:noWrap/>
            <w:vAlign w:val="center"/>
          </w:tcPr>
          <w:p w14:paraId="3178FE21"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Lauryl acetate</w:t>
            </w:r>
          </w:p>
        </w:tc>
        <w:tc>
          <w:tcPr>
            <w:tcW w:w="766" w:type="pct"/>
            <w:noWrap/>
            <w:vAlign w:val="center"/>
          </w:tcPr>
          <w:p w14:paraId="09B9FBF4">
            <w:pPr>
              <w:widowControl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C14H28O2</w:t>
            </w:r>
          </w:p>
        </w:tc>
        <w:tc>
          <w:tcPr>
            <w:tcW w:w="680" w:type="pct"/>
            <w:noWrap/>
            <w:vAlign w:val="center"/>
          </w:tcPr>
          <w:p w14:paraId="3F036973">
            <w:pPr>
              <w:widowControl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227.2008</w:t>
            </w:r>
          </w:p>
        </w:tc>
        <w:tc>
          <w:tcPr>
            <w:tcW w:w="680" w:type="pct"/>
            <w:noWrap/>
            <w:vAlign w:val="center"/>
          </w:tcPr>
          <w:p w14:paraId="00F14842">
            <w:pPr>
              <w:widowControl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538.1</w:t>
            </w:r>
          </w:p>
        </w:tc>
      </w:tr>
      <w:tr w14:paraId="4F1665D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319" w:type="pct"/>
            <w:noWrap/>
            <w:vAlign w:val="center"/>
          </w:tcPr>
          <w:p w14:paraId="63738107"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9</w:t>
            </w:r>
          </w:p>
        </w:tc>
        <w:tc>
          <w:tcPr>
            <w:tcW w:w="2555" w:type="pct"/>
            <w:noWrap/>
            <w:vAlign w:val="center"/>
          </w:tcPr>
          <w:p w14:paraId="6129E10D"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Myristic acid</w:t>
            </w:r>
          </w:p>
        </w:tc>
        <w:tc>
          <w:tcPr>
            <w:tcW w:w="766" w:type="pct"/>
            <w:noWrap/>
            <w:vAlign w:val="center"/>
          </w:tcPr>
          <w:p w14:paraId="1EABA510">
            <w:pPr>
              <w:widowControl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C14H28O2</w:t>
            </w:r>
          </w:p>
        </w:tc>
        <w:tc>
          <w:tcPr>
            <w:tcW w:w="680" w:type="pct"/>
            <w:noWrap/>
            <w:vAlign w:val="center"/>
          </w:tcPr>
          <w:p w14:paraId="39E81B86">
            <w:pPr>
              <w:widowControl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227.2008</w:t>
            </w:r>
          </w:p>
        </w:tc>
        <w:tc>
          <w:tcPr>
            <w:tcW w:w="680" w:type="pct"/>
            <w:noWrap/>
            <w:vAlign w:val="center"/>
          </w:tcPr>
          <w:p w14:paraId="1874ACD0">
            <w:pPr>
              <w:widowControl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538.1</w:t>
            </w:r>
          </w:p>
        </w:tc>
      </w:tr>
      <w:tr w14:paraId="0ED8227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319" w:type="pct"/>
            <w:noWrap/>
            <w:vAlign w:val="center"/>
          </w:tcPr>
          <w:p w14:paraId="294D4DAF"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2555" w:type="pct"/>
            <w:noWrap/>
            <w:vAlign w:val="center"/>
          </w:tcPr>
          <w:p w14:paraId="24451C7E"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(4aS,6aS,6bR,10S,12aR)-10-hydroxy-</w:t>
            </w:r>
          </w:p>
          <w:p w14:paraId="09F2C20C"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2,2,6a,6b,9,9,12a-heptamethyl-1,3,4,5,6,6a,</w:t>
            </w:r>
          </w:p>
          <w:p w14:paraId="5BC667EF"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7,8,8a,10,11,12,13,14b-tetradecahydropicene</w:t>
            </w:r>
          </w:p>
          <w:p w14:paraId="15A9F9FC"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-4a-carboxylic acid</w:t>
            </w:r>
          </w:p>
        </w:tc>
        <w:tc>
          <w:tcPr>
            <w:tcW w:w="766" w:type="pct"/>
            <w:noWrap/>
            <w:vAlign w:val="center"/>
          </w:tcPr>
          <w:p w14:paraId="34E7EFFF">
            <w:pPr>
              <w:widowControl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C30H48O3</w:t>
            </w:r>
          </w:p>
        </w:tc>
        <w:tc>
          <w:tcPr>
            <w:tcW w:w="680" w:type="pct"/>
            <w:noWrap/>
            <w:vAlign w:val="center"/>
          </w:tcPr>
          <w:p w14:paraId="40EECCFF">
            <w:pPr>
              <w:widowControl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455.3516</w:t>
            </w:r>
          </w:p>
        </w:tc>
        <w:tc>
          <w:tcPr>
            <w:tcW w:w="680" w:type="pct"/>
            <w:noWrap/>
            <w:vAlign w:val="center"/>
          </w:tcPr>
          <w:p w14:paraId="243B37CB">
            <w:pPr>
              <w:widowControl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531.1</w:t>
            </w:r>
          </w:p>
        </w:tc>
      </w:tr>
    </w:tbl>
    <w:p w14:paraId="398B2014">
      <w:pPr>
        <w:rPr>
          <w:rFonts w:ascii="Times New Roman" w:hAnsi="Times New Roman" w:cs="Times New Roman"/>
          <w:sz w:val="22"/>
          <w:szCs w:val="22"/>
        </w:rPr>
      </w:pPr>
    </w:p>
    <w:p w14:paraId="12CB3D86">
      <w:pPr>
        <w:widowControl/>
        <w:jc w:val="left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br w:type="page"/>
      </w:r>
    </w:p>
    <w:p w14:paraId="33CFB2B9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Supplementary</w:t>
      </w:r>
      <w:r>
        <w:rPr>
          <w:rFonts w:hint="eastAsia" w:ascii="Times New Roman" w:hAnsi="Times New Roman" w:cs="Times New Roman"/>
          <w:b/>
          <w:bCs/>
          <w:sz w:val="22"/>
          <w:szCs w:val="22"/>
        </w:rPr>
        <w:t xml:space="preserve"> </w:t>
      </w:r>
      <w:r>
        <w:rPr>
          <w:rFonts w:hint="eastAsia" w:ascii="Times New Roman" w:hAnsi="Times New Roman" w:cs="Times New Roman"/>
          <w:b/>
          <w:bCs/>
        </w:rPr>
        <w:t>Table 4.</w:t>
      </w:r>
      <w:r>
        <w:rPr>
          <w:rFonts w:ascii="Times New Roman" w:hAnsi="Times New Roman" w:cs="Times New Roman"/>
          <w:sz w:val="22"/>
          <w:szCs w:val="22"/>
        </w:rPr>
        <w:t xml:space="preserve">Main reagents and kits </w:t>
      </w:r>
    </w:p>
    <w:tbl>
      <w:tblPr>
        <w:tblStyle w:val="5"/>
        <w:tblW w:w="0" w:type="auto"/>
        <w:tblInd w:w="0" w:type="dxa"/>
        <w:tblBorders>
          <w:top w:val="single" w:color="000000" w:themeColor="text1" w:sz="12" w:space="0"/>
          <w:left w:val="none" w:color="auto" w:sz="0" w:space="0"/>
          <w:bottom w:val="single" w:color="000000" w:themeColor="text1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75"/>
        <w:gridCol w:w="3323"/>
        <w:gridCol w:w="1524"/>
      </w:tblGrid>
      <w:tr w14:paraId="6754C38C">
        <w:tblPrEx>
          <w:tblBorders>
            <w:top w:val="single" w:color="000000" w:themeColor="text1" w:sz="12" w:space="0"/>
            <w:left w:val="none" w:color="auto" w:sz="0" w:space="0"/>
            <w:bottom w:val="single" w:color="000000" w:themeColor="text1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75" w:type="dxa"/>
          </w:tcPr>
          <w:p w14:paraId="373D3421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Reagent</w:t>
            </w:r>
          </w:p>
        </w:tc>
        <w:tc>
          <w:tcPr>
            <w:tcW w:w="3323" w:type="dxa"/>
          </w:tcPr>
          <w:p w14:paraId="4205B479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Resource</w:t>
            </w:r>
          </w:p>
        </w:tc>
        <w:tc>
          <w:tcPr>
            <w:tcW w:w="1524" w:type="dxa"/>
          </w:tcPr>
          <w:p w14:paraId="6FE961AB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Identifier</w:t>
            </w:r>
          </w:p>
        </w:tc>
      </w:tr>
      <w:tr w14:paraId="58B44DBA">
        <w:tblPrEx>
          <w:tblBorders>
            <w:top w:val="single" w:color="000000" w:themeColor="text1" w:sz="12" w:space="0"/>
            <w:left w:val="none" w:color="auto" w:sz="0" w:space="0"/>
            <w:bottom w:val="single" w:color="000000" w:themeColor="text1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75" w:type="dxa"/>
          </w:tcPr>
          <w:p w14:paraId="39DEB763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Shenling Baizhu San</w:t>
            </w:r>
          </w:p>
        </w:tc>
        <w:tc>
          <w:tcPr>
            <w:tcW w:w="3323" w:type="dxa"/>
          </w:tcPr>
          <w:p w14:paraId="302E2F87">
            <w:pPr>
              <w:rPr>
                <w:rFonts w:hint="eastAsia"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Beijing Tongrentang Pharmaceutical Factory</w:t>
            </w:r>
          </w:p>
        </w:tc>
        <w:tc>
          <w:tcPr>
            <w:tcW w:w="1524" w:type="dxa"/>
          </w:tcPr>
          <w:p w14:paraId="76E20A5B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Cat#:</w:t>
            </w:r>
            <w:r>
              <w:rPr>
                <w:rFonts w:ascii="Times New Roman" w:hAnsi="Times New Roman" w:eastAsia="宋体" w:cs="Times New Roman"/>
                <w:szCs w:val="21"/>
              </w:rPr>
              <w:t>25101025</w:t>
            </w:r>
          </w:p>
        </w:tc>
      </w:tr>
      <w:tr w14:paraId="123DE019">
        <w:tblPrEx>
          <w:tblBorders>
            <w:top w:val="single" w:color="000000" w:themeColor="text1" w:sz="12" w:space="0"/>
            <w:left w:val="none" w:color="auto" w:sz="0" w:space="0"/>
            <w:bottom w:val="single" w:color="000000" w:themeColor="text1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75" w:type="dxa"/>
          </w:tcPr>
          <w:p w14:paraId="1816BE67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Hepatic triglyceride (TG)</w:t>
            </w:r>
          </w:p>
        </w:tc>
        <w:tc>
          <w:tcPr>
            <w:tcW w:w="3323" w:type="dxa"/>
          </w:tcPr>
          <w:p w14:paraId="3B932320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Nanjing Jiancheng Bioengineering</w:t>
            </w:r>
          </w:p>
        </w:tc>
        <w:tc>
          <w:tcPr>
            <w:tcW w:w="1524" w:type="dxa"/>
          </w:tcPr>
          <w:p w14:paraId="16B754D3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Cat#:A110-1-1</w:t>
            </w:r>
          </w:p>
        </w:tc>
      </w:tr>
      <w:tr w14:paraId="442D0A76">
        <w:tblPrEx>
          <w:tblBorders>
            <w:top w:val="single" w:color="000000" w:themeColor="text1" w:sz="12" w:space="0"/>
            <w:left w:val="none" w:color="auto" w:sz="0" w:space="0"/>
            <w:bottom w:val="single" w:color="000000" w:themeColor="text1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75" w:type="dxa"/>
          </w:tcPr>
          <w:p w14:paraId="6ACAD075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Hepatic total cholesterol (TC)</w:t>
            </w:r>
          </w:p>
        </w:tc>
        <w:tc>
          <w:tcPr>
            <w:tcW w:w="3323" w:type="dxa"/>
          </w:tcPr>
          <w:p w14:paraId="01AC0D3F">
            <w:pPr>
              <w:rPr>
                <w:rFonts w:hint="eastAsia"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Nanjing Jiancheng Bioengineering</w:t>
            </w:r>
          </w:p>
        </w:tc>
        <w:tc>
          <w:tcPr>
            <w:tcW w:w="1524" w:type="dxa"/>
          </w:tcPr>
          <w:p w14:paraId="4084DD5D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Cat#:A111-1-1</w:t>
            </w:r>
          </w:p>
        </w:tc>
      </w:tr>
      <w:tr w14:paraId="31A75E5A">
        <w:tblPrEx>
          <w:tblBorders>
            <w:top w:val="single" w:color="000000" w:themeColor="text1" w:sz="12" w:space="0"/>
            <w:left w:val="none" w:color="auto" w:sz="0" w:space="0"/>
            <w:bottom w:val="single" w:color="000000" w:themeColor="text1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75" w:type="dxa"/>
          </w:tcPr>
          <w:p w14:paraId="0EF71AE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Low-density lipoprotein （LDL）</w:t>
            </w:r>
          </w:p>
        </w:tc>
        <w:tc>
          <w:tcPr>
            <w:tcW w:w="3323" w:type="dxa"/>
          </w:tcPr>
          <w:p w14:paraId="38CFAEB7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Nanjing Jiancheng Bioengineering</w:t>
            </w:r>
          </w:p>
        </w:tc>
        <w:tc>
          <w:tcPr>
            <w:tcW w:w="1524" w:type="dxa"/>
          </w:tcPr>
          <w:p w14:paraId="126E6F0F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Cat#:A113-1-1</w:t>
            </w:r>
          </w:p>
        </w:tc>
      </w:tr>
      <w:tr w14:paraId="53FBE259">
        <w:tblPrEx>
          <w:tblBorders>
            <w:top w:val="single" w:color="000000" w:themeColor="text1" w:sz="12" w:space="0"/>
            <w:left w:val="none" w:color="auto" w:sz="0" w:space="0"/>
            <w:bottom w:val="single" w:color="000000" w:themeColor="text1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75" w:type="dxa"/>
          </w:tcPr>
          <w:p w14:paraId="7CDB7C9B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High-density lipoprotein （HDL）</w:t>
            </w:r>
          </w:p>
        </w:tc>
        <w:tc>
          <w:tcPr>
            <w:tcW w:w="3323" w:type="dxa"/>
          </w:tcPr>
          <w:p w14:paraId="0B484551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Nanjing Jiancheng Bioengineering</w:t>
            </w:r>
          </w:p>
        </w:tc>
        <w:tc>
          <w:tcPr>
            <w:tcW w:w="1524" w:type="dxa"/>
          </w:tcPr>
          <w:p w14:paraId="6E97E367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Cat#:A112-1-1</w:t>
            </w:r>
          </w:p>
        </w:tc>
      </w:tr>
      <w:tr w14:paraId="6F83D1D8">
        <w:tblPrEx>
          <w:tblBorders>
            <w:top w:val="single" w:color="000000" w:themeColor="text1" w:sz="12" w:space="0"/>
            <w:left w:val="none" w:color="auto" w:sz="0" w:space="0"/>
            <w:bottom w:val="single" w:color="000000" w:themeColor="text1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75" w:type="dxa"/>
          </w:tcPr>
          <w:p w14:paraId="6A0AF131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Serum alanine aminotransferase (ALT)</w:t>
            </w:r>
          </w:p>
        </w:tc>
        <w:tc>
          <w:tcPr>
            <w:tcW w:w="3323" w:type="dxa"/>
          </w:tcPr>
          <w:p w14:paraId="40D3E381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Nanjing Jiancheng Bioengineering</w:t>
            </w:r>
          </w:p>
        </w:tc>
        <w:tc>
          <w:tcPr>
            <w:tcW w:w="1524" w:type="dxa"/>
          </w:tcPr>
          <w:p w14:paraId="1BCBABA0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Cat#:C009-2-1</w:t>
            </w:r>
          </w:p>
        </w:tc>
      </w:tr>
      <w:tr w14:paraId="61AED7A7">
        <w:tblPrEx>
          <w:tblBorders>
            <w:top w:val="single" w:color="000000" w:themeColor="text1" w:sz="12" w:space="0"/>
            <w:left w:val="none" w:color="auto" w:sz="0" w:space="0"/>
            <w:bottom w:val="single" w:color="000000" w:themeColor="text1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75" w:type="dxa"/>
          </w:tcPr>
          <w:p w14:paraId="0CBF622F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Serum aspartate aminotransferase (AST)</w:t>
            </w:r>
          </w:p>
        </w:tc>
        <w:tc>
          <w:tcPr>
            <w:tcW w:w="3323" w:type="dxa"/>
          </w:tcPr>
          <w:p w14:paraId="25265255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Nanjing Jiancheng Bioengineering</w:t>
            </w:r>
          </w:p>
        </w:tc>
        <w:tc>
          <w:tcPr>
            <w:tcW w:w="1524" w:type="dxa"/>
          </w:tcPr>
          <w:p w14:paraId="4A3155A1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Cat#:C010-2-1</w:t>
            </w:r>
          </w:p>
        </w:tc>
      </w:tr>
      <w:tr w14:paraId="124D4EB8">
        <w:tblPrEx>
          <w:tblBorders>
            <w:top w:val="single" w:color="000000" w:themeColor="text1" w:sz="12" w:space="0"/>
            <w:left w:val="none" w:color="auto" w:sz="0" w:space="0"/>
            <w:bottom w:val="single" w:color="000000" w:themeColor="text1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75" w:type="dxa"/>
          </w:tcPr>
          <w:p w14:paraId="2FF0C0FF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G</w:t>
            </w:r>
            <w:r>
              <w:rPr>
                <w:rFonts w:ascii="Times New Roman" w:hAnsi="Times New Roman" w:cs="Times New Roman"/>
                <w:szCs w:val="21"/>
              </w:rPr>
              <w:t>amma-glutamyl transpeptidase (GGT)</w:t>
            </w:r>
          </w:p>
        </w:tc>
        <w:tc>
          <w:tcPr>
            <w:tcW w:w="3323" w:type="dxa"/>
          </w:tcPr>
          <w:p w14:paraId="4228BFFE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Nanjing Jiancheng Bioengineering</w:t>
            </w:r>
          </w:p>
        </w:tc>
        <w:tc>
          <w:tcPr>
            <w:tcW w:w="1524" w:type="dxa"/>
          </w:tcPr>
          <w:p w14:paraId="305A4672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Cat#:C017-2-1</w:t>
            </w:r>
          </w:p>
        </w:tc>
      </w:tr>
      <w:tr w14:paraId="01572D1F">
        <w:tblPrEx>
          <w:tblBorders>
            <w:top w:val="single" w:color="000000" w:themeColor="text1" w:sz="12" w:space="0"/>
            <w:left w:val="none" w:color="auto" w:sz="0" w:space="0"/>
            <w:bottom w:val="single" w:color="000000" w:themeColor="text1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75" w:type="dxa"/>
          </w:tcPr>
          <w:p w14:paraId="241649C3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Glucose (GLU)</w:t>
            </w:r>
          </w:p>
        </w:tc>
        <w:tc>
          <w:tcPr>
            <w:tcW w:w="3323" w:type="dxa"/>
          </w:tcPr>
          <w:p w14:paraId="061895E2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Nanjing Jiancheng Bioengineering</w:t>
            </w:r>
          </w:p>
        </w:tc>
        <w:tc>
          <w:tcPr>
            <w:tcW w:w="1524" w:type="dxa"/>
          </w:tcPr>
          <w:p w14:paraId="783AC2FC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Cat#:A154-1-1</w:t>
            </w:r>
          </w:p>
        </w:tc>
      </w:tr>
      <w:tr w14:paraId="5692A917">
        <w:tblPrEx>
          <w:tblBorders>
            <w:top w:val="single" w:color="000000" w:themeColor="text1" w:sz="12" w:space="0"/>
            <w:left w:val="none" w:color="auto" w:sz="0" w:space="0"/>
            <w:bottom w:val="single" w:color="000000" w:themeColor="text1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75" w:type="dxa"/>
          </w:tcPr>
          <w:p w14:paraId="4BCF4233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 xml:space="preserve">Malondialdehyde (MDA) assay kit </w:t>
            </w:r>
          </w:p>
        </w:tc>
        <w:tc>
          <w:tcPr>
            <w:tcW w:w="3323" w:type="dxa"/>
          </w:tcPr>
          <w:p w14:paraId="692B6901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Nanjing Jiancheng Bioengineering</w:t>
            </w:r>
          </w:p>
        </w:tc>
        <w:tc>
          <w:tcPr>
            <w:tcW w:w="1524" w:type="dxa"/>
          </w:tcPr>
          <w:p w14:paraId="41683A55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Cat#:</w:t>
            </w:r>
            <w:r>
              <w:rPr>
                <w:rFonts w:ascii="Times New Roman" w:hAnsi="Times New Roman" w:cs="Times New Roman"/>
                <w:szCs w:val="21"/>
              </w:rPr>
              <w:t>A003-1-2</w:t>
            </w:r>
          </w:p>
        </w:tc>
      </w:tr>
      <w:tr w14:paraId="76E00964">
        <w:tblPrEx>
          <w:tblBorders>
            <w:top w:val="single" w:color="000000" w:themeColor="text1" w:sz="12" w:space="0"/>
            <w:left w:val="none" w:color="auto" w:sz="0" w:space="0"/>
            <w:bottom w:val="single" w:color="000000" w:themeColor="text1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75" w:type="dxa"/>
          </w:tcPr>
          <w:p w14:paraId="33EE6E11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 xml:space="preserve">Insulin (INS) assay kits </w:t>
            </w:r>
          </w:p>
        </w:tc>
        <w:tc>
          <w:tcPr>
            <w:tcW w:w="3323" w:type="dxa"/>
          </w:tcPr>
          <w:p w14:paraId="5D014682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Nanjing Jiancheng Bioengineering</w:t>
            </w:r>
          </w:p>
        </w:tc>
        <w:tc>
          <w:tcPr>
            <w:tcW w:w="1524" w:type="dxa"/>
          </w:tcPr>
          <w:p w14:paraId="14FADC3F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Cat#:</w:t>
            </w:r>
            <w:r>
              <w:rPr>
                <w:rFonts w:ascii="Times New Roman" w:hAnsi="Times New Roman" w:cs="Times New Roman"/>
                <w:szCs w:val="21"/>
              </w:rPr>
              <w:t>H203-1-2</w:t>
            </w:r>
          </w:p>
        </w:tc>
      </w:tr>
      <w:tr w14:paraId="055315D2">
        <w:tblPrEx>
          <w:tblBorders>
            <w:top w:val="single" w:color="000000" w:themeColor="text1" w:sz="12" w:space="0"/>
            <w:left w:val="none" w:color="auto" w:sz="0" w:space="0"/>
            <w:bottom w:val="single" w:color="000000" w:themeColor="text1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75" w:type="dxa"/>
          </w:tcPr>
          <w:p w14:paraId="4850ABCD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Hematoxylin-eosin staining</w:t>
            </w:r>
          </w:p>
        </w:tc>
        <w:tc>
          <w:tcPr>
            <w:tcW w:w="3323" w:type="dxa"/>
          </w:tcPr>
          <w:p w14:paraId="59DBBB80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Wuhan Servicebio</w:t>
            </w:r>
          </w:p>
        </w:tc>
        <w:tc>
          <w:tcPr>
            <w:tcW w:w="1524" w:type="dxa"/>
          </w:tcPr>
          <w:p w14:paraId="5DB50A25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Cat#:</w:t>
            </w:r>
            <w:r>
              <w:rPr>
                <w:rFonts w:ascii="Times New Roman" w:hAnsi="Times New Roman" w:cs="Times New Roman"/>
                <w:szCs w:val="21"/>
              </w:rPr>
              <w:t>GP1031</w:t>
            </w:r>
          </w:p>
        </w:tc>
      </w:tr>
      <w:tr w14:paraId="5E200B07">
        <w:tblPrEx>
          <w:tblBorders>
            <w:top w:val="single" w:color="000000" w:themeColor="text1" w:sz="12" w:space="0"/>
            <w:left w:val="none" w:color="auto" w:sz="0" w:space="0"/>
            <w:bottom w:val="single" w:color="000000" w:themeColor="text1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75" w:type="dxa"/>
          </w:tcPr>
          <w:p w14:paraId="203FB83B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Oil Red O staining</w:t>
            </w:r>
          </w:p>
        </w:tc>
        <w:tc>
          <w:tcPr>
            <w:tcW w:w="3323" w:type="dxa"/>
          </w:tcPr>
          <w:p w14:paraId="478B7A10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Wuhan Servicebio</w:t>
            </w:r>
          </w:p>
        </w:tc>
        <w:tc>
          <w:tcPr>
            <w:tcW w:w="1524" w:type="dxa"/>
          </w:tcPr>
          <w:p w14:paraId="4CD68E5B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Cat#:</w:t>
            </w:r>
            <w:r>
              <w:rPr>
                <w:rFonts w:ascii="Times New Roman" w:hAnsi="Times New Roman" w:cs="Times New Roman"/>
                <w:szCs w:val="21"/>
              </w:rPr>
              <w:t>GP1067</w:t>
            </w:r>
          </w:p>
        </w:tc>
      </w:tr>
      <w:tr w14:paraId="1C021D2E">
        <w:tblPrEx>
          <w:tblBorders>
            <w:top w:val="single" w:color="000000" w:themeColor="text1" w:sz="12" w:space="0"/>
            <w:left w:val="none" w:color="auto" w:sz="0" w:space="0"/>
            <w:bottom w:val="single" w:color="000000" w:themeColor="text1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75" w:type="dxa"/>
          </w:tcPr>
          <w:p w14:paraId="7D8513C3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TRIzol Rearent</w:t>
            </w:r>
          </w:p>
        </w:tc>
        <w:tc>
          <w:tcPr>
            <w:tcW w:w="3323" w:type="dxa"/>
          </w:tcPr>
          <w:p w14:paraId="75542249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Tiangen</w:t>
            </w:r>
            <w:r>
              <w:rPr>
                <w:rFonts w:hint="eastAsia" w:ascii="Times New Roman" w:hAnsi="Times New Roman" w:cs="Times New Roman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Cs w:val="21"/>
              </w:rPr>
              <w:t>Biochemical</w:t>
            </w:r>
            <w:r>
              <w:rPr>
                <w:rFonts w:hint="eastAsia" w:ascii="Times New Roman" w:hAnsi="Times New Roman" w:cs="Times New Roman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Cs w:val="21"/>
              </w:rPr>
              <w:t>Technology (Beijing) Co., LTD</w:t>
            </w:r>
          </w:p>
        </w:tc>
        <w:tc>
          <w:tcPr>
            <w:tcW w:w="1524" w:type="dxa"/>
          </w:tcPr>
          <w:p w14:paraId="37B453DD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Cat#:</w:t>
            </w:r>
            <w:r>
              <w:rPr>
                <w:rFonts w:ascii="Times New Roman" w:hAnsi="Times New Roman" w:cs="Times New Roman"/>
                <w:szCs w:val="21"/>
              </w:rPr>
              <w:t>DP424</w:t>
            </w:r>
          </w:p>
        </w:tc>
      </w:tr>
      <w:tr w14:paraId="40BEFF05">
        <w:tblPrEx>
          <w:tblBorders>
            <w:top w:val="single" w:color="000000" w:themeColor="text1" w:sz="12" w:space="0"/>
            <w:left w:val="none" w:color="auto" w:sz="0" w:space="0"/>
            <w:bottom w:val="single" w:color="000000" w:themeColor="text1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75" w:type="dxa"/>
          </w:tcPr>
          <w:p w14:paraId="459EE595">
            <w:pPr>
              <w:rPr>
                <w:rFonts w:hint="eastAsia"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R</w:t>
            </w:r>
            <w:r>
              <w:rPr>
                <w:rFonts w:hint="eastAsia" w:ascii="Times New Roman" w:hAnsi="Times New Roman" w:cs="Times New Roman"/>
                <w:szCs w:val="21"/>
              </w:rPr>
              <w:t>everTra Ace qPCR RT Master Mix with gDNA Remover</w:t>
            </w:r>
          </w:p>
        </w:tc>
        <w:tc>
          <w:tcPr>
            <w:tcW w:w="3323" w:type="dxa"/>
          </w:tcPr>
          <w:p w14:paraId="7BDA51B4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TOYOBO CO.,LTD</w:t>
            </w:r>
          </w:p>
        </w:tc>
        <w:tc>
          <w:tcPr>
            <w:tcW w:w="1524" w:type="dxa"/>
          </w:tcPr>
          <w:p w14:paraId="017D58A9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Cat#:FSQ-301</w:t>
            </w:r>
          </w:p>
        </w:tc>
      </w:tr>
      <w:tr w14:paraId="3F33A061">
        <w:tblPrEx>
          <w:tblBorders>
            <w:top w:val="single" w:color="000000" w:themeColor="text1" w:sz="12" w:space="0"/>
            <w:left w:val="none" w:color="auto" w:sz="0" w:space="0"/>
            <w:bottom w:val="single" w:color="000000" w:themeColor="text1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3675" w:type="dxa"/>
          </w:tcPr>
          <w:p w14:paraId="0C66B929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Realtime PCR Master Mix</w:t>
            </w:r>
          </w:p>
        </w:tc>
        <w:tc>
          <w:tcPr>
            <w:tcW w:w="3323" w:type="dxa"/>
          </w:tcPr>
          <w:p w14:paraId="5BDA0068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TOYOBO CO.,LTD</w:t>
            </w:r>
          </w:p>
        </w:tc>
        <w:tc>
          <w:tcPr>
            <w:tcW w:w="1524" w:type="dxa"/>
          </w:tcPr>
          <w:p w14:paraId="554E7D8E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Cat#:</w:t>
            </w:r>
            <w:r>
              <w:rPr>
                <w:rFonts w:ascii="Times New Roman" w:hAnsi="Times New Roman" w:cs="Times New Roman"/>
                <w:szCs w:val="21"/>
              </w:rPr>
              <w:t>QPK-</w:t>
            </w:r>
            <w:r>
              <w:rPr>
                <w:rFonts w:hint="eastAsia" w:ascii="Times New Roman" w:hAnsi="Times New Roman" w:cs="Times New Roman"/>
                <w:szCs w:val="21"/>
              </w:rPr>
              <w:t>2</w:t>
            </w:r>
            <w:r>
              <w:rPr>
                <w:rFonts w:ascii="Times New Roman" w:hAnsi="Times New Roman" w:cs="Times New Roman"/>
                <w:szCs w:val="21"/>
              </w:rPr>
              <w:t>01</w:t>
            </w:r>
          </w:p>
        </w:tc>
      </w:tr>
      <w:tr w14:paraId="4EE77E29">
        <w:tblPrEx>
          <w:tblBorders>
            <w:top w:val="single" w:color="000000" w:themeColor="text1" w:sz="12" w:space="0"/>
            <w:left w:val="none" w:color="auto" w:sz="0" w:space="0"/>
            <w:bottom w:val="single" w:color="000000" w:themeColor="text1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75" w:type="dxa"/>
          </w:tcPr>
          <w:p w14:paraId="116FAD02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AMPK alpha Antibody</w:t>
            </w:r>
          </w:p>
        </w:tc>
        <w:tc>
          <w:tcPr>
            <w:tcW w:w="3323" w:type="dxa"/>
          </w:tcPr>
          <w:p w14:paraId="044CE32C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Jiangsu Qinke Biological Research Center Co., Ltd., China</w:t>
            </w:r>
          </w:p>
        </w:tc>
        <w:tc>
          <w:tcPr>
            <w:tcW w:w="1524" w:type="dxa"/>
          </w:tcPr>
          <w:p w14:paraId="14B3C05D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Cat#:</w:t>
            </w:r>
            <w:r>
              <w:rPr>
                <w:rFonts w:ascii="Times New Roman" w:hAnsi="Times New Roman" w:cs="Times New Roman"/>
                <w:szCs w:val="21"/>
              </w:rPr>
              <w:t>AF3423</w:t>
            </w:r>
          </w:p>
        </w:tc>
      </w:tr>
      <w:tr w14:paraId="7F9ECA5A">
        <w:tblPrEx>
          <w:tblBorders>
            <w:top w:val="single" w:color="000000" w:themeColor="text1" w:sz="12" w:space="0"/>
            <w:left w:val="none" w:color="auto" w:sz="0" w:space="0"/>
            <w:bottom w:val="single" w:color="000000" w:themeColor="text1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75" w:type="dxa"/>
          </w:tcPr>
          <w:p w14:paraId="4D38BEBF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SREBP1 Antibody</w:t>
            </w:r>
          </w:p>
        </w:tc>
        <w:tc>
          <w:tcPr>
            <w:tcW w:w="3323" w:type="dxa"/>
          </w:tcPr>
          <w:p w14:paraId="14FA8AEB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Jiangsu Qinke Biological Research Center Co., Ltd., China</w:t>
            </w:r>
          </w:p>
        </w:tc>
        <w:tc>
          <w:tcPr>
            <w:tcW w:w="1524" w:type="dxa"/>
          </w:tcPr>
          <w:p w14:paraId="6AB01191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Cat#:</w:t>
            </w:r>
            <w:r>
              <w:rPr>
                <w:rFonts w:ascii="Times New Roman" w:hAnsi="Times New Roman" w:cs="Times New Roman"/>
                <w:szCs w:val="21"/>
              </w:rPr>
              <w:t>AF4728</w:t>
            </w:r>
          </w:p>
        </w:tc>
      </w:tr>
      <w:tr w14:paraId="697CF08D">
        <w:tblPrEx>
          <w:tblBorders>
            <w:top w:val="single" w:color="000000" w:themeColor="text1" w:sz="12" w:space="0"/>
            <w:left w:val="none" w:color="auto" w:sz="0" w:space="0"/>
            <w:bottom w:val="single" w:color="000000" w:themeColor="text1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75" w:type="dxa"/>
          </w:tcPr>
          <w:p w14:paraId="718141BD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FAS Antibody</w:t>
            </w:r>
          </w:p>
        </w:tc>
        <w:tc>
          <w:tcPr>
            <w:tcW w:w="3323" w:type="dxa"/>
          </w:tcPr>
          <w:p w14:paraId="06C3EA19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Jiangsu Qinke Biological Research Center Co., Ltd., China</w:t>
            </w:r>
          </w:p>
        </w:tc>
        <w:tc>
          <w:tcPr>
            <w:tcW w:w="1524" w:type="dxa"/>
          </w:tcPr>
          <w:p w14:paraId="24F86D11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Cat#:</w:t>
            </w:r>
            <w:r>
              <w:rPr>
                <w:rFonts w:ascii="Times New Roman" w:hAnsi="Times New Roman" w:cs="Times New Roman"/>
                <w:szCs w:val="21"/>
              </w:rPr>
              <w:t>AF5342</w:t>
            </w:r>
          </w:p>
        </w:tc>
      </w:tr>
      <w:tr w14:paraId="0B00F536">
        <w:tblPrEx>
          <w:tblBorders>
            <w:top w:val="single" w:color="000000" w:themeColor="text1" w:sz="12" w:space="0"/>
            <w:left w:val="none" w:color="auto" w:sz="0" w:space="0"/>
            <w:bottom w:val="single" w:color="000000" w:themeColor="text1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75" w:type="dxa"/>
          </w:tcPr>
          <w:p w14:paraId="07EE7A11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ACC Antibody</w:t>
            </w:r>
          </w:p>
        </w:tc>
        <w:tc>
          <w:tcPr>
            <w:tcW w:w="3323" w:type="dxa"/>
          </w:tcPr>
          <w:p w14:paraId="62CD831D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Jiangsu Qinke Biological Research Center Co., Ltd., China</w:t>
            </w:r>
          </w:p>
        </w:tc>
        <w:tc>
          <w:tcPr>
            <w:tcW w:w="1524" w:type="dxa"/>
          </w:tcPr>
          <w:p w14:paraId="012BDE6F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Cat#:</w:t>
            </w:r>
            <w:r>
              <w:rPr>
                <w:rFonts w:ascii="Times New Roman" w:hAnsi="Times New Roman" w:cs="Times New Roman"/>
                <w:szCs w:val="21"/>
              </w:rPr>
              <w:t>AF6421</w:t>
            </w:r>
          </w:p>
        </w:tc>
      </w:tr>
      <w:tr w14:paraId="68CD1EB7">
        <w:tblPrEx>
          <w:tblBorders>
            <w:top w:val="single" w:color="000000" w:themeColor="text1" w:sz="12" w:space="0"/>
            <w:left w:val="none" w:color="auto" w:sz="0" w:space="0"/>
            <w:bottom w:val="single" w:color="000000" w:themeColor="text1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75" w:type="dxa"/>
          </w:tcPr>
          <w:p w14:paraId="289387E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CPT1A Antibody</w:t>
            </w:r>
          </w:p>
        </w:tc>
        <w:tc>
          <w:tcPr>
            <w:tcW w:w="3323" w:type="dxa"/>
          </w:tcPr>
          <w:p w14:paraId="3ED15739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Jiangsu Qinke Biological Research Center Co., Ltd., China</w:t>
            </w:r>
          </w:p>
        </w:tc>
        <w:tc>
          <w:tcPr>
            <w:tcW w:w="1524" w:type="dxa"/>
          </w:tcPr>
          <w:p w14:paraId="000C094A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Cat#:</w:t>
            </w:r>
            <w:r>
              <w:rPr>
                <w:rFonts w:ascii="Times New Roman" w:hAnsi="Times New Roman" w:cs="Times New Roman"/>
                <w:szCs w:val="21"/>
              </w:rPr>
              <w:t>DF12004</w:t>
            </w:r>
          </w:p>
        </w:tc>
      </w:tr>
      <w:tr w14:paraId="7ADCE538">
        <w:tblPrEx>
          <w:tblBorders>
            <w:top w:val="single" w:color="000000" w:themeColor="text1" w:sz="12" w:space="0"/>
            <w:left w:val="none" w:color="auto" w:sz="0" w:space="0"/>
            <w:bottom w:val="single" w:color="000000" w:themeColor="text1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75" w:type="dxa"/>
          </w:tcPr>
          <w:p w14:paraId="6DFDCDE7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FOXO1 Antibody</w:t>
            </w:r>
          </w:p>
        </w:tc>
        <w:tc>
          <w:tcPr>
            <w:tcW w:w="3323" w:type="dxa"/>
          </w:tcPr>
          <w:p w14:paraId="3CD10969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Jiangsu Qinke Biological Research Center Co., Ltd., China</w:t>
            </w:r>
          </w:p>
        </w:tc>
        <w:tc>
          <w:tcPr>
            <w:tcW w:w="1524" w:type="dxa"/>
          </w:tcPr>
          <w:p w14:paraId="3A62C99A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Cat#:</w:t>
            </w:r>
            <w:r>
              <w:rPr>
                <w:rFonts w:ascii="Times New Roman" w:hAnsi="Times New Roman" w:cs="Times New Roman"/>
                <w:szCs w:val="21"/>
              </w:rPr>
              <w:t>AF6416</w:t>
            </w:r>
          </w:p>
        </w:tc>
      </w:tr>
      <w:tr w14:paraId="0A512177">
        <w:tblPrEx>
          <w:tblBorders>
            <w:top w:val="single" w:color="000000" w:themeColor="text1" w:sz="12" w:space="0"/>
            <w:left w:val="none" w:color="auto" w:sz="0" w:space="0"/>
            <w:bottom w:val="single" w:color="000000" w:themeColor="text1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75" w:type="dxa"/>
          </w:tcPr>
          <w:p w14:paraId="3B3C3DB5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FBXO32 Antibody(MAFbx)</w:t>
            </w:r>
          </w:p>
        </w:tc>
        <w:tc>
          <w:tcPr>
            <w:tcW w:w="3323" w:type="dxa"/>
          </w:tcPr>
          <w:p w14:paraId="11181569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Jiangsu Qinke Biological Research Center Co., Ltd., China</w:t>
            </w:r>
          </w:p>
        </w:tc>
        <w:tc>
          <w:tcPr>
            <w:tcW w:w="1524" w:type="dxa"/>
          </w:tcPr>
          <w:p w14:paraId="63FA09A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Cat#:</w:t>
            </w:r>
            <w:r>
              <w:rPr>
                <w:rFonts w:ascii="Times New Roman" w:hAnsi="Times New Roman" w:cs="Times New Roman"/>
                <w:szCs w:val="21"/>
              </w:rPr>
              <w:t>DF7075</w:t>
            </w:r>
          </w:p>
        </w:tc>
      </w:tr>
      <w:tr w14:paraId="4F8DECFE">
        <w:tblPrEx>
          <w:tblBorders>
            <w:top w:val="single" w:color="000000" w:themeColor="text1" w:sz="12" w:space="0"/>
            <w:left w:val="none" w:color="auto" w:sz="0" w:space="0"/>
            <w:bottom w:val="single" w:color="000000" w:themeColor="text1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75" w:type="dxa"/>
          </w:tcPr>
          <w:p w14:paraId="5B0CD02C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Beta-Actin</w:t>
            </w:r>
          </w:p>
        </w:tc>
        <w:tc>
          <w:tcPr>
            <w:tcW w:w="3323" w:type="dxa"/>
          </w:tcPr>
          <w:p w14:paraId="159B072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Jiangsu Qinke Biological Research Center Co., Ltd., China</w:t>
            </w:r>
          </w:p>
        </w:tc>
        <w:tc>
          <w:tcPr>
            <w:tcW w:w="1524" w:type="dxa"/>
          </w:tcPr>
          <w:p w14:paraId="776DEF9A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Cat#:</w:t>
            </w:r>
            <w:r>
              <w:rPr>
                <w:rFonts w:ascii="Times New Roman" w:hAnsi="Times New Roman" w:cs="Times New Roman"/>
                <w:szCs w:val="21"/>
              </w:rPr>
              <w:t>AF7018</w:t>
            </w:r>
          </w:p>
        </w:tc>
      </w:tr>
      <w:tr w14:paraId="614A7718">
        <w:tblPrEx>
          <w:tblBorders>
            <w:top w:val="single" w:color="000000" w:themeColor="text1" w:sz="12" w:space="0"/>
            <w:left w:val="none" w:color="auto" w:sz="0" w:space="0"/>
            <w:bottom w:val="single" w:color="000000" w:themeColor="text1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3675" w:type="dxa"/>
          </w:tcPr>
          <w:p w14:paraId="24F7BB8D">
            <w:pPr>
              <w:rPr>
                <w:rFonts w:hint="default" w:ascii="Times New Roman" w:hAnsi="Times New Roman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>Marker</w:t>
            </w:r>
          </w:p>
        </w:tc>
        <w:tc>
          <w:tcPr>
            <w:tcW w:w="3323" w:type="dxa"/>
          </w:tcPr>
          <w:p w14:paraId="2CDA469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Changsha Xinli Zhihe Technology Co., Ltd.</w:t>
            </w:r>
          </w:p>
        </w:tc>
        <w:tc>
          <w:tcPr>
            <w:tcW w:w="1524" w:type="dxa"/>
          </w:tcPr>
          <w:p w14:paraId="0F7618C9">
            <w:pPr>
              <w:rPr>
                <w:rFonts w:hint="default" w:ascii="Times New Roman" w:hAnsi="Times New Roman" w:cs="Times New Roman" w:eastAsiaTheme="minorEastAsia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Cat#:</w:t>
            </w: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>AC0551</w:t>
            </w:r>
          </w:p>
        </w:tc>
      </w:tr>
      <w:tr w14:paraId="790AC8D2">
        <w:tblPrEx>
          <w:tblBorders>
            <w:top w:val="single" w:color="000000" w:themeColor="text1" w:sz="12" w:space="0"/>
            <w:left w:val="none" w:color="auto" w:sz="0" w:space="0"/>
            <w:bottom w:val="single" w:color="000000" w:themeColor="text1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75" w:type="dxa"/>
          </w:tcPr>
          <w:p w14:paraId="3A9967D6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Horseradish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peroxidase (HRP)-conjugated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secondary antibodies</w:t>
            </w:r>
          </w:p>
        </w:tc>
        <w:tc>
          <w:tcPr>
            <w:tcW w:w="3323" w:type="dxa"/>
          </w:tcPr>
          <w:p w14:paraId="2A3162F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Jiangsu Qinke Biological Research Center Co., Ltd., China</w:t>
            </w:r>
          </w:p>
        </w:tc>
        <w:tc>
          <w:tcPr>
            <w:tcW w:w="1524" w:type="dxa"/>
          </w:tcPr>
          <w:p w14:paraId="43ADAE76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</w:rPr>
              <w:t>Cat#: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S0001</w:t>
            </w:r>
          </w:p>
        </w:tc>
      </w:tr>
      <w:tr w14:paraId="0076ED32">
        <w:tblPrEx>
          <w:tblBorders>
            <w:top w:val="single" w:color="000000" w:themeColor="text1" w:sz="12" w:space="0"/>
            <w:left w:val="none" w:color="auto" w:sz="0" w:space="0"/>
            <w:bottom w:val="single" w:color="000000" w:themeColor="text1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75" w:type="dxa"/>
          </w:tcPr>
          <w:p w14:paraId="77286E9A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bicinchoninic acid (BCA) assay</w:t>
            </w:r>
          </w:p>
        </w:tc>
        <w:tc>
          <w:tcPr>
            <w:tcW w:w="3323" w:type="dxa"/>
          </w:tcPr>
          <w:p w14:paraId="652811DD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Beyotime Biotechnology</w:t>
            </w:r>
          </w:p>
        </w:tc>
        <w:tc>
          <w:tcPr>
            <w:tcW w:w="1524" w:type="dxa"/>
          </w:tcPr>
          <w:p w14:paraId="4D42384E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Cat#:P0010S</w:t>
            </w:r>
          </w:p>
        </w:tc>
      </w:tr>
    </w:tbl>
    <w:p w14:paraId="0ED17D9A">
      <w:pPr>
        <w:rPr>
          <w:rFonts w:ascii="Times New Roman" w:hAnsi="Times New Roman" w:cs="Times New Roman"/>
          <w:sz w:val="22"/>
          <w:szCs w:val="2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BC5255E"/>
    <w:rsid w:val="000128B1"/>
    <w:rsid w:val="0001374B"/>
    <w:rsid w:val="00080BC0"/>
    <w:rsid w:val="000C2756"/>
    <w:rsid w:val="00236529"/>
    <w:rsid w:val="00264282"/>
    <w:rsid w:val="00325C29"/>
    <w:rsid w:val="00346784"/>
    <w:rsid w:val="00363EF6"/>
    <w:rsid w:val="00395B94"/>
    <w:rsid w:val="00441BCA"/>
    <w:rsid w:val="00452568"/>
    <w:rsid w:val="00536FDF"/>
    <w:rsid w:val="00656128"/>
    <w:rsid w:val="006A6D78"/>
    <w:rsid w:val="0088511F"/>
    <w:rsid w:val="008E1332"/>
    <w:rsid w:val="0098517D"/>
    <w:rsid w:val="009D71BF"/>
    <w:rsid w:val="00A31FCD"/>
    <w:rsid w:val="00B63F50"/>
    <w:rsid w:val="00C44891"/>
    <w:rsid w:val="00C54FF9"/>
    <w:rsid w:val="00D31FDF"/>
    <w:rsid w:val="00DD5310"/>
    <w:rsid w:val="00DE2A4B"/>
    <w:rsid w:val="00E24383"/>
    <w:rsid w:val="00E46405"/>
    <w:rsid w:val="00F06C57"/>
    <w:rsid w:val="00FC19B9"/>
    <w:rsid w:val="044A3E16"/>
    <w:rsid w:val="092A3A4F"/>
    <w:rsid w:val="13521EB6"/>
    <w:rsid w:val="18F20A15"/>
    <w:rsid w:val="195511EC"/>
    <w:rsid w:val="1A0D0200"/>
    <w:rsid w:val="1AF23E6D"/>
    <w:rsid w:val="21307981"/>
    <w:rsid w:val="290A2AF8"/>
    <w:rsid w:val="2DCD42C6"/>
    <w:rsid w:val="32AE4484"/>
    <w:rsid w:val="3CCA034E"/>
    <w:rsid w:val="3FFD4EDF"/>
    <w:rsid w:val="421B164C"/>
    <w:rsid w:val="44313330"/>
    <w:rsid w:val="4D424BF3"/>
    <w:rsid w:val="55062E8C"/>
    <w:rsid w:val="5B422E2E"/>
    <w:rsid w:val="5BC5255E"/>
    <w:rsid w:val="5F873B9A"/>
    <w:rsid w:val="602E327D"/>
    <w:rsid w:val="66B73A04"/>
    <w:rsid w:val="68031B72"/>
    <w:rsid w:val="728C4E60"/>
    <w:rsid w:val="762C1BC5"/>
    <w:rsid w:val="7C8415C1"/>
    <w:rsid w:val="7E5E2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字符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8">
    <w:name w:val="页脚 字符"/>
    <w:basedOn w:val="6"/>
    <w:link w:val="2"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513</Words>
  <Characters>3781</Characters>
  <Lines>58</Lines>
  <Paragraphs>22</Paragraphs>
  <TotalTime>269</TotalTime>
  <ScaleCrop>false</ScaleCrop>
  <LinksUpToDate>false</LinksUpToDate>
  <CharactersWithSpaces>4054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2026-04-13T06:23:00Z</dcterms:created>
  <dc:creator>杨小艳</dc:creator>
  <cp:lastModifiedBy>杨小艳</cp:lastModifiedBy>
  <dcterms:modified xsi:type="dcterms:W3CDTF">2026-04-19T13:42:10Z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F7732376CE31413A9650135324476132_13</vt:lpwstr>
  </property>
  <property fmtid="{D5CDD505-2E9C-101B-9397-08002B2CF9AE}" pid="4" name="KSOTemplateDocerSaveRecord">
    <vt:lpwstr>eyJoZGlkIjoiOTc1MTA2MjU3ODgzMDhkMzE0ZTU0MjU4NGU4NDljNDMiLCJ1c2VySWQiOiI1NTY2MjYxMzUifQ==</vt:lpwstr>
  </property>
  <property fmtid="{D5CDD505-2E9C-101B-9397-08002B2CF9AE}" pid="5" name="GrammarlyDocumentId">
    <vt:lpwstr>fc65766d-c9ec-4140-8aee-17e25e0e8547</vt:lpwstr>
  </property>
</Properties>
</file>