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4398D">
      <w:pPr>
        <w:keepNext w:val="0"/>
        <w:keepLines w:val="0"/>
        <w:widowControl/>
        <w:suppressLineNumbers w:val="0"/>
        <w:bidi w:val="0"/>
        <w:snapToGrid w:val="0"/>
        <w:ind w:left="0" w:leftChars="0" w:right="0" w:rightChars="0" w:firstLine="0" w:firstLineChars="0"/>
        <w:jc w:val="both"/>
        <w:textAlignment w:val="bottom"/>
        <w:rPr>
          <w:rFonts w:hint="default" w:ascii="Times New Roman" w:hAnsi="Times New Roman" w:eastAsia="宋体" w:cs="Times New Roman"/>
          <w:b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bdr w:val="none" w:color="auto" w:sz="0" w:space="0"/>
          <w:lang w:val="en-US" w:eastAsia="zh-CN" w:bidi="ar"/>
        </w:rPr>
        <w:t xml:space="preserve">Supporting 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bdr w:val="none" w:color="auto" w:sz="0" w:space="0"/>
          <w:lang w:val="en-US" w:eastAsia="zh-CN" w:bidi="ar"/>
        </w:rPr>
        <w:t>Table</w:t>
      </w: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  <w:bdr w:val="none" w:color="auto" w:sz="0" w:space="0"/>
          <w:lang w:val="en-US" w:eastAsia="zh-CN" w:bidi="ar"/>
        </w:rPr>
        <w:t xml:space="preserve"> 6</w:t>
      </w: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bdr w:val="none" w:color="auto" w:sz="0" w:space="0"/>
          <w:lang w:val="en-US" w:eastAsia="zh-CN" w:bidi="ar"/>
        </w:rPr>
        <w:t>. Quantitative Features of Proteomic Trajectories in the Pre-diagnostic Period</w:t>
      </w:r>
    </w:p>
    <w:p w14:paraId="045D99C9">
      <w:pPr>
        <w:keepNext w:val="0"/>
        <w:keepLines w:val="0"/>
        <w:widowControl/>
        <w:suppressLineNumbers w:val="0"/>
        <w:bidi w:val="0"/>
        <w:snapToGrid w:val="0"/>
        <w:ind w:left="0" w:leftChars="0" w:right="0" w:rightChars="0" w:firstLine="0" w:firstLineChars="0"/>
        <w:jc w:val="both"/>
        <w:textAlignment w:val="bottom"/>
        <w:rPr>
          <w:rFonts w:hint="default" w:ascii="Times New Roman" w:hAnsi="Times New Roman" w:eastAsia="宋体" w:cs="Times New Roman"/>
          <w:b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Times New Roman" w:hAnsi="Times New Roman" w:eastAsia="宋体" w:cs="Times New Roman"/>
          <w:b w:val="0"/>
          <w:bCs/>
          <w:kern w:val="0"/>
          <w:sz w:val="28"/>
          <w:szCs w:val="28"/>
          <w:bdr w:val="none" w:color="auto" w:sz="0" w:space="0"/>
          <w:lang w:val="en-US" w:eastAsia="zh-CN" w:bidi="ar"/>
        </w:rPr>
        <w:t>(</w:t>
      </w:r>
      <w:r>
        <w:rPr>
          <w:rFonts w:hint="default" w:ascii="Times New Roman" w:hAnsi="Times New Roman" w:eastAsia="宋体" w:cs="Times New Roman"/>
          <w:b w:val="0"/>
          <w:bCs/>
          <w:kern w:val="0"/>
          <w:sz w:val="28"/>
          <w:szCs w:val="28"/>
          <w:bdr w:val="none" w:color="auto" w:sz="0" w:space="0"/>
          <w:lang w:val="en-US" w:eastAsia="zh-CN" w:bidi="ar"/>
        </w:rPr>
        <w:t>Z-score trajectories of plasma proteins across trajectory clusters during the 15 years preceding pancreatic cancer diagnosis.</w:t>
      </w:r>
      <w:r>
        <w:rPr>
          <w:rFonts w:hint="eastAsia" w:ascii="Times New Roman" w:hAnsi="Times New Roman" w:eastAsia="宋体" w:cs="Times New Roman"/>
          <w:b w:val="0"/>
          <w:bCs/>
          <w:kern w:val="0"/>
          <w:sz w:val="28"/>
          <w:szCs w:val="28"/>
          <w:bdr w:val="none" w:color="auto" w:sz="0" w:space="0"/>
          <w:lang w:val="en-US" w:eastAsia="zh-CN" w:bidi="ar"/>
        </w:rPr>
        <w:t>)</w:t>
      </w:r>
      <w:bookmarkStart w:id="0" w:name="_GoBack"/>
      <w:bookmarkEnd w:id="0"/>
    </w:p>
    <w:tbl>
      <w:tblPr>
        <w:tblW w:w="1452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none" w:color="auto" w:sz="6" w:space="0"/>
          <w:insideV w:val="none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23"/>
        <w:gridCol w:w="1299"/>
        <w:gridCol w:w="1642"/>
        <w:gridCol w:w="1463"/>
        <w:gridCol w:w="1561"/>
        <w:gridCol w:w="1450"/>
        <w:gridCol w:w="1468"/>
        <w:gridCol w:w="1676"/>
        <w:gridCol w:w="1740"/>
      </w:tblGrid>
      <w:tr w14:paraId="74E91C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22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1473EC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Protein</w:t>
            </w:r>
          </w:p>
        </w:tc>
        <w:tc>
          <w:tcPr>
            <w:tcW w:w="129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2DB23E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Trajectory Cluster</w:t>
            </w:r>
          </w:p>
        </w:tc>
        <w:tc>
          <w:tcPr>
            <w:tcW w:w="1642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7D1892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Z-Score at Baseline</w:t>
            </w:r>
          </w:p>
        </w:tc>
        <w:tc>
          <w:tcPr>
            <w:tcW w:w="146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9221DCE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Z-Score at Diagnosis</w:t>
            </w:r>
          </w:p>
        </w:tc>
        <w:tc>
          <w:tcPr>
            <w:tcW w:w="1561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ACDEB6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Overall Change </w:t>
            </w:r>
          </w:p>
          <w:p w14:paraId="70910DB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(ΔZ)</w:t>
            </w:r>
          </w:p>
        </w:tc>
        <w:tc>
          <w:tcPr>
            <w:tcW w:w="145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2B32D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Peak Z-Score</w:t>
            </w:r>
          </w:p>
        </w:tc>
        <w:tc>
          <w:tcPr>
            <w:tcW w:w="1468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58C85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Nadir Z-Score</w:t>
            </w:r>
          </w:p>
        </w:tc>
        <w:tc>
          <w:tcPr>
            <w:tcW w:w="1676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EA655F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Time of Peak </w:t>
            </w:r>
          </w:p>
          <w:p w14:paraId="3EA7D5E4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(Years to Dx)</w:t>
            </w: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484391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Trajectory Pattern</w:t>
            </w:r>
          </w:p>
        </w:tc>
      </w:tr>
      <w:tr w14:paraId="2635638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4943BB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Cluster 1 — Stable or Fluctuating</w:t>
            </w:r>
          </w:p>
        </w:tc>
        <w:tc>
          <w:tcPr>
            <w:tcW w:w="1299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2E292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0642D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8C0D1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CF99A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B76E2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DAEAA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329D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3D82B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025C9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44D256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FSTL3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FA0D3B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81C2D6E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4586A64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2F0279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+0.49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8597CF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0.29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71104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A62BDA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7D38B2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Stable / Fluctuating</w:t>
            </w:r>
          </w:p>
        </w:tc>
      </w:tr>
      <w:tr w14:paraId="37EFAF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20A7E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EDA2R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33FED2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B508498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8BC0AF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6FFF17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+0.46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0A6F17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0.31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A0E59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-0.15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D0493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5806C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Stable / Fluctuating</w:t>
            </w:r>
          </w:p>
        </w:tc>
      </w:tr>
      <w:tr w14:paraId="31DA6B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4EDB9B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SCARB2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D9020B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DF503E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3C56AB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0.18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77AB9BC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+0.39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44208A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8B71C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017361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2.58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2E1B8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Stable / Fluctuating</w:t>
            </w:r>
          </w:p>
        </w:tc>
      </w:tr>
      <w:tr w14:paraId="122A3D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D3370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RNASE1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45D9F8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ACA5C9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6562E7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A6F9CE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6E7FC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08783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-0.11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192134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584B7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Stable / Fluctuating</w:t>
            </w:r>
          </w:p>
        </w:tc>
      </w:tr>
      <w:tr w14:paraId="6E7E96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1EA1D8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YAP1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6199E8C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F69BA4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8CE25C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0BD72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F1E6D5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0.24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4ADAD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77D8FB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2A7318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Stable / Fluctuating</w:t>
            </w:r>
          </w:p>
        </w:tc>
      </w:tr>
      <w:tr w14:paraId="7CBA18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F0F5B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HAVCR1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EEA228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B2DE51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-0.02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A244CFA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702B50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+0.34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AADBB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0.32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17EE4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-0.13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13799F8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3E378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Stable / Fluctuating</w:t>
            </w:r>
          </w:p>
        </w:tc>
      </w:tr>
      <w:tr w14:paraId="475403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05FF4A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Cluster 2 — Late Sharp Increase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5C455C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EF615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291A5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03292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2FB131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9936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AD2F48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9E1D7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5AAA6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AAABF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WFDC2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8572C54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93F884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-0.42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3711AB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F63F76A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+1.00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7C53D9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0.58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4E82E96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-0.42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B9CC5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1A085A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Late Sharp Increase</w:t>
            </w:r>
          </w:p>
        </w:tc>
      </w:tr>
      <w:tr w14:paraId="5CD7583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A2567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IGFBP4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5BB9C0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D5A4B9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42E54E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CD149E5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+0.82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C9F25C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0.52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2442C9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-0.3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C1352A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645FAA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Late Sharp Increase</w:t>
            </w:r>
          </w:p>
        </w:tc>
      </w:tr>
      <w:tr w14:paraId="1946A0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967C66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GDF15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E5B1DDC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FE8C401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3883A2B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9DD031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+0.72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F76A16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0.46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125AAD6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-0.26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D04155A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189E4E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Late Sharp Increase</w:t>
            </w:r>
          </w:p>
        </w:tc>
      </w:tr>
      <w:tr w14:paraId="249FD5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41936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Cluster 3 — Late Sharp Increase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E35888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137D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13182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B9616C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DDF2C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739F1F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08A01F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4552FF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5BA94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22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C37348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SHISA5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C5E6BB0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0ADB1419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-0.22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31359B52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D07D383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+0.92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1F15A7B7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0.7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6CC5A03F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-0.22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567724ED">
            <w:pPr>
              <w:keepNext w:val="0"/>
              <w:keepLines w:val="0"/>
              <w:widowControl/>
              <w:suppressLineNumbers w:val="0"/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/>
            <w:noWrap w:val="0"/>
            <w:tcMar>
              <w:top w:w="20" w:type="dxa"/>
              <w:left w:w="-1" w:type="dxa"/>
              <w:bottom w:w="20" w:type="dxa"/>
              <w:right w:w="-1" w:type="dxa"/>
            </w:tcMar>
            <w:vAlign w:val="center"/>
          </w:tcPr>
          <w:p w14:paraId="2FDE2C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Late Sharp Increase</w:t>
            </w:r>
          </w:p>
        </w:tc>
      </w:tr>
      <w:tr w14:paraId="1B5A9C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none" w:color="auto" w:sz="6" w:space="0"/>
            <w:insideV w:val="none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4522" w:type="dxa"/>
            <w:gridSpan w:val="9"/>
            <w:tcBorders>
              <w:top w:val="single" w:color="auto" w:sz="12" w:space="0"/>
              <w:left w:val="nil"/>
              <w:bottom w:val="nil"/>
              <w:right w:val="nil"/>
            </w:tcBorders>
            <w:shd w:val="clear"/>
            <w:noWrap w:val="0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14:paraId="28078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napToGrid w:val="0"/>
              <w:ind w:left="0" w:leftChars="0" w:right="0" w:rightChars="0" w:firstLine="0" w:firstLineChars="0"/>
              <w:jc w:val="both"/>
              <w:textAlignment w:val="bottom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Abbreviations:Dx, diagnosis; ΔZ, change in Z-score; FSTL3, Follistatin-like 3; EDA2R, Ectodysplasin A2 Receptor; SCARB2, Scavenger Receptor Class B Member 2; RNASE1, Ribonuclease A Family Member 1; YAP1, Yes-associated Protein 1; HAVCR1, Hepatitis A Virus Cellular Receptor 1; WFDC2, WAP Four-Disulfide Core Domain 2 (HE4); IGFBP4, Insulin-like Growth Factor Binding Protein 4; GDF15, Growth Differentiation Factor 15; SHISA5, Shisa Family Member 5.</w:t>
            </w:r>
          </w:p>
        </w:tc>
      </w:tr>
    </w:tbl>
    <w:p w14:paraId="0E95F2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B6956"/>
    <w:rsid w:val="57AB6956"/>
    <w:rsid w:val="65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2026-04-05T09:42:00Z</dcterms:created>
  <dc:creator>O S</dc:creator>
  <cp:lastModifiedBy>O S</cp:lastModifiedBy>
  <dcterms:modified xsi:type="dcterms:W3CDTF">2026-04-05T10:14:23Z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E7F2BFF5EC4B43E7817387D9F82938FD_11</vt:lpwstr>
  </property>
  <property fmtid="{D5CDD505-2E9C-101B-9397-08002B2CF9AE}" pid="4" name="KSOTemplateDocerSaveRecord">
    <vt:lpwstr>eyJoZGlkIjoiZWY2ZjY0MTRmMWE2ZGE5MDBiZGRkMWI4MGY0YTA3ODgiLCJ1c2VySWQiOiIzMDExODk2ODAifQ==</vt:lpwstr>
  </property>
</Properties>
</file>