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93A3" w14:textId="77777777" w:rsidR="0042718E" w:rsidRPr="00430357" w:rsidRDefault="0042718E" w:rsidP="0042718E">
      <w:pPr>
        <w:pStyle w:val="Heading1"/>
        <w:spacing w:line="360" w:lineRule="auto"/>
        <w:rPr>
          <w:rFonts w:asciiTheme="majorBidi" w:hAnsiTheme="majorBidi"/>
          <w:color w:val="auto"/>
        </w:rPr>
      </w:pPr>
      <w:r w:rsidRPr="00430357">
        <w:rPr>
          <w:rFonts w:asciiTheme="majorBidi" w:hAnsiTheme="majorBidi"/>
          <w:color w:val="auto"/>
        </w:rPr>
        <w:t>Supporting information (Appendix)</w:t>
      </w:r>
    </w:p>
    <w:p w14:paraId="3E48ADAE" w14:textId="77777777" w:rsidR="0042718E" w:rsidRPr="00430357" w:rsidRDefault="0042718E" w:rsidP="0042718E">
      <w:pPr>
        <w:rPr>
          <w:rFonts w:asciiTheme="majorBidi" w:hAnsiTheme="majorBidi" w:cstheme="majorBidi"/>
          <w:b/>
          <w:bCs/>
        </w:rPr>
      </w:pPr>
      <w:r w:rsidRPr="00430357">
        <w:rPr>
          <w:rFonts w:asciiTheme="majorBidi" w:hAnsiTheme="majorBidi" w:cstheme="majorBidi"/>
          <w:b/>
          <w:bCs/>
        </w:rPr>
        <w:t>Table S1</w:t>
      </w:r>
      <w:r w:rsidRPr="00430357">
        <w:rPr>
          <w:rFonts w:asciiTheme="majorBidi" w:hAnsiTheme="majorBidi" w:cstheme="majorBidi"/>
        </w:rPr>
        <w:t xml:space="preserve"> Parameter estimates of the multistate tuberculosis pharmacometrics (MTP) model as reported by Clewe et al. </w:t>
      </w:r>
      <w:r w:rsidRPr="00430357">
        <w:rPr>
          <w:rFonts w:asciiTheme="majorBidi" w:hAnsiTheme="majorBidi" w:cstheme="majorBidi"/>
        </w:rPr>
        <w:fldChar w:fldCharType="begin"/>
      </w:r>
      <w:r w:rsidRPr="00430357">
        <w:rPr>
          <w:rFonts w:asciiTheme="majorBidi" w:hAnsiTheme="majorBidi" w:cstheme="majorBidi"/>
        </w:rPr>
        <w:instrText xml:space="preserve"> ADDIN ZOTERO_ITEM CSL_CITATION {"citationID":"zMM5P48A","properties":{"unsorted":false,"formattedCitation":"[11]","plainCitation":"[11]","noteIndex":0},"citationItems":[{"id":139,"uris":["http://zotero.org/users/12251037/items/2LCJ9NN3"],"itemData":{"id":139,"type":"article-journal","abstract":"Objectives\nMycobacterium tuberculosis can exist in different states in vitro, which can be denoted as fast multiplying, slow multiplying and non-multiplying. Characterizing the natural growth of M. tuberculosis could provide a framework for accurate characterization of drug effects on the different bacterial states.\n\nMethods\nThe natural growth data of M. tuberculosis H37Rv used in this study consisted of viability defined as cfu versus time based on data from an in vitro hypoxia system. External validation of the natural growth model was conducted using data representing the rate of incorporation of radiolabelled methionine into proteins by the bacteria. Rifampicin time–kill curves from log-phase (0.25–16 mg/L) and stationary-phase (0.5–64 mg/L) cultures were used to assess the model's ability to describe drug effects by evaluating different linear and non-linear exposure–response relationships.\n\nResults\nThe final pharmacometric model consisted of a three-compartment differential equation system representing fast-, slow- and non-multiplying bacteria. Model predictions correlated well with the external data (R2 = 0.98). The rifampicin effects on log-phase and stationary-phase cultures were separately and simultaneously described by including the drug effect on the different bacterial states. The predicted reduction in log10 cfu after 14 days and at 0.5 mg/L was 2.2 and 0.8 in the log-phase and stationary-phase systems, respectively.\n\nConclusions\nThe model provides predictions of the change in bacterial numbers for the different bacterial states with and without drug effect and could thus be used as a framework for studying anti-tubercular drug effects in vitro.","container-title":"Journal of Antimicrobial Chemotherapy","DOI":"10.1093/jac/dkv416","ISSN":"0305-7453","issue":"4","journalAbbreviation":"J Antimicrob Chemother","page":"964-974","PMID":"26702921","PMCID":"PMC4790616","source":"PubMed Central","title":"A multistate tuberculosis pharmacometric model: a framework for studying anti-tubercular drug effects in vitro","title-short":"A multistate tuberculosis pharmacometric model","volume":"71","author":[{"family":"Clewe","given":"Oskar"},{"family":"Aulin","given":"Linda"},{"family":"Hu","given":"Yanmin"},{"family":"Coates","given":"Anthony R. M."},{"family":"Simonsson","given":"Ulrika S. H."}],"issued":{"date-parts":[["2016",4]]}}}],"schema":"https://github.com/citation-style-language/schema/raw/master/csl-citation.json"} </w:instrText>
      </w:r>
      <w:r w:rsidRPr="00430357">
        <w:rPr>
          <w:rFonts w:asciiTheme="majorBidi" w:hAnsiTheme="majorBidi" w:cstheme="majorBidi"/>
        </w:rPr>
        <w:fldChar w:fldCharType="separate"/>
      </w:r>
      <w:r w:rsidRPr="00430357">
        <w:rPr>
          <w:rFonts w:asciiTheme="majorBidi" w:hAnsiTheme="majorBidi" w:cstheme="majorBidi"/>
        </w:rPr>
        <w:t>[11]</w:t>
      </w:r>
      <w:r w:rsidRPr="00430357">
        <w:rPr>
          <w:rFonts w:asciiTheme="majorBidi" w:hAnsiTheme="majorBidi" w:cstheme="majorBidi"/>
        </w:rPr>
        <w:fldChar w:fldCharType="end"/>
      </w:r>
      <w:r w:rsidRPr="00430357">
        <w:rPr>
          <w:rFonts w:asciiTheme="majorBidi" w:hAnsiTheme="majorBidi" w:cstheme="majorBidi"/>
        </w:rPr>
        <w:t xml:space="preserve"> and used as the structural foundation for recreating simulations in mrgsolve</w:t>
      </w:r>
    </w:p>
    <w:tbl>
      <w:tblPr>
        <w:tblW w:w="0" w:type="auto"/>
        <w:jc w:val="center"/>
        <w:tblLayout w:type="fixed"/>
        <w:tblLook w:val="0420" w:firstRow="1" w:lastRow="0" w:firstColumn="0" w:lastColumn="0" w:noHBand="0" w:noVBand="1"/>
      </w:tblPr>
      <w:tblGrid>
        <w:gridCol w:w="4231"/>
        <w:gridCol w:w="1926"/>
        <w:gridCol w:w="1695"/>
        <w:gridCol w:w="1266"/>
      </w:tblGrid>
      <w:tr w:rsidR="0042718E" w:rsidRPr="00430357" w14:paraId="57FC116F" w14:textId="77777777" w:rsidTr="00D112E6">
        <w:trPr>
          <w:tblHeader/>
          <w:jc w:val="center"/>
        </w:trPr>
        <w:tc>
          <w:tcPr>
            <w:tcW w:w="423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3BC16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b/>
                <w:color w:val="000000"/>
              </w:rPr>
            </w:pPr>
            <w:r w:rsidRPr="00430357">
              <w:rPr>
                <w:rFonts w:asciiTheme="majorBidi" w:eastAsia="Arial" w:hAnsiTheme="majorBidi" w:cstheme="majorBidi"/>
                <w:b/>
                <w:color w:val="000000"/>
              </w:rPr>
              <w:t>Parameter</w:t>
            </w:r>
          </w:p>
        </w:tc>
        <w:tc>
          <w:tcPr>
            <w:tcW w:w="192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777A6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b/>
                <w:color w:val="000000"/>
              </w:rPr>
            </w:pPr>
            <w:r w:rsidRPr="00430357">
              <w:rPr>
                <w:rFonts w:asciiTheme="majorBidi" w:eastAsia="Arial" w:hAnsiTheme="majorBidi" w:cstheme="majorBidi"/>
                <w:b/>
                <w:color w:val="000000"/>
              </w:rPr>
              <w:t>Units</w:t>
            </w:r>
          </w:p>
        </w:tc>
        <w:tc>
          <w:tcPr>
            <w:tcW w:w="169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A000D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b/>
                <w:color w:val="000000"/>
              </w:rPr>
            </w:pPr>
            <w:r w:rsidRPr="00430357">
              <w:rPr>
                <w:rFonts w:asciiTheme="majorBidi" w:eastAsia="Arial" w:hAnsiTheme="majorBidi" w:cstheme="majorBidi"/>
                <w:b/>
                <w:color w:val="000000"/>
              </w:rPr>
              <w:t>Estimate</w:t>
            </w:r>
          </w:p>
        </w:tc>
        <w:tc>
          <w:tcPr>
            <w:tcW w:w="126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4DD54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b/>
                <w:color w:val="000000"/>
              </w:rPr>
            </w:pPr>
            <w:r w:rsidRPr="00430357">
              <w:rPr>
                <w:rFonts w:asciiTheme="majorBidi" w:eastAsia="Arial" w:hAnsiTheme="majorBidi" w:cstheme="majorBidi"/>
                <w:b/>
                <w:color w:val="000000"/>
              </w:rPr>
              <w:t>RSE (%)</w:t>
            </w:r>
          </w:p>
        </w:tc>
      </w:tr>
      <w:tr w:rsidR="0042718E" w:rsidRPr="00430357" w14:paraId="6A3FA570" w14:textId="77777777" w:rsidTr="00D112E6">
        <w:trPr>
          <w:jc w:val="center"/>
        </w:trPr>
        <w:tc>
          <w:tcPr>
            <w:tcW w:w="423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5A6D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k_FNᵃ</w:t>
            </w:r>
          </w:p>
        </w:tc>
        <w:tc>
          <w:tcPr>
            <w:tcW w:w="192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E65F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days⁻¹</w:t>
            </w:r>
          </w:p>
        </w:tc>
        <w:tc>
          <w:tcPr>
            <w:tcW w:w="169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98E5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0.897 × 10⁻⁶</w:t>
            </w:r>
          </w:p>
        </w:tc>
        <w:tc>
          <w:tcPr>
            <w:tcW w:w="126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5830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1.2</w:t>
            </w:r>
          </w:p>
        </w:tc>
      </w:tr>
      <w:tr w:rsidR="0042718E" w:rsidRPr="00430357" w14:paraId="2282C85F"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A9EF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k_SNᵃ</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23FE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days⁻¹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B562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0.186</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4844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4.3</w:t>
            </w:r>
          </w:p>
        </w:tc>
      </w:tr>
      <w:tr w:rsidR="0042718E" w:rsidRPr="00430357" w14:paraId="583ABA55"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DA9A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k_SFᵃ</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2F80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days⁻¹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349B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0.0145</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FCB6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3.9</w:t>
            </w:r>
          </w:p>
        </w:tc>
      </w:tr>
      <w:tr w:rsidR="0042718E" w:rsidRPr="00430357" w14:paraId="257F4369"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B242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k_NSᵃ</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6946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days⁻¹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8220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0.123 × 10⁻²</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DAAD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2.7</w:t>
            </w:r>
          </w:p>
        </w:tc>
      </w:tr>
      <w:tr w:rsidR="0042718E" w:rsidRPr="00430357" w14:paraId="6A46BD84"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9D60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k_FSLinᵃ,ᵇ</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5B8C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days⁻²</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F183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0.166 × 10⁻²</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FDE7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2.1</w:t>
            </w:r>
          </w:p>
        </w:tc>
      </w:tr>
      <w:tr w:rsidR="0042718E" w:rsidRPr="00430357" w14:paraId="08065941"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170E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S₀ᵃ</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63D9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mL⁻¹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5AF9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9770</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EC0C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2.4</w:t>
            </w:r>
          </w:p>
        </w:tc>
      </w:tr>
      <w:tr w:rsidR="0042718E" w:rsidRPr="00430357" w14:paraId="4D6F95F3"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AC69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k_Gᵃ,ᶜ</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2512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days⁻¹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EF53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0.206</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3235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1.1</w:t>
            </w:r>
          </w:p>
        </w:tc>
      </w:tr>
      <w:tr w:rsidR="0042718E" w:rsidRPr="00430357" w14:paraId="6B22288E"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860D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k_GLogᵃ</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83FF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days⁻¹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9FBF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0.192</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3C61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12.5</w:t>
            </w:r>
          </w:p>
        </w:tc>
      </w:tr>
      <w:tr w:rsidR="0042718E" w:rsidRPr="00430357" w14:paraId="5F77B760"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ABA2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F₀ᵃ</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38F9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mL⁻¹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809D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4.1</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D63B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2.9</w:t>
            </w:r>
          </w:p>
        </w:tc>
      </w:tr>
      <w:tr w:rsidR="0042718E" w:rsidRPr="00430357" w14:paraId="023BB084"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2D1C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F₀Logᵃ</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70C2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mL⁻¹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9D88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674 × 10³</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3D0B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39.2</w:t>
            </w:r>
          </w:p>
        </w:tc>
      </w:tr>
      <w:tr w:rsidR="0042718E" w:rsidRPr="00430357" w14:paraId="6A9EA2E8"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F60D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B_maxᵃ</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3DED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mL⁻¹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9E0A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242 × 10⁶</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C907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4.5</w:t>
            </w:r>
          </w:p>
        </w:tc>
      </w:tr>
      <w:tr w:rsidR="0042718E" w:rsidRPr="00430357" w14:paraId="6AC5D9BF"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C864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B_maxStationaryᵃ</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8567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mL⁻¹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AED8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1410 × 10⁶</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8028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0.8</w:t>
            </w:r>
          </w:p>
        </w:tc>
      </w:tr>
      <w:tr w:rsidR="0042718E" w:rsidRPr="00430357" w14:paraId="7F4469AE"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F530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FG_k</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0D08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L·mg⁻¹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D234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0.017</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F89C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11.1</w:t>
            </w:r>
          </w:p>
        </w:tc>
      </w:tr>
      <w:tr w:rsidR="0042718E" w:rsidRPr="00430357" w14:paraId="4F36C8BB"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73DB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FD_Emax</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8232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days⁻¹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9382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2.15</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C17B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4.5</w:t>
            </w:r>
          </w:p>
        </w:tc>
      </w:tr>
      <w:tr w:rsidR="0042718E" w:rsidRPr="00430357" w14:paraId="0B40FEB6"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F947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FD_EC50</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E52B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mg·L⁻¹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93CD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0.52</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084B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9.8</w:t>
            </w:r>
          </w:p>
        </w:tc>
      </w:tr>
      <w:tr w:rsidR="0042718E" w:rsidRPr="00430357" w14:paraId="275D2CB4"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83A7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SD_Emax</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904A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days⁻¹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592A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12.2</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7EBC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5.6</w:t>
            </w:r>
          </w:p>
        </w:tc>
      </w:tr>
      <w:tr w:rsidR="0042718E" w:rsidRPr="00430357" w14:paraId="08BD5192"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8AF1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SD_EC50</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1B39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mg·L⁻¹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35E1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13.4</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DF8C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10.4</w:t>
            </w:r>
          </w:p>
        </w:tc>
      </w:tr>
      <w:tr w:rsidR="0042718E" w:rsidRPr="00430357" w14:paraId="64AB9345"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F03E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ND_k</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5F27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L·mg⁻¹·days⁻¹</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46E0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0.236</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D69A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12.2</w:t>
            </w:r>
          </w:p>
        </w:tc>
      </w:tr>
      <w:tr w:rsidR="0042718E" w:rsidRPr="00430357" w14:paraId="7BDE016A" w14:textId="77777777" w:rsidTr="00D112E6">
        <w:trPr>
          <w:jc w:val="center"/>
        </w:trPr>
        <w:tc>
          <w:tcPr>
            <w:tcW w:w="42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DA93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ω²_Fᵃ</w:t>
            </w:r>
          </w:p>
        </w:tc>
        <w:tc>
          <w:tcPr>
            <w:tcW w:w="19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1731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w:t>
            </w:r>
          </w:p>
        </w:tc>
        <w:tc>
          <w:tcPr>
            <w:tcW w:w="169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8A6C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473.3</w:t>
            </w:r>
          </w:p>
        </w:tc>
        <w:tc>
          <w:tcPr>
            <w:tcW w:w="126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2D1F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5.9</w:t>
            </w:r>
          </w:p>
        </w:tc>
      </w:tr>
      <w:tr w:rsidR="0042718E" w:rsidRPr="00430357" w14:paraId="36AFA617" w14:textId="77777777" w:rsidTr="00D112E6">
        <w:trPr>
          <w:jc w:val="center"/>
        </w:trPr>
        <w:tc>
          <w:tcPr>
            <w:tcW w:w="423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E9360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Proportional residual error</w:t>
            </w:r>
          </w:p>
        </w:tc>
        <w:tc>
          <w:tcPr>
            <w:tcW w:w="192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CB2BA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w:t>
            </w:r>
          </w:p>
        </w:tc>
        <w:tc>
          <w:tcPr>
            <w:tcW w:w="169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55549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63.8</w:t>
            </w:r>
          </w:p>
        </w:tc>
        <w:tc>
          <w:tcPr>
            <w:tcW w:w="126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9C13C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7.8</w:t>
            </w:r>
          </w:p>
        </w:tc>
      </w:tr>
    </w:tbl>
    <w:p w14:paraId="0B83904F" w14:textId="77777777" w:rsidR="0042718E" w:rsidRPr="00430357" w:rsidRDefault="0042718E" w:rsidP="0042718E">
      <w:pPr>
        <w:rPr>
          <w:rFonts w:asciiTheme="majorBidi" w:hAnsiTheme="majorBidi" w:cstheme="majorBidi"/>
        </w:rPr>
      </w:pPr>
      <w:r w:rsidRPr="00430357">
        <w:rPr>
          <w:rFonts w:asciiTheme="majorBidi" w:hAnsiTheme="majorBidi" w:cstheme="majorBidi"/>
        </w:rPr>
        <w:t>Estimates are shown with corresponding relative standard errors (RSE). Units are expressed using SI conventions.</w:t>
      </w:r>
    </w:p>
    <w:p w14:paraId="5143D2E8" w14:textId="77777777" w:rsidR="0042718E" w:rsidRPr="00430357" w:rsidRDefault="0042718E" w:rsidP="0042718E">
      <w:pPr>
        <w:rPr>
          <w:rFonts w:asciiTheme="majorBidi" w:hAnsiTheme="majorBidi" w:cstheme="majorBidi"/>
        </w:rPr>
      </w:pPr>
    </w:p>
    <w:p w14:paraId="31FEEE91" w14:textId="77777777" w:rsidR="0042718E" w:rsidRPr="00430357" w:rsidRDefault="0042718E" w:rsidP="0042718E">
      <w:pPr>
        <w:rPr>
          <w:rFonts w:asciiTheme="majorBidi" w:hAnsiTheme="majorBidi" w:cstheme="majorBidi"/>
        </w:rPr>
      </w:pPr>
    </w:p>
    <w:p w14:paraId="1C12F3D0" w14:textId="77777777" w:rsidR="0042718E" w:rsidRPr="00430357" w:rsidRDefault="0042718E" w:rsidP="0042718E">
      <w:pPr>
        <w:rPr>
          <w:rFonts w:asciiTheme="majorBidi" w:hAnsiTheme="majorBidi" w:cstheme="majorBidi"/>
        </w:rPr>
      </w:pPr>
    </w:p>
    <w:p w14:paraId="1E2042D0" w14:textId="77777777" w:rsidR="0042718E" w:rsidRPr="00430357" w:rsidRDefault="0042718E" w:rsidP="0042718E">
      <w:pPr>
        <w:rPr>
          <w:rFonts w:asciiTheme="majorBidi" w:hAnsiTheme="majorBidi" w:cstheme="majorBidi"/>
        </w:rPr>
      </w:pPr>
    </w:p>
    <w:p w14:paraId="56AFEDA4" w14:textId="77777777" w:rsidR="0042718E" w:rsidRPr="00430357" w:rsidRDefault="0042718E" w:rsidP="0042718E">
      <w:pPr>
        <w:rPr>
          <w:rFonts w:asciiTheme="majorBidi" w:hAnsiTheme="majorBidi" w:cstheme="majorBidi"/>
        </w:rPr>
      </w:pPr>
    </w:p>
    <w:p w14:paraId="363CA2BE" w14:textId="77777777" w:rsidR="0042718E" w:rsidRPr="00430357" w:rsidRDefault="0042718E" w:rsidP="0042718E">
      <w:pPr>
        <w:rPr>
          <w:rFonts w:asciiTheme="majorBidi" w:hAnsiTheme="majorBidi" w:cstheme="majorBidi"/>
        </w:rPr>
      </w:pPr>
      <w:r w:rsidRPr="00430357">
        <w:rPr>
          <w:rFonts w:asciiTheme="majorBidi" w:hAnsiTheme="majorBidi" w:cstheme="majorBidi"/>
          <w:b/>
          <w:bCs/>
        </w:rPr>
        <w:t xml:space="preserve">Table S2 </w:t>
      </w:r>
      <w:r w:rsidRPr="00430357">
        <w:rPr>
          <w:rFonts w:asciiTheme="majorBidi" w:hAnsiTheme="majorBidi" w:cstheme="majorBidi"/>
        </w:rPr>
        <w:t>PBPK final inputs used for the compound model (physicochemical data, calculation methods, enzyme/transporter kinetics, and DDI parameters)</w:t>
      </w:r>
    </w:p>
    <w:tbl>
      <w:tblPr>
        <w:tblW w:w="9638" w:type="dxa"/>
        <w:jc w:val="center"/>
        <w:tblLayout w:type="fixed"/>
        <w:tblLook w:val="0420" w:firstRow="1" w:lastRow="0" w:firstColumn="0" w:lastColumn="0" w:noHBand="0" w:noVBand="1"/>
      </w:tblPr>
      <w:tblGrid>
        <w:gridCol w:w="1559"/>
        <w:gridCol w:w="1367"/>
        <w:gridCol w:w="1559"/>
        <w:gridCol w:w="5153"/>
      </w:tblGrid>
      <w:tr w:rsidR="0042718E" w:rsidRPr="00430357" w14:paraId="74D3C4B2" w14:textId="77777777" w:rsidTr="00D112E6">
        <w:trPr>
          <w:tblHeader/>
          <w:jc w:val="center"/>
        </w:trPr>
        <w:tc>
          <w:tcPr>
            <w:tcW w:w="155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4F3C17A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b/>
                <w:color w:val="000000"/>
              </w:rPr>
            </w:pPr>
            <w:r w:rsidRPr="00430357">
              <w:rPr>
                <w:rFonts w:asciiTheme="majorBidi" w:eastAsia="Arial" w:hAnsiTheme="majorBidi" w:cstheme="majorBidi"/>
                <w:b/>
                <w:color w:val="000000"/>
              </w:rPr>
              <w:t>Section</w:t>
            </w:r>
          </w:p>
        </w:tc>
        <w:tc>
          <w:tcPr>
            <w:tcW w:w="136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4F64708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b/>
                <w:color w:val="000000"/>
              </w:rPr>
            </w:pPr>
            <w:r w:rsidRPr="00430357">
              <w:rPr>
                <w:rFonts w:asciiTheme="majorBidi" w:eastAsia="Arial" w:hAnsiTheme="majorBidi" w:cstheme="majorBidi"/>
                <w:b/>
                <w:color w:val="000000"/>
              </w:rPr>
              <w:t>Target</w:t>
            </w:r>
          </w:p>
        </w:tc>
        <w:tc>
          <w:tcPr>
            <w:tcW w:w="155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5B3EE05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b/>
                <w:color w:val="000000"/>
              </w:rPr>
            </w:pPr>
            <w:r w:rsidRPr="00430357">
              <w:rPr>
                <w:rFonts w:asciiTheme="majorBidi" w:eastAsia="Arial" w:hAnsiTheme="majorBidi" w:cstheme="majorBidi"/>
                <w:b/>
                <w:color w:val="000000"/>
              </w:rPr>
              <w:t>Parameter</w:t>
            </w:r>
          </w:p>
        </w:tc>
        <w:tc>
          <w:tcPr>
            <w:tcW w:w="515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16311A8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b/>
                <w:color w:val="000000"/>
              </w:rPr>
            </w:pPr>
            <w:r w:rsidRPr="00430357">
              <w:rPr>
                <w:rFonts w:asciiTheme="majorBidi" w:eastAsia="Arial" w:hAnsiTheme="majorBidi" w:cstheme="majorBidi"/>
                <w:b/>
                <w:color w:val="000000"/>
              </w:rPr>
              <w:t>Value</w:t>
            </w:r>
          </w:p>
        </w:tc>
      </w:tr>
      <w:tr w:rsidR="0042718E" w:rsidRPr="00430357" w14:paraId="2EFA2424" w14:textId="77777777" w:rsidTr="00D112E6">
        <w:trPr>
          <w:jc w:val="center"/>
        </w:trPr>
        <w:tc>
          <w:tcPr>
            <w:tcW w:w="1559" w:type="dxa"/>
            <w:vMerge w:val="restart"/>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2DD31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Compound parameters</w:t>
            </w:r>
          </w:p>
        </w:tc>
        <w:tc>
          <w:tcPr>
            <w:tcW w:w="136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078E3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E6C53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Solubility at reference pH</w:t>
            </w:r>
          </w:p>
        </w:tc>
        <w:tc>
          <w:tcPr>
            <w:tcW w:w="515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29B46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2800 mg/L</w:t>
            </w:r>
          </w:p>
        </w:tc>
      </w:tr>
      <w:tr w:rsidR="0042718E" w:rsidRPr="00430357" w14:paraId="6C848C51"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493B5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755BC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4EDAD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Reference pH</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2DC25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7.5</w:t>
            </w:r>
          </w:p>
        </w:tc>
      </w:tr>
      <w:tr w:rsidR="0042718E" w:rsidRPr="00430357" w14:paraId="6B580FDE"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07F90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E9A09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C398C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Lipophilicity</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C8D9C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2.5 log units</w:t>
            </w:r>
          </w:p>
        </w:tc>
      </w:tr>
      <w:tr w:rsidR="0042718E" w:rsidRPr="00430357" w14:paraId="2B93AA75"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65B0A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37045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AF036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Fraction unbound (plasma, reference value)</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22794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17 %</w:t>
            </w:r>
          </w:p>
        </w:tc>
      </w:tr>
      <w:tr w:rsidR="0042718E" w:rsidRPr="00430357" w14:paraId="3AC0C248"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FF022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03509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386FD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Specific intestinal permeability (transcellular)</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26D4D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1.24E-05 cm/min</w:t>
            </w:r>
          </w:p>
        </w:tc>
      </w:tr>
      <w:tr w:rsidR="0042718E" w:rsidRPr="00430357" w14:paraId="248B1ADC"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EA0D2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06CE6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294BB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Is small molecule</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498BF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Yes</w:t>
            </w:r>
          </w:p>
        </w:tc>
      </w:tr>
      <w:tr w:rsidR="0042718E" w:rsidRPr="00430357" w14:paraId="0144AB39"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92302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4D436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1F58A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Molecular weight</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97D14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822.94 g/mol</w:t>
            </w:r>
          </w:p>
        </w:tc>
      </w:tr>
      <w:tr w:rsidR="0042718E" w:rsidRPr="00430357" w14:paraId="1488379C"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696B0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3C6DD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4DFB0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Plasma protein binding partner</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A3873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Albumin</w:t>
            </w:r>
          </w:p>
        </w:tc>
      </w:tr>
      <w:tr w:rsidR="0042718E" w:rsidRPr="00430357" w14:paraId="4C5ED9E3" w14:textId="77777777" w:rsidTr="00D112E6">
        <w:trPr>
          <w:jc w:val="center"/>
        </w:trPr>
        <w:tc>
          <w:tcPr>
            <w:tcW w:w="1559"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CA063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Calculation methods</w:t>
            </w: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5DE5D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4846B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Partition coefficients</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CDEF3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Rodgers and Rowland</w:t>
            </w:r>
          </w:p>
        </w:tc>
      </w:tr>
      <w:tr w:rsidR="0042718E" w:rsidRPr="00430357" w14:paraId="3668EA9B"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D9A93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3C7A7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3313F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Cellular permeabilities</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91409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PK-Sim Standard</w:t>
            </w:r>
          </w:p>
        </w:tc>
      </w:tr>
      <w:tr w:rsidR="0042718E" w:rsidRPr="00430357" w14:paraId="01F4FA36" w14:textId="77777777" w:rsidTr="00D112E6">
        <w:trPr>
          <w:jc w:val="center"/>
        </w:trPr>
        <w:tc>
          <w:tcPr>
            <w:tcW w:w="1559"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FD03C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Enzyme kinetics (AADAC)</w:t>
            </w: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87412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AADAC</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DBA79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Enzyme concentration</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B8788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 µmol/L</w:t>
            </w:r>
          </w:p>
        </w:tc>
      </w:tr>
      <w:tr w:rsidR="0042718E" w:rsidRPr="00430357" w14:paraId="5A238DFB"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2FA64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0C037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AADAC</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EE944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Vmax</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BB0E6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6.5 µmol/min</w:t>
            </w:r>
          </w:p>
        </w:tc>
      </w:tr>
      <w:tr w:rsidR="0042718E" w:rsidRPr="00430357" w14:paraId="2428A76B"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0AC1D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BBC91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AADAC</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1DA19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Km</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CBEBF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195.1 µmol/L</w:t>
            </w:r>
          </w:p>
        </w:tc>
      </w:tr>
      <w:tr w:rsidR="0042718E" w:rsidRPr="00430357" w14:paraId="69F3F0C0"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AB864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4BBD9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AADAC</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B53B9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kcat</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BC2C1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9.865 1/min</w:t>
            </w:r>
          </w:p>
        </w:tc>
      </w:tr>
      <w:tr w:rsidR="0042718E" w:rsidRPr="00430357" w14:paraId="1358837B" w14:textId="77777777" w:rsidTr="00D112E6">
        <w:trPr>
          <w:jc w:val="center"/>
        </w:trPr>
        <w:tc>
          <w:tcPr>
            <w:tcW w:w="1559"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67EEC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Transporter kinetics (P-gp)</w:t>
            </w: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3F6FB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P-gp</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AE17F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Transporter concentration</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D995E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60 nmol/L</w:t>
            </w:r>
          </w:p>
        </w:tc>
      </w:tr>
      <w:tr w:rsidR="0042718E" w:rsidRPr="00430357" w14:paraId="0F7DCD6E"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B8C0E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CC553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P-gp</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EF461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Vmax</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6122B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2.87 µmol/min</w:t>
            </w:r>
          </w:p>
        </w:tc>
      </w:tr>
      <w:tr w:rsidR="0042718E" w:rsidRPr="00430357" w14:paraId="009AEE9A"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3EAD9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96F97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P-gp</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EC074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Km</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DFA3C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55 µmol/L</w:t>
            </w:r>
          </w:p>
        </w:tc>
      </w:tr>
      <w:tr w:rsidR="0042718E" w:rsidRPr="00430357" w14:paraId="5BDC7970"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C02D3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9445D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P-gp</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4835C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kcat</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42EF2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0.6088 1/min</w:t>
            </w:r>
          </w:p>
        </w:tc>
      </w:tr>
      <w:tr w:rsidR="0042718E" w:rsidRPr="00430357" w14:paraId="160244F6" w14:textId="77777777" w:rsidTr="00D112E6">
        <w:trPr>
          <w:jc w:val="center"/>
        </w:trPr>
        <w:tc>
          <w:tcPr>
            <w:tcW w:w="1559"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2B9D3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Transporter kinetics (OATP1B1)</w:t>
            </w: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3B5DE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OATP1B1</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8DA08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Transporter concentration</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5578A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109.6 µmol/L</w:t>
            </w:r>
          </w:p>
        </w:tc>
      </w:tr>
      <w:tr w:rsidR="0042718E" w:rsidRPr="00430357" w14:paraId="53F3979D"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1C3DD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7E902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OATP1B1</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6D9AB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Vmax</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D510D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0.372 µmol/min</w:t>
            </w:r>
          </w:p>
        </w:tc>
      </w:tr>
      <w:tr w:rsidR="0042718E" w:rsidRPr="00430357" w14:paraId="284A96DB"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0C52E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D44A5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OATP1B1</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34EC2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Km</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55953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1.5 µmol/L</w:t>
            </w:r>
          </w:p>
        </w:tc>
      </w:tr>
      <w:tr w:rsidR="0042718E" w:rsidRPr="00430357" w14:paraId="7E5EF553"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8A1FA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ED678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OATP1B1</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AA0E7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kcat</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F9FCA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5.21004653 1/min</w:t>
            </w:r>
          </w:p>
        </w:tc>
      </w:tr>
      <w:tr w:rsidR="0042718E" w:rsidRPr="00430357" w14:paraId="5E3B1C84" w14:textId="77777777" w:rsidTr="00D112E6">
        <w:trPr>
          <w:jc w:val="center"/>
        </w:trPr>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F65CC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Renal clearance (GFR)</w:t>
            </w: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51054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44FC6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GFR fraction</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93629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w:t>
            </w:r>
          </w:p>
        </w:tc>
      </w:tr>
      <w:tr w:rsidR="0042718E" w:rsidRPr="00430357" w14:paraId="49CE0F5F" w14:textId="77777777" w:rsidTr="00D112E6">
        <w:trPr>
          <w:jc w:val="center"/>
        </w:trPr>
        <w:tc>
          <w:tcPr>
            <w:tcW w:w="1559"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C1DAF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DDI (Inhibition)</w:t>
            </w: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FA9FA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Inhibition CYP2C8</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CBCD0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Ki</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84FC4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30.2 µmol/L</w:t>
            </w:r>
          </w:p>
        </w:tc>
      </w:tr>
      <w:tr w:rsidR="0042718E" w:rsidRPr="00430357" w14:paraId="56BDB8AE"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308D7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B02C4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Inhibition CYP2C9</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9E968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Ki</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0180F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150µmol/L</w:t>
            </w:r>
          </w:p>
        </w:tc>
      </w:tr>
      <w:tr w:rsidR="0042718E" w:rsidRPr="00430357" w14:paraId="4C5C9B66"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62DE7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FCC98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Inhibition CYP3A4</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CD160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Ki</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D2719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18.5 µmol/L</w:t>
            </w:r>
          </w:p>
        </w:tc>
      </w:tr>
      <w:tr w:rsidR="0042718E" w:rsidRPr="00430357" w14:paraId="50B70930"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C2875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CE4AE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Inhibition BCRP</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1B576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Ki</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F4F71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14µmol/L</w:t>
            </w:r>
          </w:p>
        </w:tc>
      </w:tr>
      <w:tr w:rsidR="0042718E" w:rsidRPr="00430357" w14:paraId="1171487C"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E8514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81EF4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Inhibition OATP1B1</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C42C6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Ki</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E8A0E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0.29µmol/L</w:t>
            </w:r>
          </w:p>
        </w:tc>
      </w:tr>
      <w:tr w:rsidR="0042718E" w:rsidRPr="00430357" w14:paraId="203368AB"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F687F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CB4DE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Inhibition OATP1B3</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774BD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Ki</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A62DA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0.5µmol/L</w:t>
            </w:r>
          </w:p>
        </w:tc>
      </w:tr>
      <w:tr w:rsidR="0042718E" w:rsidRPr="00430357" w14:paraId="54EE8F2B"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4336A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943F9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Inhibition OATP2B1</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577F9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Ki</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C746A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78.2 µmol/L</w:t>
            </w:r>
          </w:p>
        </w:tc>
      </w:tr>
      <w:tr w:rsidR="0042718E" w:rsidRPr="00430357" w14:paraId="633DD5DD"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F7534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43399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Inhibition    P-gp</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052B6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Ki</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5FB8B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9.1µmol/L</w:t>
            </w:r>
          </w:p>
        </w:tc>
      </w:tr>
      <w:tr w:rsidR="0042718E" w:rsidRPr="00430357" w14:paraId="02BEC8E6" w14:textId="77777777" w:rsidTr="00D112E6">
        <w:trPr>
          <w:jc w:val="center"/>
        </w:trPr>
        <w:tc>
          <w:tcPr>
            <w:tcW w:w="1559" w:type="dxa"/>
            <w:vMerge w:val="restart"/>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56425E8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lastRenderedPageBreak/>
              <w:t>DDI (Induction)</w:t>
            </w: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30E8F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CYP1A2</w:t>
            </w:r>
          </w:p>
          <w:p w14:paraId="2E66EF2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F087D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EC50</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97846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0.34µmol/L</w:t>
            </w:r>
          </w:p>
        </w:tc>
      </w:tr>
      <w:tr w:rsidR="0042718E" w:rsidRPr="00430357" w14:paraId="369BA7BB" w14:textId="77777777" w:rsidTr="00D112E6">
        <w:trPr>
          <w:jc w:val="center"/>
        </w:trPr>
        <w:tc>
          <w:tcPr>
            <w:tcW w:w="1559" w:type="dxa"/>
            <w:vMerge/>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2DC77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4AFF7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CYP1A2</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388A1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Emax</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15B3B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0.65</w:t>
            </w:r>
          </w:p>
        </w:tc>
      </w:tr>
      <w:tr w:rsidR="0042718E" w:rsidRPr="00430357" w14:paraId="11C62AB0"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7E724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F2A9E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CYP2C8</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6C6E1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EC50</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C82F2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0.34µmol/L</w:t>
            </w:r>
          </w:p>
        </w:tc>
      </w:tr>
      <w:tr w:rsidR="0042718E" w:rsidRPr="00430357" w14:paraId="1A1A4BAE"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605FE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4C031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CYP2C8</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1EC7F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Emax</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E952C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3.2</w:t>
            </w:r>
          </w:p>
        </w:tc>
      </w:tr>
      <w:tr w:rsidR="0042718E" w:rsidRPr="00430357" w14:paraId="17868FBB"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D6177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4E43F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CYP2E1</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91FC3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EC50</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85F7F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0.34µmol/L</w:t>
            </w:r>
          </w:p>
        </w:tc>
      </w:tr>
      <w:tr w:rsidR="0042718E" w:rsidRPr="00430357" w14:paraId="69BC6CBA"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44BA0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A2324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CYP2E1</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6FB86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Emax</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02A68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0.8</w:t>
            </w:r>
          </w:p>
        </w:tc>
      </w:tr>
      <w:tr w:rsidR="0042718E" w:rsidRPr="00430357" w14:paraId="40856B6F"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A3FEF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7A7E4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CYP3A4</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4AB37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EC50</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D3E85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0.34µmol/L</w:t>
            </w:r>
          </w:p>
        </w:tc>
      </w:tr>
      <w:tr w:rsidR="0042718E" w:rsidRPr="00430357" w14:paraId="632C17A4"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7757A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6A120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CYP3A4</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41B1F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Emax</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5619E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9</w:t>
            </w:r>
          </w:p>
        </w:tc>
      </w:tr>
      <w:tr w:rsidR="0042718E" w:rsidRPr="00430357" w14:paraId="4A7A3DD7"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93EA4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8FC81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AADAC</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FBDE7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EC50</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92595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0.34µmol/L</w:t>
            </w:r>
          </w:p>
        </w:tc>
      </w:tr>
      <w:tr w:rsidR="0042718E" w:rsidRPr="00430357" w14:paraId="3E34BFCF"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A335C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52D08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AADAC</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15F46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Emax</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4ED45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0.985</w:t>
            </w:r>
          </w:p>
        </w:tc>
      </w:tr>
      <w:tr w:rsidR="0042718E" w:rsidRPr="00430357" w14:paraId="01BB5EC7"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AF36A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D05EF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OATP1B1</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D7E95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EC50</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1FB6F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0.34µmol/L</w:t>
            </w:r>
          </w:p>
        </w:tc>
      </w:tr>
      <w:tr w:rsidR="0042718E" w:rsidRPr="00430357" w14:paraId="78FCA679"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2FB67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7883C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OATP1B1</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6318E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Emax</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BF67C3"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0.383</w:t>
            </w:r>
          </w:p>
        </w:tc>
      </w:tr>
      <w:tr w:rsidR="0042718E" w:rsidRPr="00430357" w14:paraId="69CA2188" w14:textId="77777777" w:rsidTr="00D112E6">
        <w:trPr>
          <w:jc w:val="center"/>
        </w:trPr>
        <w:tc>
          <w:tcPr>
            <w:tcW w:w="1559"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8B778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7459F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P-gp</w:t>
            </w:r>
          </w:p>
        </w:tc>
        <w:tc>
          <w:tcPr>
            <w:tcW w:w="155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AC4B3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EC50</w:t>
            </w:r>
          </w:p>
        </w:tc>
        <w:tc>
          <w:tcPr>
            <w:tcW w:w="515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CE922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0.34µmol/L</w:t>
            </w:r>
          </w:p>
        </w:tc>
      </w:tr>
      <w:tr w:rsidR="0042718E" w:rsidRPr="00430357" w14:paraId="73D09D15" w14:textId="77777777" w:rsidTr="00D112E6">
        <w:trPr>
          <w:jc w:val="center"/>
        </w:trPr>
        <w:tc>
          <w:tcPr>
            <w:tcW w:w="1559" w:type="dxa"/>
            <w:vMerge/>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0A755B2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p>
        </w:tc>
        <w:tc>
          <w:tcPr>
            <w:tcW w:w="136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53371E4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Induction P-gp</w:t>
            </w:r>
          </w:p>
        </w:tc>
        <w:tc>
          <w:tcPr>
            <w:tcW w:w="155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0491FA6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Emax</w:t>
            </w:r>
          </w:p>
        </w:tc>
        <w:tc>
          <w:tcPr>
            <w:tcW w:w="515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tcPr>
          <w:p w14:paraId="6F3F8B5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jc w:val="center"/>
              <w:rPr>
                <w:rFonts w:asciiTheme="majorBidi" w:eastAsia="Arial" w:hAnsiTheme="majorBidi" w:cstheme="majorBidi"/>
                <w:color w:val="000000"/>
              </w:rPr>
            </w:pPr>
            <w:r w:rsidRPr="00430357">
              <w:rPr>
                <w:rFonts w:asciiTheme="majorBidi" w:eastAsia="Arial" w:hAnsiTheme="majorBidi" w:cstheme="majorBidi"/>
                <w:color w:val="000000"/>
              </w:rPr>
              <w:t>2.5</w:t>
            </w:r>
          </w:p>
        </w:tc>
      </w:tr>
    </w:tbl>
    <w:p w14:paraId="252715CF" w14:textId="77777777" w:rsidR="0042718E" w:rsidRPr="00430357" w:rsidRDefault="0042718E" w:rsidP="0042718E">
      <w:pPr>
        <w:rPr>
          <w:rFonts w:asciiTheme="majorBidi" w:hAnsiTheme="majorBidi" w:cstheme="majorBidi"/>
        </w:rPr>
      </w:pPr>
    </w:p>
    <w:p w14:paraId="677C5E52" w14:textId="77777777" w:rsidR="0042718E" w:rsidRPr="00430357" w:rsidRDefault="0042718E" w:rsidP="0042718E">
      <w:pPr>
        <w:spacing w:line="360" w:lineRule="auto"/>
        <w:rPr>
          <w:rFonts w:asciiTheme="majorBidi" w:hAnsiTheme="majorBidi" w:cstheme="majorBidi"/>
          <w:b/>
          <w:bCs/>
        </w:rPr>
      </w:pPr>
    </w:p>
    <w:p w14:paraId="293B4B81" w14:textId="77777777" w:rsidR="0042718E" w:rsidRPr="00430357" w:rsidRDefault="0042718E" w:rsidP="0042718E">
      <w:pPr>
        <w:spacing w:line="360" w:lineRule="auto"/>
        <w:rPr>
          <w:rFonts w:asciiTheme="majorBidi" w:hAnsiTheme="majorBidi" w:cstheme="majorBidi"/>
        </w:rPr>
      </w:pPr>
    </w:p>
    <w:p w14:paraId="62CC53ED" w14:textId="77777777" w:rsidR="0042718E" w:rsidRPr="00430357" w:rsidRDefault="0042718E" w:rsidP="0042718E">
      <w:pPr>
        <w:spacing w:line="360" w:lineRule="auto"/>
        <w:rPr>
          <w:rFonts w:asciiTheme="majorBidi" w:hAnsiTheme="majorBidi" w:cstheme="majorBidi"/>
        </w:rPr>
      </w:pPr>
    </w:p>
    <w:p w14:paraId="53BC908D" w14:textId="77777777" w:rsidR="0042718E" w:rsidRPr="00430357" w:rsidRDefault="0042718E" w:rsidP="0042718E">
      <w:pPr>
        <w:spacing w:line="360" w:lineRule="auto"/>
        <w:rPr>
          <w:rFonts w:asciiTheme="majorBidi" w:hAnsiTheme="majorBidi" w:cstheme="majorBidi"/>
        </w:rPr>
      </w:pPr>
    </w:p>
    <w:p w14:paraId="040248D1" w14:textId="77777777" w:rsidR="0042718E" w:rsidRPr="00430357" w:rsidRDefault="0042718E" w:rsidP="0042718E">
      <w:pPr>
        <w:spacing w:line="360" w:lineRule="auto"/>
        <w:rPr>
          <w:rFonts w:asciiTheme="majorBidi" w:hAnsiTheme="majorBidi" w:cstheme="majorBidi"/>
        </w:rPr>
      </w:pPr>
    </w:p>
    <w:p w14:paraId="66B03A5D" w14:textId="77777777" w:rsidR="0042718E" w:rsidRPr="00430357" w:rsidRDefault="0042718E" w:rsidP="0042718E">
      <w:pPr>
        <w:pStyle w:val="Heading2"/>
        <w:spacing w:line="360" w:lineRule="auto"/>
        <w:rPr>
          <w:rFonts w:asciiTheme="majorBidi" w:hAnsiTheme="majorBidi"/>
          <w:color w:val="auto"/>
        </w:rPr>
      </w:pPr>
      <w:r w:rsidRPr="00430357">
        <w:rPr>
          <w:rFonts w:asciiTheme="majorBidi" w:hAnsiTheme="majorBidi"/>
          <w:color w:val="auto"/>
        </w:rPr>
        <w:t>MTP Model Implementation and Verification</w:t>
      </w:r>
    </w:p>
    <w:p w14:paraId="11BBE3B8"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rPr>
        <w:t xml:space="preserve">The MTP model was originally implemented in NONMEM </w:t>
      </w:r>
      <w:r w:rsidRPr="00430357">
        <w:rPr>
          <w:rFonts w:asciiTheme="majorBidi" w:hAnsiTheme="majorBidi" w:cstheme="majorBidi"/>
        </w:rPr>
        <w:fldChar w:fldCharType="begin"/>
      </w:r>
      <w:r w:rsidRPr="00430357">
        <w:rPr>
          <w:rFonts w:asciiTheme="majorBidi" w:hAnsiTheme="majorBidi" w:cstheme="majorBidi"/>
        </w:rPr>
        <w:instrText xml:space="preserve"> ADDIN ZOTERO_ITEM CSL_CITATION {"citationID":"k0YqBOGC","properties":{"unsorted":false,"formattedCitation":"[11]","plainCitation":"[11]","noteIndex":0},"citationItems":[{"id":139,"uris":["http://zotero.org/users/12251037/items/2LCJ9NN3"],"itemData":{"id":139,"type":"article-journal","abstract":"Objectives\nMycobacterium tuberculosis can exist in different states in vitro, which can be denoted as fast multiplying, slow multiplying and non-multiplying. Characterizing the natural growth of M. tuberculosis could provide a framework for accurate characterization of drug effects on the different bacterial states.\n\nMethods\nThe natural growth data of M. tuberculosis H37Rv used in this study consisted of viability defined as cfu versus time based on data from an in vitro hypoxia system. External validation of the natural growth model was conducted using data representing the rate of incorporation of radiolabelled methionine into proteins by the bacteria. Rifampicin time–kill curves from log-phase (0.25–16 mg/L) and stationary-phase (0.5–64 mg/L) cultures were used to assess the model's ability to describe drug effects by evaluating different linear and non-linear exposure–response relationships.\n\nResults\nThe final pharmacometric model consisted of a three-compartment differential equation system representing fast-, slow- and non-multiplying bacteria. Model predictions correlated well with the external data (R2 = 0.98). The rifampicin effects on log-phase and stationary-phase cultures were separately and simultaneously described by including the drug effect on the different bacterial states. The predicted reduction in log10 cfu after 14 days and at 0.5 mg/L was 2.2 and 0.8 in the log-phase and stationary-phase systems, respectively.\n\nConclusions\nThe model provides predictions of the change in bacterial numbers for the different bacterial states with and without drug effect and could thus be used as a framework for studying anti-tubercular drug effects in vitro.","container-title":"Journal of Antimicrobial Chemotherapy","DOI":"10.1093/jac/dkv416","ISSN":"0305-7453","issue":"4","journalAbbreviation":"J Antimicrob Chemother","page":"964-974","PMID":"26702921","PMCID":"PMC4790616","source":"PubMed Central","title":"A multistate tuberculosis pharmacometric model: a framework for studying anti-tubercular drug effects in vitro","title-short":"A multistate tuberculosis pharmacometric model","volume":"71","author":[{"family":"Clewe","given":"Oskar"},{"family":"Aulin","given":"Linda"},{"family":"Hu","given":"Yanmin"},{"family":"Coates","given":"Anthony R. M."},{"family":"Simonsson","given":"Ulrika S. H."}],"issued":{"date-parts":[["2016",4]]}}}],"schema":"https://github.com/citation-style-language/schema/raw/master/csl-citation.json"} </w:instrText>
      </w:r>
      <w:r w:rsidRPr="00430357">
        <w:rPr>
          <w:rFonts w:asciiTheme="majorBidi" w:hAnsiTheme="majorBidi" w:cstheme="majorBidi"/>
        </w:rPr>
        <w:fldChar w:fldCharType="separate"/>
      </w:r>
      <w:r w:rsidRPr="00430357">
        <w:rPr>
          <w:rFonts w:asciiTheme="majorBidi" w:hAnsiTheme="majorBidi" w:cstheme="majorBidi"/>
        </w:rPr>
        <w:t>[11]</w:t>
      </w:r>
      <w:r w:rsidRPr="00430357">
        <w:rPr>
          <w:rFonts w:asciiTheme="majorBidi" w:hAnsiTheme="majorBidi" w:cstheme="majorBidi"/>
        </w:rPr>
        <w:fldChar w:fldCharType="end"/>
      </w:r>
      <w:r w:rsidRPr="00430357">
        <w:rPr>
          <w:rFonts w:asciiTheme="majorBidi" w:hAnsiTheme="majorBidi" w:cstheme="majorBidi"/>
        </w:rPr>
        <w:t xml:space="preserve">. For the present work, the same system of ordinary differential equations was re-implemented in mrgsolve </w:t>
      </w:r>
      <w:r w:rsidRPr="00430357">
        <w:rPr>
          <w:rFonts w:asciiTheme="majorBidi" w:hAnsiTheme="majorBidi" w:cstheme="majorBidi"/>
        </w:rPr>
        <w:fldChar w:fldCharType="begin"/>
      </w:r>
      <w:r w:rsidRPr="00430357">
        <w:rPr>
          <w:rFonts w:asciiTheme="majorBidi" w:hAnsiTheme="majorBidi" w:cstheme="majorBidi"/>
        </w:rPr>
        <w:instrText xml:space="preserve"> ADDIN ZOTERO_ITEM CSL_CITATION {"citationID":"E9Sdt7Nb","properties":{"unsorted":false,"formattedCitation":"[19]","plainCitation":"[19]","noteIndex":0},"citationItems":[{"id":910,"uris":["http://zotero.org/users/12251037/items/G283TSDU"],"itemData":{"id":910,"type":"article-journal","abstract":"mrgsolve is an open-source R package available on the Comprehensive R Archive Network. It combines R and C++ coding for simulation from hierarchical, ordinary differential equation-based models. Its efficient simulation engine and integration into a parallelizable, R-based workflow makes mrgsolve a convenient tool both for simple and complex models and thus is ideal for physiologically-based pharmacokinetic (PBPK) and quantitative systems pharmacology (QSP) model. This tutorial will first introduce the basics of the mrgsolve simulation workflow, including model specification, the introduction of interventions (dosing events) into the simulation, and simulated results postprocessing. An applied simulation example is then presented using a PBPK model for voriconazole, including a model validation step against adult and pediatric data sets. A final simulation example is then presented using a previously published QSP model for mitogen-activated protein kinase signaling in colorectal cancer, illustrating population simulation of different combination therapies.","container-title":"CPT: pharmacometrics &amp; systems pharmacology","DOI":"10.1002/psp4.12467","ISSN":"2163-8306","issue":"12","journalAbbreviation":"CPT Pharmacometrics Syst Pharmacol","language":"eng","page":"883-893","PMID":"31652028","PMCID":"PMC6930861","source":"PubMed","title":"Quantitative Systems Pharmacology and Physiologically-Based Pharmacokinetic Modeling With mrgsolve: A Hands-On Tutorial","title-short":"Quantitative Systems Pharmacology and Physiologically-Based Pharmacokinetic Modeling With mrgsolve","volume":"8","author":[{"family":"Elmokadem","given":"Ahmed"},{"family":"Riggs","given":"Matthew M."},{"family":"Baron","given":"Kyle T."}],"issued":{"date-parts":[["2019",12]]}}}],"schema":"https://github.com/citation-style-language/schema/raw/master/csl-citation.json"} </w:instrText>
      </w:r>
      <w:r w:rsidRPr="00430357">
        <w:rPr>
          <w:rFonts w:asciiTheme="majorBidi" w:hAnsiTheme="majorBidi" w:cstheme="majorBidi"/>
        </w:rPr>
        <w:fldChar w:fldCharType="separate"/>
      </w:r>
      <w:r w:rsidRPr="00430357">
        <w:rPr>
          <w:rFonts w:asciiTheme="majorBidi" w:hAnsiTheme="majorBidi" w:cstheme="majorBidi"/>
        </w:rPr>
        <w:t>[19]</w:t>
      </w:r>
      <w:r w:rsidRPr="00430357">
        <w:rPr>
          <w:rFonts w:asciiTheme="majorBidi" w:hAnsiTheme="majorBidi" w:cstheme="majorBidi"/>
        </w:rPr>
        <w:fldChar w:fldCharType="end"/>
      </w:r>
      <w:r w:rsidRPr="00430357">
        <w:rPr>
          <w:rFonts w:asciiTheme="majorBidi" w:hAnsiTheme="majorBidi" w:cstheme="majorBidi"/>
        </w:rPr>
        <w:t xml:space="preserve"> in R. All structural components, bacterial state transitions, growth kinetics, and rifampicin drug-effect relationships (Emax, EC50), were parameterized using the values reported by Clewe et al. </w:t>
      </w:r>
      <w:r w:rsidRPr="00430357">
        <w:rPr>
          <w:rFonts w:asciiTheme="majorBidi" w:hAnsiTheme="majorBidi" w:cstheme="majorBidi"/>
        </w:rPr>
        <w:fldChar w:fldCharType="begin"/>
      </w:r>
      <w:r w:rsidRPr="00430357">
        <w:rPr>
          <w:rFonts w:asciiTheme="majorBidi" w:hAnsiTheme="majorBidi" w:cstheme="majorBidi"/>
        </w:rPr>
        <w:instrText xml:space="preserve"> ADDIN ZOTERO_ITEM CSL_CITATION {"citationID":"L4qD5Xvy","properties":{"unsorted":false,"formattedCitation":"[11]","plainCitation":"[11]","noteIndex":0},"citationItems":[{"id":139,"uris":["http://zotero.org/users/12251037/items/2LCJ9NN3"],"itemData":{"id":139,"type":"article-journal","abstract":"Objectives\nMycobacterium tuberculosis can exist in different states in vitro, which can be denoted as fast multiplying, slow multiplying and non-multiplying. Characterizing the natural growth of M. tuberculosis could provide a framework for accurate characterization of drug effects on the different bacterial states.\n\nMethods\nThe natural growth data of M. tuberculosis H37Rv used in this study consisted of viability defined as cfu versus time based on data from an in vitro hypoxia system. External validation of the natural growth model was conducted using data representing the rate of incorporation of radiolabelled methionine into proteins by the bacteria. Rifampicin time–kill curves from log-phase (0.25–16 mg/L) and stationary-phase (0.5–64 mg/L) cultures were used to assess the model's ability to describe drug effects by evaluating different linear and non-linear exposure–response relationships.\n\nResults\nThe final pharmacometric model consisted of a three-compartment differential equation system representing fast-, slow- and non-multiplying bacteria. Model predictions correlated well with the external data (R2 = 0.98). The rifampicin effects on log-phase and stationary-phase cultures were separately and simultaneously described by including the drug effect on the different bacterial states. The predicted reduction in log10 cfu after 14 days and at 0.5 mg/L was 2.2 and 0.8 in the log-phase and stationary-phase systems, respectively.\n\nConclusions\nThe model provides predictions of the change in bacterial numbers for the different bacterial states with and without drug effect and could thus be used as a framework for studying anti-tubercular drug effects in vitro.","container-title":"Journal of Antimicrobial Chemotherapy","DOI":"10.1093/jac/dkv416","ISSN":"0305-7453","issue":"4","journalAbbreviation":"J Antimicrob Chemother","page":"964-974","PMID":"26702921","PMCID":"PMC4790616","source":"PubMed Central","title":"A multistate tuberculosis pharmacometric model: a framework for studying anti-tubercular drug effects in vitro","title-short":"A multistate tuberculosis pharmacometric model","volume":"71","author":[{"family":"Clewe","given":"Oskar"},{"family":"Aulin","given":"Linda"},{"family":"Hu","given":"Yanmin"},{"family":"Coates","given":"Anthony R. M."},{"family":"Simonsson","given":"Ulrika S. H."}],"issued":{"date-parts":[["2016",4]]}}}],"schema":"https://github.com/citation-style-language/schema/raw/master/csl-citation.json"} </w:instrText>
      </w:r>
      <w:r w:rsidRPr="00430357">
        <w:rPr>
          <w:rFonts w:asciiTheme="majorBidi" w:hAnsiTheme="majorBidi" w:cstheme="majorBidi"/>
        </w:rPr>
        <w:fldChar w:fldCharType="separate"/>
      </w:r>
      <w:r w:rsidRPr="00430357">
        <w:rPr>
          <w:rFonts w:asciiTheme="majorBidi" w:hAnsiTheme="majorBidi" w:cstheme="majorBidi"/>
        </w:rPr>
        <w:t>[11]</w:t>
      </w:r>
      <w:r w:rsidRPr="00430357">
        <w:rPr>
          <w:rFonts w:asciiTheme="majorBidi" w:hAnsiTheme="majorBidi" w:cstheme="majorBidi"/>
        </w:rPr>
        <w:fldChar w:fldCharType="end"/>
      </w:r>
      <w:r w:rsidRPr="00430357">
        <w:rPr>
          <w:rFonts w:asciiTheme="majorBidi" w:hAnsiTheme="majorBidi" w:cstheme="majorBidi"/>
        </w:rPr>
        <w:t xml:space="preserve"> (Table S1) without modification, to ensure consistency with the published model.</w:t>
      </w:r>
    </w:p>
    <w:p w14:paraId="701BCCD4"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rPr>
        <w:t>The mrgsolve implementation was verified by reproducing three benchmark simulation scenarios from the original Clewe et al. study: (i) natural bacterial growth in the absence of drug over 200 days (Fig. S1); (ii) bacterial dynamics during the logarithmic growth phase under rifampicin exposures ranging from 0 to 16 mg/L over 30 days (Fig. S2); and (iii) bacterial dynamics during the stationary-phase infection under rifampicin exposures ranging from 0 to 64 mg/L (Fig. S3). In each scenario, the mrgsolve implementation reproduced the qualitative and quantitative behavior of the original NONMEM-based model, including the relative dynamics of fast-, slow-, and non-multiplying subpopulations, with no visually discernible differences from the published trajectories.</w:t>
      </w:r>
    </w:p>
    <w:p w14:paraId="758DC9B0"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rPr>
        <w:t>Following verification, the standalone mrgsolve MTP model was used for all subsequent rifampicin pharmacodynamic simulations within the PBPK–PD framework.</w:t>
      </w:r>
    </w:p>
    <w:p w14:paraId="5B7F5BB3" w14:textId="77777777" w:rsidR="0042718E" w:rsidRPr="00430357" w:rsidRDefault="0042718E" w:rsidP="0042718E">
      <w:pPr>
        <w:spacing w:line="360" w:lineRule="auto"/>
        <w:rPr>
          <w:rFonts w:asciiTheme="majorBidi" w:hAnsiTheme="majorBidi" w:cstheme="majorBidi"/>
        </w:rPr>
      </w:pPr>
    </w:p>
    <w:p w14:paraId="3FEDB81F" w14:textId="77777777" w:rsidR="0042718E" w:rsidRPr="00430357" w:rsidRDefault="0042718E" w:rsidP="0042718E">
      <w:pPr>
        <w:spacing w:line="360" w:lineRule="auto"/>
        <w:rPr>
          <w:rFonts w:asciiTheme="majorBidi" w:hAnsiTheme="majorBidi" w:cstheme="majorBidi"/>
        </w:rPr>
      </w:pPr>
    </w:p>
    <w:p w14:paraId="1DBD4BCA" w14:textId="77777777" w:rsidR="0042718E" w:rsidRPr="00430357" w:rsidRDefault="0042718E" w:rsidP="0042718E">
      <w:pPr>
        <w:spacing w:line="360" w:lineRule="auto"/>
        <w:rPr>
          <w:rFonts w:asciiTheme="majorBidi" w:hAnsiTheme="majorBidi" w:cstheme="majorBidi"/>
        </w:rPr>
      </w:pPr>
    </w:p>
    <w:p w14:paraId="021145A6" w14:textId="77777777" w:rsidR="0042718E" w:rsidRPr="00430357" w:rsidRDefault="0042718E" w:rsidP="0042718E">
      <w:pPr>
        <w:spacing w:line="360" w:lineRule="auto"/>
        <w:rPr>
          <w:rFonts w:asciiTheme="majorBidi" w:hAnsiTheme="majorBidi" w:cstheme="majorBidi"/>
        </w:rPr>
      </w:pPr>
    </w:p>
    <w:p w14:paraId="6BA9ACCC" w14:textId="77777777" w:rsidR="0042718E" w:rsidRPr="00430357" w:rsidRDefault="0042718E" w:rsidP="0042718E">
      <w:pPr>
        <w:spacing w:line="360" w:lineRule="auto"/>
        <w:rPr>
          <w:rFonts w:asciiTheme="majorBidi" w:hAnsiTheme="majorBidi" w:cstheme="majorBidi"/>
        </w:rPr>
      </w:pPr>
    </w:p>
    <w:p w14:paraId="6756F07E" w14:textId="77777777" w:rsidR="0042718E" w:rsidRPr="00430357" w:rsidRDefault="0042718E" w:rsidP="0042718E">
      <w:pPr>
        <w:spacing w:line="360" w:lineRule="auto"/>
        <w:rPr>
          <w:rFonts w:asciiTheme="majorBidi" w:hAnsiTheme="majorBidi" w:cstheme="majorBidi"/>
        </w:rPr>
      </w:pPr>
    </w:p>
    <w:p w14:paraId="0D54EF36"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noProof/>
        </w:rPr>
        <w:lastRenderedPageBreak/>
        <w:drawing>
          <wp:inline distT="0" distB="0" distL="0" distR="0" wp14:anchorId="3E5BDEC8" wp14:editId="657E80CF">
            <wp:extent cx="5943600" cy="3793490"/>
            <wp:effectExtent l="0" t="0" r="0" b="0"/>
            <wp:docPr id="1206372926" name="Picture 120637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793490"/>
                    </a:xfrm>
                    <a:prstGeom prst="rect">
                      <a:avLst/>
                    </a:prstGeom>
                  </pic:spPr>
                </pic:pic>
              </a:graphicData>
            </a:graphic>
          </wp:inline>
        </w:drawing>
      </w:r>
    </w:p>
    <w:p w14:paraId="0E69B181" w14:textId="77777777" w:rsidR="0042718E" w:rsidRPr="00430357" w:rsidRDefault="0042718E" w:rsidP="0042718E">
      <w:pPr>
        <w:pStyle w:val="NoSpacing"/>
        <w:spacing w:line="360" w:lineRule="auto"/>
        <w:rPr>
          <w:rFonts w:asciiTheme="majorBidi" w:hAnsiTheme="majorBidi" w:cstheme="majorBidi"/>
          <w:b/>
          <w:bCs/>
          <w:sz w:val="24"/>
          <w:szCs w:val="24"/>
        </w:rPr>
      </w:pPr>
      <w:r w:rsidRPr="00430357">
        <w:rPr>
          <w:rStyle w:val="Strong"/>
          <w:rFonts w:asciiTheme="majorBidi" w:hAnsiTheme="majorBidi" w:cstheme="majorBidi"/>
          <w:sz w:val="24"/>
          <w:szCs w:val="24"/>
        </w:rPr>
        <w:t>Fig. S1</w:t>
      </w:r>
      <w:r w:rsidRPr="00430357">
        <w:rPr>
          <w:rFonts w:asciiTheme="majorBidi" w:hAnsiTheme="majorBidi" w:cstheme="majorBidi"/>
          <w:sz w:val="24"/>
          <w:szCs w:val="24"/>
        </w:rPr>
        <w:t xml:space="preserve"> </w:t>
      </w:r>
      <w:r w:rsidRPr="00430357">
        <w:rPr>
          <w:rStyle w:val="Emphasis"/>
          <w:rFonts w:asciiTheme="majorBidi" w:hAnsiTheme="majorBidi" w:cstheme="majorBidi"/>
          <w:i w:val="0"/>
          <w:iCs w:val="0"/>
          <w:sz w:val="24"/>
          <w:szCs w:val="24"/>
        </w:rPr>
        <w:t>Simulated natural growth of</w:t>
      </w:r>
      <w:r w:rsidRPr="00430357">
        <w:rPr>
          <w:rFonts w:asciiTheme="majorBidi" w:hAnsiTheme="majorBidi" w:cstheme="majorBidi"/>
          <w:i/>
          <w:iCs/>
          <w:sz w:val="24"/>
          <w:szCs w:val="24"/>
        </w:rPr>
        <w:t xml:space="preserve"> M. tuberculosis </w:t>
      </w:r>
      <w:r w:rsidRPr="00430357">
        <w:rPr>
          <w:rStyle w:val="Emphasis"/>
          <w:rFonts w:asciiTheme="majorBidi" w:hAnsiTheme="majorBidi" w:cstheme="majorBidi"/>
          <w:i w:val="0"/>
          <w:iCs w:val="0"/>
          <w:sz w:val="24"/>
          <w:szCs w:val="24"/>
        </w:rPr>
        <w:t xml:space="preserve">subpopulations in the absence of drug treatment over 200 days, based on the MTP model </w:t>
      </w:r>
      <w:r w:rsidRPr="00430357">
        <w:rPr>
          <w:rStyle w:val="Emphasis"/>
          <w:rFonts w:asciiTheme="majorBidi" w:hAnsiTheme="majorBidi" w:cstheme="majorBidi"/>
          <w:i w:val="0"/>
          <w:iCs w:val="0"/>
          <w:sz w:val="24"/>
          <w:szCs w:val="24"/>
        </w:rPr>
        <w:fldChar w:fldCharType="begin"/>
      </w:r>
      <w:r w:rsidRPr="00430357">
        <w:rPr>
          <w:rStyle w:val="Emphasis"/>
          <w:rFonts w:asciiTheme="majorBidi" w:hAnsiTheme="majorBidi" w:cstheme="majorBidi"/>
          <w:i w:val="0"/>
          <w:iCs w:val="0"/>
          <w:sz w:val="24"/>
          <w:szCs w:val="24"/>
        </w:rPr>
        <w:instrText xml:space="preserve"> ADDIN ZOTERO_ITEM CSL_CITATION {"citationID":"nxAK8NGE","properties":{"unsorted":false,"formattedCitation":"[11]","plainCitation":"[11]","noteIndex":0},"citationItems":[{"id":139,"uris":["http://zotero.org/users/12251037/items/2LCJ9NN3"],"itemData":{"id":139,"type":"article-journal","abstract":"Objectives\nMycobacterium tuberculosis can exist in different states in vitro, which can be denoted as fast multiplying, slow multiplying and non-multiplying. Characterizing the natural growth of M. tuberculosis could provide a framework for accurate characterization of drug effects on the different bacterial states.\n\nMethods\nThe natural growth data of M. tuberculosis H37Rv used in this study consisted of viability defined as cfu versus time based on data from an in vitro hypoxia system. External validation of the natural growth model was conducted using data representing the rate of incorporation of radiolabelled methionine into proteins by the bacteria. Rifampicin time–kill curves from log-phase (0.25–16 mg/L) and stationary-phase (0.5–64 mg/L) cultures were used to assess the model's ability to describe drug effects by evaluating different linear and non-linear exposure–response relationships.\n\nResults\nThe final pharmacometric model consisted of a three-compartment differential equation system representing fast-, slow- and non-multiplying bacteria. Model predictions correlated well with the external data (R2 = 0.98). The rifampicin effects on log-phase and stationary-phase cultures were separately and simultaneously described by including the drug effect on the different bacterial states. The predicted reduction in log10 cfu after 14 days and at 0.5 mg/L was 2.2 and 0.8 in the log-phase and stationary-phase systems, respectively.\n\nConclusions\nThe model provides predictions of the change in bacterial numbers for the different bacterial states with and without drug effect and could thus be used as a framework for studying anti-tubercular drug effects in vitro.","container-title":"Journal of Antimicrobial Chemotherapy","DOI":"10.1093/jac/dkv416","ISSN":"0305-7453","issue":"4","journalAbbreviation":"J Antimicrob Chemother","page":"964-974","PMID":"26702921","PMCID":"PMC4790616","source":"PubMed Central","title":"A multistate tuberculosis pharmacometric model: a framework for studying anti-tubercular drug effects in vitro","title-short":"A multistate tuberculosis pharmacometric model","volume":"71","author":[{"family":"Clewe","given":"Oskar"},{"family":"Aulin","given":"Linda"},{"family":"Hu","given":"Yanmin"},{"family":"Coates","given":"Anthony R. M."},{"family":"Simonsson","given":"Ulrika S. H."}],"issued":{"date-parts":[["2016",4]]}}}],"schema":"https://github.com/citation-style-language/schema/raw/master/csl-citation.json"} </w:instrText>
      </w:r>
      <w:r w:rsidRPr="00430357">
        <w:rPr>
          <w:rStyle w:val="Emphasis"/>
          <w:rFonts w:asciiTheme="majorBidi" w:hAnsiTheme="majorBidi" w:cstheme="majorBidi"/>
          <w:i w:val="0"/>
          <w:iCs w:val="0"/>
          <w:sz w:val="24"/>
          <w:szCs w:val="24"/>
        </w:rPr>
        <w:fldChar w:fldCharType="separate"/>
      </w:r>
      <w:r w:rsidRPr="00430357">
        <w:rPr>
          <w:rFonts w:asciiTheme="majorBidi" w:hAnsiTheme="majorBidi" w:cstheme="majorBidi"/>
          <w:sz w:val="24"/>
          <w:szCs w:val="24"/>
        </w:rPr>
        <w:t>[11]</w:t>
      </w:r>
      <w:r w:rsidRPr="00430357">
        <w:rPr>
          <w:rStyle w:val="Emphasis"/>
          <w:rFonts w:asciiTheme="majorBidi" w:hAnsiTheme="majorBidi" w:cstheme="majorBidi"/>
          <w:i w:val="0"/>
          <w:iCs w:val="0"/>
          <w:sz w:val="24"/>
          <w:szCs w:val="24"/>
        </w:rPr>
        <w:fldChar w:fldCharType="end"/>
      </w:r>
      <w:r w:rsidRPr="00430357">
        <w:rPr>
          <w:rStyle w:val="Emphasis"/>
          <w:rFonts w:asciiTheme="majorBidi" w:hAnsiTheme="majorBidi" w:cstheme="majorBidi"/>
          <w:i w:val="0"/>
          <w:iCs w:val="0"/>
          <w:sz w:val="24"/>
          <w:szCs w:val="24"/>
        </w:rPr>
        <w:t xml:space="preserve"> re-implemented in mrgsolve [20]. Fast-multiplying (solid black), slow-multiplying (dark gray dashed), and non-multiplying (light gray dotted) bacterial subpopulations are shown</w:t>
      </w:r>
    </w:p>
    <w:p w14:paraId="07CB4EE6" w14:textId="77777777" w:rsidR="0042718E" w:rsidRPr="00430357" w:rsidRDefault="0042718E" w:rsidP="0042718E">
      <w:pPr>
        <w:spacing w:line="360" w:lineRule="auto"/>
        <w:rPr>
          <w:rFonts w:asciiTheme="majorBidi" w:hAnsiTheme="majorBidi" w:cstheme="majorBidi"/>
        </w:rPr>
      </w:pPr>
    </w:p>
    <w:p w14:paraId="1D9E8767" w14:textId="77777777" w:rsidR="0042718E" w:rsidRPr="00430357" w:rsidRDefault="0042718E" w:rsidP="0042718E">
      <w:pPr>
        <w:spacing w:line="360" w:lineRule="auto"/>
        <w:rPr>
          <w:rFonts w:asciiTheme="majorBidi" w:hAnsiTheme="majorBidi" w:cstheme="majorBidi"/>
        </w:rPr>
      </w:pPr>
    </w:p>
    <w:p w14:paraId="65BD3695"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noProof/>
        </w:rPr>
        <w:lastRenderedPageBreak/>
        <w:drawing>
          <wp:inline distT="0" distB="0" distL="0" distR="0" wp14:anchorId="41208374" wp14:editId="175FD575">
            <wp:extent cx="5943600" cy="3671570"/>
            <wp:effectExtent l="0" t="0" r="0" b="5080"/>
            <wp:docPr id="894322554" name="Picture 89432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671570"/>
                    </a:xfrm>
                    <a:prstGeom prst="rect">
                      <a:avLst/>
                    </a:prstGeom>
                  </pic:spPr>
                </pic:pic>
              </a:graphicData>
            </a:graphic>
          </wp:inline>
        </w:drawing>
      </w:r>
    </w:p>
    <w:p w14:paraId="26E3ECDD" w14:textId="77777777" w:rsidR="0042718E" w:rsidRPr="00430357" w:rsidRDefault="0042718E" w:rsidP="0042718E">
      <w:pPr>
        <w:pStyle w:val="NoSpacing"/>
        <w:spacing w:line="360" w:lineRule="auto"/>
        <w:rPr>
          <w:rFonts w:asciiTheme="majorBidi" w:hAnsiTheme="majorBidi" w:cstheme="majorBidi"/>
        </w:rPr>
      </w:pPr>
      <w:r w:rsidRPr="00430357">
        <w:rPr>
          <w:rStyle w:val="Strong"/>
          <w:rFonts w:asciiTheme="majorBidi" w:eastAsiaTheme="majorEastAsia" w:hAnsiTheme="majorBidi" w:cstheme="majorBidi"/>
          <w:sz w:val="24"/>
          <w:szCs w:val="24"/>
        </w:rPr>
        <w:t>Fig. S2</w:t>
      </w:r>
      <w:r w:rsidRPr="00430357">
        <w:rPr>
          <w:rFonts w:asciiTheme="majorBidi" w:hAnsiTheme="majorBidi" w:cstheme="majorBidi"/>
          <w:sz w:val="24"/>
          <w:szCs w:val="24"/>
        </w:rPr>
        <w:t xml:space="preserve"> Simulated bacterial dynamics during logarithmic-phase growth under increasing rifampicin exposure, based on the MTP model </w:t>
      </w:r>
      <w:r w:rsidRPr="00430357">
        <w:rPr>
          <w:rFonts w:asciiTheme="majorBidi" w:hAnsiTheme="majorBidi" w:cstheme="majorBidi"/>
          <w:sz w:val="24"/>
          <w:szCs w:val="24"/>
        </w:rPr>
        <w:fldChar w:fldCharType="begin"/>
      </w:r>
      <w:r w:rsidRPr="00430357">
        <w:rPr>
          <w:rFonts w:asciiTheme="majorBidi" w:hAnsiTheme="majorBidi" w:cstheme="majorBidi"/>
          <w:sz w:val="24"/>
          <w:szCs w:val="24"/>
        </w:rPr>
        <w:instrText xml:space="preserve"> ADDIN ZOTERO_ITEM CSL_CITATION {"citationID":"glkGBh8g","properties":{"unsorted":false,"formattedCitation":"[11]","plainCitation":"[11]","noteIndex":0},"citationItems":[{"id":139,"uris":["http://zotero.org/users/12251037/items/2LCJ9NN3"],"itemData":{"id":139,"type":"article-journal","abstract":"Objectives\nMycobacterium tuberculosis can exist in different states in vitro, which can be denoted as fast multiplying, slow multiplying and non-multiplying. Characterizing the natural growth of M. tuberculosis could provide a framework for accurate characterization of drug effects on the different bacterial states.\n\nMethods\nThe natural growth data of M. tuberculosis H37Rv used in this study consisted of viability defined as cfu versus time based on data from an in vitro hypoxia system. External validation of the natural growth model was conducted using data representing the rate of incorporation of radiolabelled methionine into proteins by the bacteria. Rifampicin time–kill curves from log-phase (0.25–16 mg/L) and stationary-phase (0.5–64 mg/L) cultures were used to assess the model's ability to describe drug effects by evaluating different linear and non-linear exposure–response relationships.\n\nResults\nThe final pharmacometric model consisted of a three-compartment differential equation system representing fast-, slow- and non-multiplying bacteria. Model predictions correlated well with the external data (R2 = 0.98). The rifampicin effects on log-phase and stationary-phase cultures were separately and simultaneously described by including the drug effect on the different bacterial states. The predicted reduction in log10 cfu after 14 days and at 0.5 mg/L was 2.2 and 0.8 in the log-phase and stationary-phase systems, respectively.\n\nConclusions\nThe model provides predictions of the change in bacterial numbers for the different bacterial states with and without drug effect and could thus be used as a framework for studying anti-tubercular drug effects in vitro.","container-title":"Journal of Antimicrobial Chemotherapy","DOI":"10.1093/jac/dkv416","ISSN":"0305-7453","issue":"4","journalAbbreviation":"J Antimicrob Chemother","page":"964-974","PMID":"26702921","PMCID":"PMC4790616","source":"PubMed Central","title":"A multistate tuberculosis pharmacometric model: a framework for studying anti-tubercular drug effects in vitro","title-short":"A multistate tuberculosis pharmacometric model","volume":"71","author":[{"family":"Clewe","given":"Oskar"},{"family":"Aulin","given":"Linda"},{"family":"Hu","given":"Yanmin"},{"family":"Coates","given":"Anthony R. M."},{"family":"Simonsson","given":"Ulrika S. H."}],"issued":{"date-parts":[["2016",4]]}}}],"schema":"https://github.com/citation-style-language/schema/raw/master/csl-citation.json"} </w:instrText>
      </w:r>
      <w:r w:rsidRPr="00430357">
        <w:rPr>
          <w:rFonts w:asciiTheme="majorBidi" w:hAnsiTheme="majorBidi" w:cstheme="majorBidi"/>
          <w:sz w:val="24"/>
          <w:szCs w:val="24"/>
        </w:rPr>
        <w:fldChar w:fldCharType="separate"/>
      </w:r>
      <w:r w:rsidRPr="00430357">
        <w:rPr>
          <w:rFonts w:asciiTheme="majorBidi" w:hAnsiTheme="majorBidi" w:cstheme="majorBidi"/>
          <w:sz w:val="24"/>
        </w:rPr>
        <w:t>[11]</w:t>
      </w:r>
      <w:r w:rsidRPr="00430357">
        <w:rPr>
          <w:rFonts w:asciiTheme="majorBidi" w:hAnsiTheme="majorBidi" w:cstheme="majorBidi"/>
          <w:sz w:val="24"/>
          <w:szCs w:val="24"/>
        </w:rPr>
        <w:fldChar w:fldCharType="end"/>
      </w:r>
      <w:r w:rsidRPr="00430357">
        <w:rPr>
          <w:rFonts w:asciiTheme="majorBidi" w:hAnsiTheme="majorBidi" w:cstheme="majorBidi"/>
          <w:sz w:val="24"/>
          <w:szCs w:val="24"/>
        </w:rPr>
        <w:t xml:space="preserve"> re-implemented in mrgsolve [20]. Trajectories of fast-multiplying (solid black), slow-multiplying (dark gray dashed), and non-multiplying (light gray dotted) </w:t>
      </w:r>
      <w:r w:rsidRPr="00430357">
        <w:rPr>
          <w:rFonts w:asciiTheme="majorBidi" w:hAnsiTheme="majorBidi" w:cstheme="majorBidi"/>
          <w:i/>
          <w:iCs/>
          <w:sz w:val="24"/>
          <w:szCs w:val="24"/>
        </w:rPr>
        <w:t>M. tuberculosis</w:t>
      </w:r>
      <w:r w:rsidRPr="00430357">
        <w:rPr>
          <w:rFonts w:asciiTheme="majorBidi" w:hAnsiTheme="majorBidi" w:cstheme="majorBidi"/>
          <w:sz w:val="24"/>
          <w:szCs w:val="24"/>
        </w:rPr>
        <w:t xml:space="preserve"> subpopulations are shown over 30 days. Each panel corresponds to a different constant rifampicin concentration</w:t>
      </w:r>
    </w:p>
    <w:p w14:paraId="1102A1FF" w14:textId="77777777" w:rsidR="0042718E" w:rsidRPr="00430357" w:rsidRDefault="0042718E" w:rsidP="0042718E">
      <w:pPr>
        <w:spacing w:line="360" w:lineRule="auto"/>
        <w:rPr>
          <w:rFonts w:asciiTheme="majorBidi" w:hAnsiTheme="majorBidi" w:cstheme="majorBidi"/>
        </w:rPr>
      </w:pPr>
    </w:p>
    <w:p w14:paraId="2D0D6098" w14:textId="77777777" w:rsidR="0042718E" w:rsidRPr="00430357" w:rsidRDefault="0042718E" w:rsidP="0042718E">
      <w:pPr>
        <w:spacing w:line="360" w:lineRule="auto"/>
        <w:rPr>
          <w:rFonts w:asciiTheme="majorBidi" w:hAnsiTheme="majorBidi" w:cstheme="majorBidi"/>
        </w:rPr>
      </w:pPr>
    </w:p>
    <w:p w14:paraId="753F8075" w14:textId="77777777" w:rsidR="0042718E" w:rsidRPr="00430357" w:rsidRDefault="0042718E" w:rsidP="0042718E">
      <w:pPr>
        <w:spacing w:line="360" w:lineRule="auto"/>
        <w:rPr>
          <w:rFonts w:asciiTheme="majorBidi" w:hAnsiTheme="majorBidi" w:cstheme="majorBidi"/>
        </w:rPr>
      </w:pPr>
    </w:p>
    <w:p w14:paraId="202FEF28" w14:textId="77777777" w:rsidR="0042718E" w:rsidRPr="00430357" w:rsidRDefault="0042718E" w:rsidP="0042718E">
      <w:pPr>
        <w:spacing w:line="360" w:lineRule="auto"/>
        <w:rPr>
          <w:rFonts w:asciiTheme="majorBidi" w:hAnsiTheme="majorBidi" w:cstheme="majorBidi"/>
        </w:rPr>
      </w:pPr>
    </w:p>
    <w:p w14:paraId="69F6A5AC" w14:textId="77777777" w:rsidR="0042718E" w:rsidRPr="00430357" w:rsidRDefault="0042718E" w:rsidP="0042718E">
      <w:pPr>
        <w:spacing w:line="360" w:lineRule="auto"/>
        <w:rPr>
          <w:rFonts w:asciiTheme="majorBidi" w:hAnsiTheme="majorBidi" w:cstheme="majorBidi"/>
        </w:rPr>
      </w:pPr>
    </w:p>
    <w:p w14:paraId="363EB703" w14:textId="77777777" w:rsidR="0042718E" w:rsidRPr="00430357" w:rsidRDefault="0042718E" w:rsidP="0042718E">
      <w:pPr>
        <w:spacing w:line="360" w:lineRule="auto"/>
        <w:rPr>
          <w:rFonts w:asciiTheme="majorBidi" w:hAnsiTheme="majorBidi" w:cstheme="majorBidi"/>
        </w:rPr>
      </w:pPr>
    </w:p>
    <w:p w14:paraId="1EFFCDC7" w14:textId="77777777" w:rsidR="0042718E" w:rsidRPr="00430357" w:rsidRDefault="0042718E" w:rsidP="0042718E">
      <w:pPr>
        <w:spacing w:line="360" w:lineRule="auto"/>
        <w:rPr>
          <w:rFonts w:asciiTheme="majorBidi" w:hAnsiTheme="majorBidi" w:cstheme="majorBidi"/>
        </w:rPr>
      </w:pPr>
    </w:p>
    <w:p w14:paraId="5685FD0B" w14:textId="77777777" w:rsidR="0042718E" w:rsidRPr="00430357" w:rsidRDefault="0042718E" w:rsidP="0042718E">
      <w:pPr>
        <w:spacing w:line="360" w:lineRule="auto"/>
        <w:rPr>
          <w:rFonts w:asciiTheme="majorBidi" w:hAnsiTheme="majorBidi" w:cstheme="majorBidi"/>
        </w:rPr>
      </w:pPr>
    </w:p>
    <w:p w14:paraId="6D498036" w14:textId="77777777" w:rsidR="0042718E" w:rsidRPr="00430357" w:rsidRDefault="0042718E" w:rsidP="0042718E">
      <w:pPr>
        <w:spacing w:line="360" w:lineRule="auto"/>
        <w:rPr>
          <w:rFonts w:asciiTheme="majorBidi" w:hAnsiTheme="majorBidi" w:cstheme="majorBidi"/>
        </w:rPr>
      </w:pPr>
    </w:p>
    <w:p w14:paraId="37C88311" w14:textId="77777777" w:rsidR="0042718E" w:rsidRPr="00430357" w:rsidRDefault="0042718E" w:rsidP="0042718E">
      <w:pPr>
        <w:spacing w:line="360" w:lineRule="auto"/>
        <w:rPr>
          <w:rFonts w:asciiTheme="majorBidi" w:hAnsiTheme="majorBidi" w:cstheme="majorBidi"/>
        </w:rPr>
      </w:pPr>
    </w:p>
    <w:p w14:paraId="2258E8F0" w14:textId="77777777" w:rsidR="0042718E" w:rsidRPr="00430357" w:rsidRDefault="0042718E" w:rsidP="0042718E">
      <w:pPr>
        <w:spacing w:line="360" w:lineRule="auto"/>
        <w:rPr>
          <w:rFonts w:asciiTheme="majorBidi" w:hAnsiTheme="majorBidi" w:cstheme="majorBidi"/>
        </w:rPr>
      </w:pPr>
    </w:p>
    <w:p w14:paraId="47ECF6C9"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noProof/>
        </w:rPr>
        <w:lastRenderedPageBreak/>
        <w:drawing>
          <wp:inline distT="0" distB="0" distL="0" distR="0" wp14:anchorId="528C9496" wp14:editId="762D2956">
            <wp:extent cx="5943600" cy="3714115"/>
            <wp:effectExtent l="0" t="0" r="0" b="635"/>
            <wp:docPr id="1043874396" name="Picture 104387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714115"/>
                    </a:xfrm>
                    <a:prstGeom prst="rect">
                      <a:avLst/>
                    </a:prstGeom>
                  </pic:spPr>
                </pic:pic>
              </a:graphicData>
            </a:graphic>
          </wp:inline>
        </w:drawing>
      </w:r>
    </w:p>
    <w:p w14:paraId="68C44E51" w14:textId="77777777" w:rsidR="0042718E" w:rsidRPr="00430357" w:rsidRDefault="0042718E" w:rsidP="0042718E">
      <w:pPr>
        <w:pStyle w:val="NoSpacing"/>
        <w:spacing w:line="360" w:lineRule="auto"/>
        <w:rPr>
          <w:rFonts w:asciiTheme="majorBidi" w:hAnsiTheme="majorBidi" w:cstheme="majorBidi"/>
        </w:rPr>
      </w:pPr>
      <w:r w:rsidRPr="00430357">
        <w:rPr>
          <w:rStyle w:val="Strong"/>
          <w:rFonts w:asciiTheme="majorBidi" w:hAnsiTheme="majorBidi" w:cstheme="majorBidi"/>
          <w:sz w:val="24"/>
          <w:szCs w:val="24"/>
        </w:rPr>
        <w:t>Fig. S3</w:t>
      </w:r>
      <w:r w:rsidRPr="00430357">
        <w:rPr>
          <w:rFonts w:asciiTheme="majorBidi" w:hAnsiTheme="majorBidi" w:cstheme="majorBidi"/>
          <w:sz w:val="24"/>
          <w:szCs w:val="24"/>
        </w:rPr>
        <w:t xml:space="preserve"> Simulated bacterial dynamics during stationary-phase infection under increasing rifampicin exposure, based on the MTP model </w:t>
      </w:r>
      <w:r w:rsidRPr="00430357">
        <w:rPr>
          <w:rFonts w:asciiTheme="majorBidi" w:hAnsiTheme="majorBidi" w:cstheme="majorBidi"/>
          <w:sz w:val="24"/>
          <w:szCs w:val="24"/>
        </w:rPr>
        <w:fldChar w:fldCharType="begin"/>
      </w:r>
      <w:r w:rsidRPr="00430357">
        <w:rPr>
          <w:rFonts w:asciiTheme="majorBidi" w:hAnsiTheme="majorBidi" w:cstheme="majorBidi"/>
          <w:sz w:val="24"/>
          <w:szCs w:val="24"/>
        </w:rPr>
        <w:instrText xml:space="preserve"> ADDIN ZOTERO_ITEM CSL_CITATION {"citationID":"qJsGf8eJ","properties":{"unsorted":false,"formattedCitation":"[11]","plainCitation":"[11]","noteIndex":0},"citationItems":[{"id":139,"uris":["http://zotero.org/users/12251037/items/2LCJ9NN3"],"itemData":{"id":139,"type":"article-journal","abstract":"Objectives\nMycobacterium tuberculosis can exist in different states in vitro, which can be denoted as fast multiplying, slow multiplying and non-multiplying. Characterizing the natural growth of M. tuberculosis could provide a framework for accurate characterization of drug effects on the different bacterial states.\n\nMethods\nThe natural growth data of M. tuberculosis H37Rv used in this study consisted of viability defined as cfu versus time based on data from an in vitro hypoxia system. External validation of the natural growth model was conducted using data representing the rate of incorporation of radiolabelled methionine into proteins by the bacteria. Rifampicin time–kill curves from log-phase (0.25–16 mg/L) and stationary-phase (0.5–64 mg/L) cultures were used to assess the model's ability to describe drug effects by evaluating different linear and non-linear exposure–response relationships.\n\nResults\nThe final pharmacometric model consisted of a three-compartment differential equation system representing fast-, slow- and non-multiplying bacteria. Model predictions correlated well with the external data (R2 = 0.98). The rifampicin effects on log-phase and stationary-phase cultures were separately and simultaneously described by including the drug effect on the different bacterial states. The predicted reduction in log10 cfu after 14 days and at 0.5 mg/L was 2.2 and 0.8 in the log-phase and stationary-phase systems, respectively.\n\nConclusions\nThe model provides predictions of the change in bacterial numbers for the different bacterial states with and without drug effect and could thus be used as a framework for studying anti-tubercular drug effects in vitro.","container-title":"Journal of Antimicrobial Chemotherapy","DOI":"10.1093/jac/dkv416","ISSN":"0305-7453","issue":"4","journalAbbreviation":"J Antimicrob Chemother","page":"964-974","PMID":"26702921","PMCID":"PMC4790616","source":"PubMed Central","title":"A multistate tuberculosis pharmacometric model: a framework for studying anti-tubercular drug effects in vitro","title-short":"A multistate tuberculosis pharmacometric model","volume":"71","author":[{"family":"Clewe","given":"Oskar"},{"family":"Aulin","given":"Linda"},{"family":"Hu","given":"Yanmin"},{"family":"Coates","given":"Anthony R. M."},{"family":"Simonsson","given":"Ulrika S. H."}],"issued":{"date-parts":[["2016",4]]}}}],"schema":"https://github.com/citation-style-language/schema/raw/master/csl-citation.json"} </w:instrText>
      </w:r>
      <w:r w:rsidRPr="00430357">
        <w:rPr>
          <w:rFonts w:asciiTheme="majorBidi" w:hAnsiTheme="majorBidi" w:cstheme="majorBidi"/>
          <w:sz w:val="24"/>
          <w:szCs w:val="24"/>
        </w:rPr>
        <w:fldChar w:fldCharType="separate"/>
      </w:r>
      <w:r w:rsidRPr="00430357">
        <w:rPr>
          <w:rFonts w:asciiTheme="majorBidi" w:hAnsiTheme="majorBidi" w:cstheme="majorBidi"/>
          <w:sz w:val="24"/>
        </w:rPr>
        <w:t>[11]</w:t>
      </w:r>
      <w:r w:rsidRPr="00430357">
        <w:rPr>
          <w:rFonts w:asciiTheme="majorBidi" w:hAnsiTheme="majorBidi" w:cstheme="majorBidi"/>
          <w:sz w:val="24"/>
          <w:szCs w:val="24"/>
        </w:rPr>
        <w:fldChar w:fldCharType="end"/>
      </w:r>
      <w:r w:rsidRPr="00430357">
        <w:rPr>
          <w:rFonts w:asciiTheme="majorBidi" w:hAnsiTheme="majorBidi" w:cstheme="majorBidi"/>
          <w:sz w:val="24"/>
          <w:szCs w:val="24"/>
        </w:rPr>
        <w:t xml:space="preserve"> re-implemented in mrgsolve [20]. Trajectories of fast-multiplying (solid black), slow-multiplying (dark gray dashed), and non-multiplying (light gray dotted) </w:t>
      </w:r>
      <w:r w:rsidRPr="00430357">
        <w:rPr>
          <w:rFonts w:asciiTheme="majorBidi" w:hAnsiTheme="majorBidi" w:cstheme="majorBidi"/>
          <w:i/>
          <w:iCs/>
          <w:sz w:val="24"/>
          <w:szCs w:val="24"/>
        </w:rPr>
        <w:t>M. tuberculosis</w:t>
      </w:r>
      <w:r w:rsidRPr="00430357">
        <w:rPr>
          <w:rFonts w:asciiTheme="majorBidi" w:hAnsiTheme="majorBidi" w:cstheme="majorBidi"/>
          <w:sz w:val="24"/>
          <w:szCs w:val="24"/>
        </w:rPr>
        <w:t xml:space="preserve"> subpopulations are shown over [duration] days. Each panel corresponds to a different constant rifampicin concentration</w:t>
      </w:r>
    </w:p>
    <w:p w14:paraId="4DFD5656" w14:textId="77777777" w:rsidR="0042718E" w:rsidRPr="00430357" w:rsidRDefault="0042718E" w:rsidP="0042718E">
      <w:pPr>
        <w:spacing w:line="360" w:lineRule="auto"/>
        <w:rPr>
          <w:rFonts w:asciiTheme="majorBidi" w:hAnsiTheme="majorBidi" w:cstheme="majorBidi"/>
        </w:rPr>
      </w:pPr>
    </w:p>
    <w:p w14:paraId="0AE60413" w14:textId="77777777" w:rsidR="0042718E" w:rsidRPr="00430357" w:rsidRDefault="0042718E" w:rsidP="0042718E">
      <w:pPr>
        <w:spacing w:before="100" w:beforeAutospacing="1" w:after="100" w:afterAutospacing="1"/>
        <w:rPr>
          <w:rFonts w:asciiTheme="majorBidi" w:hAnsiTheme="majorBidi" w:cstheme="majorBidi"/>
        </w:rPr>
      </w:pPr>
    </w:p>
    <w:p w14:paraId="353716C8" w14:textId="77777777" w:rsidR="0042718E" w:rsidRPr="00430357" w:rsidRDefault="0042718E" w:rsidP="0042718E">
      <w:pPr>
        <w:spacing w:before="100" w:beforeAutospacing="1" w:after="100" w:afterAutospacing="1"/>
        <w:rPr>
          <w:rFonts w:asciiTheme="majorBidi" w:hAnsiTheme="majorBidi" w:cstheme="majorBidi"/>
        </w:rPr>
      </w:pPr>
    </w:p>
    <w:p w14:paraId="1D71D43E" w14:textId="77777777" w:rsidR="0042718E" w:rsidRPr="00430357" w:rsidRDefault="0042718E" w:rsidP="0042718E">
      <w:pPr>
        <w:spacing w:before="100" w:beforeAutospacing="1" w:after="100" w:afterAutospacing="1"/>
        <w:rPr>
          <w:rFonts w:asciiTheme="majorBidi" w:hAnsiTheme="majorBidi" w:cstheme="majorBidi"/>
        </w:rPr>
      </w:pPr>
    </w:p>
    <w:p w14:paraId="32E82358" w14:textId="77777777" w:rsidR="0042718E" w:rsidRPr="00430357" w:rsidRDefault="0042718E" w:rsidP="0042718E">
      <w:pPr>
        <w:spacing w:before="100" w:beforeAutospacing="1" w:after="100" w:afterAutospacing="1"/>
        <w:rPr>
          <w:rFonts w:asciiTheme="majorBidi" w:hAnsiTheme="majorBidi" w:cstheme="majorBidi"/>
        </w:rPr>
      </w:pPr>
    </w:p>
    <w:p w14:paraId="0EA0B220" w14:textId="77777777" w:rsidR="0042718E" w:rsidRPr="00430357" w:rsidRDefault="0042718E" w:rsidP="0042718E">
      <w:pPr>
        <w:spacing w:before="100" w:beforeAutospacing="1" w:after="100" w:afterAutospacing="1"/>
        <w:rPr>
          <w:rFonts w:asciiTheme="majorBidi" w:hAnsiTheme="majorBidi" w:cstheme="majorBidi"/>
        </w:rPr>
      </w:pPr>
    </w:p>
    <w:p w14:paraId="45DE3038" w14:textId="77777777" w:rsidR="0042718E" w:rsidRPr="00430357" w:rsidRDefault="0042718E" w:rsidP="0042718E">
      <w:pPr>
        <w:pStyle w:val="Heading2"/>
        <w:spacing w:line="360" w:lineRule="auto"/>
        <w:rPr>
          <w:rFonts w:asciiTheme="majorBidi" w:hAnsiTheme="majorBidi"/>
          <w:color w:val="auto"/>
        </w:rPr>
      </w:pPr>
      <w:r w:rsidRPr="00430357">
        <w:rPr>
          <w:rFonts w:asciiTheme="majorBidi" w:hAnsiTheme="majorBidi"/>
          <w:i/>
          <w:iCs/>
          <w:color w:val="auto"/>
        </w:rPr>
        <w:t>In vitro</w:t>
      </w:r>
      <w:r w:rsidRPr="00430357">
        <w:rPr>
          <w:rFonts w:asciiTheme="majorBidi" w:hAnsiTheme="majorBidi"/>
          <w:color w:val="auto"/>
        </w:rPr>
        <w:t xml:space="preserve"> release data extraction and digitization</w:t>
      </w:r>
    </w:p>
    <w:p w14:paraId="77ECAFD4"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i/>
          <w:iCs/>
        </w:rPr>
        <w:t>In vitro</w:t>
      </w:r>
      <w:r w:rsidRPr="00430357">
        <w:rPr>
          <w:rFonts w:asciiTheme="majorBidi" w:hAnsiTheme="majorBidi" w:cstheme="majorBidi"/>
        </w:rPr>
        <w:t xml:space="preserve"> dissolution data for controlled-release rifampicin formulations were obtained from two studies by Hiremath and Saha </w:t>
      </w:r>
      <w:r w:rsidRPr="00430357">
        <w:rPr>
          <w:rFonts w:asciiTheme="majorBidi" w:hAnsiTheme="majorBidi" w:cstheme="majorBidi"/>
        </w:rPr>
        <w:fldChar w:fldCharType="begin"/>
      </w:r>
      <w:r w:rsidRPr="00430357">
        <w:rPr>
          <w:rFonts w:asciiTheme="majorBidi" w:hAnsiTheme="majorBidi" w:cstheme="majorBidi"/>
        </w:rPr>
        <w:instrText xml:space="preserve"> ADDIN ZOTERO_ITEM CSL_CITATION {"citationID":"BFNmgaid","properties":{"unsorted":false,"formattedCitation":"[15, 16]","plainCitation":"[15, 16]","noteIndex":0},"citationItems":[{"id":705,"uris":["http://zotero.org/users/12251037/items/WC6MC325"],"itemData":{"id":705,"type":"article-journal","abstract":"Oral controlled release formulations of rifampicin have been developed by using hydroxypropyl methylcellulose polymer at different ratios. From in vitro release data, we found that the release was extended with an increase of polymer proportion from 20% to 40%. However, increase in polymer beyond 40% resulted in no significant change in the release rate. There was a distinct difference in the release rate and release character due to variation in the compression force. The release kinetics were analyzed using Ritger and Peppas exponential equation. Stability studies at ambient storage conditions for 1 year showed that formulations were stable.","container-title":"Drug Delivery","DOI":"10.1080/10717540490494087","ISSN":"1071-7544","issue":"5","note":"_eprint: https://doi.org/10.1080/10717540490494087","page":"311-317","PMID":"15742556","publisher":"Taylor &amp; Francis","source":"Taylor and Francis+NEJM","title":"Design and Study of Rifampicin Oral Controlled Release Formulations","volume":"11","author":[{"family":"Hiremath","given":"S. P."},{"family":"Saha","given":"R. N."}],"issued":{"date-parts":[["2004",1,1]]}}},{"id":703,"uris":["http://zotero.org/users/12251037/items/2VP4CQDF"],"itemData":{"id":703,"type":"article-journal","abstract":"Hydrophilic controlled release matrix tablets of rifampicin, a poorly soluble drug, have been formulated using hydroxypropyl methylcellulose (HPMC) polymer (low, medium, and high viscosity) by direct compression method. Influence of formulation variables and process parameters such as drug:HPMC ratio, viscosity grade of HPMC, drug particle size, and compression force on the formulation characters and drug release has been studied. Our results indicated that the release rate of the drug and the mechanism of release from the HPMC matrices are mainly controlled by the drug:HPMC ratio and viscosity grade of the HPMC. In general, decrease in the drug particle size decreased the drug release. Lower viscosity HPMC polymer was found to be more sensitive to the effect of compression force than the higher viscosity. The formulations were found to be stable and reproducible.","container-title":"Drug Delivery","DOI":"10.1080/10717540801952498","ISSN":"1071-7544","issue":"3","note":"_eprint: https://doi.org/10.1080/10717540801952498","page":"159-168","PMID":"18379928","publisher":"Taylor &amp; Francis","source":"Taylor and Francis+NEJM","title":"Oral Controlled Release Formulations of Rifampicin. Part II: Effect of Formulation Variables and Process Parameters on In Vitro Release","title-short":"Oral Controlled Release Formulations of Rifampicin. Part II","volume":"15","author":[{"family":"Hiremath","given":"P. S."},{"family":"Saha","given":"R. N."}],"issued":{"date-parts":[["2008",1,1]]}}}],"schema":"https://github.com/citation-style-language/schema/raw/master/csl-citation.json"} </w:instrText>
      </w:r>
      <w:r w:rsidRPr="00430357">
        <w:rPr>
          <w:rFonts w:asciiTheme="majorBidi" w:hAnsiTheme="majorBidi" w:cstheme="majorBidi"/>
        </w:rPr>
        <w:fldChar w:fldCharType="separate"/>
      </w:r>
      <w:r w:rsidRPr="00430357">
        <w:rPr>
          <w:rFonts w:asciiTheme="majorBidi" w:hAnsiTheme="majorBidi" w:cstheme="majorBidi"/>
        </w:rPr>
        <w:t>[15, 16]</w:t>
      </w:r>
      <w:r w:rsidRPr="00430357">
        <w:rPr>
          <w:rFonts w:asciiTheme="majorBidi" w:hAnsiTheme="majorBidi" w:cstheme="majorBidi"/>
        </w:rPr>
        <w:fldChar w:fldCharType="end"/>
      </w:r>
      <w:r w:rsidRPr="00430357">
        <w:rPr>
          <w:rFonts w:asciiTheme="majorBidi" w:hAnsiTheme="majorBidi" w:cstheme="majorBidi"/>
        </w:rPr>
        <w:t xml:space="preserve">, which systematically investigated the effect of </w:t>
      </w:r>
      <w:r w:rsidRPr="00430357">
        <w:rPr>
          <w:rFonts w:asciiTheme="majorBidi" w:hAnsiTheme="majorBidi" w:cstheme="majorBidi"/>
        </w:rPr>
        <w:lastRenderedPageBreak/>
        <w:t>formulation variables on rifampicin release from hydroxypropyl methylcellulose (HPMC) matrix tablets. Five distinct controlled-release formulations (R1–R5) were selected from each study.</w:t>
      </w:r>
    </w:p>
    <w:p w14:paraId="4E224FE6"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rPr>
        <w:t>The 2004 series [15] used low-viscosity HPMC (15 cPs) at polymer proportions of 20%, 30%, 40%, 50%, and 60% (R1–R5; Fig. S4), prepared by wet granulation. The 2008 series [16] used HPMC K100LV (100 cPs) at polymer proportions of 10%, 20%, 30%, 40%, and 60% (R1–R5; Fig. S5), prepared by direct compression. In both studies, increasing polymer proportion produced progressively extended release. The 2008 K100LV series exhibited a wider overall spread of release rates than the 2004 series, reflecting the slower drug release achievable with the higher-viscosity grade. Together, the two series provided ten controlled-release formulations spanning a broad range of release kinetics suitable for mechanistic absorption modeling.</w:t>
      </w:r>
    </w:p>
    <w:p w14:paraId="15601C60"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rPr>
        <w:t xml:space="preserve">Published dissolution profiles were extracted from the reported figures and digitized to generate time-resolved fraction-released data for each formulation. Because published </w:t>
      </w:r>
      <w:r w:rsidRPr="0030370A">
        <w:rPr>
          <w:rFonts w:asciiTheme="majorBidi" w:hAnsiTheme="majorBidi" w:cstheme="majorBidi"/>
          <w:i/>
          <w:iCs/>
        </w:rPr>
        <w:t>in vitro</w:t>
      </w:r>
      <w:r w:rsidRPr="00430357">
        <w:rPr>
          <w:rFonts w:asciiTheme="majorBidi" w:hAnsiTheme="majorBidi" w:cstheme="majorBidi"/>
        </w:rPr>
        <w:t xml:space="preserve"> release experiments are typically terminated before complete drug release is achieved, all digitized dissolution profiles were extrapolated to 100% cumulative release. This step was necessary to avoid introducing artificial differences in total absorbed dose between formulations. Without extrapolation, the unreleased fraction at the end of each </w:t>
      </w:r>
      <w:r w:rsidRPr="0030370A">
        <w:rPr>
          <w:rFonts w:asciiTheme="majorBidi" w:hAnsiTheme="majorBidi" w:cstheme="majorBidi"/>
          <w:i/>
          <w:iCs/>
        </w:rPr>
        <w:t>in vitro</w:t>
      </w:r>
      <w:r w:rsidRPr="00430357">
        <w:rPr>
          <w:rFonts w:asciiTheme="majorBidi" w:hAnsiTheme="majorBidi" w:cstheme="majorBidi"/>
        </w:rPr>
        <w:t xml:space="preserve"> experiment would be treated as permanently unavailable for absorption, which would unfairly penalize formulations with slower release kinetics. Extrapolation ensured that differences between formulations reflected release kinetics rather than incomplete extent of release, under the assumption that full drug release would occur given sufficient time and adequate sink conditions </w:t>
      </w:r>
      <w:r w:rsidRPr="00430357">
        <w:rPr>
          <w:rFonts w:asciiTheme="majorBidi" w:hAnsiTheme="majorBidi" w:cstheme="majorBidi"/>
          <w:i/>
          <w:iCs/>
        </w:rPr>
        <w:t>in vivo</w:t>
      </w:r>
      <w:r w:rsidRPr="00430357">
        <w:rPr>
          <w:rFonts w:asciiTheme="majorBidi" w:hAnsiTheme="majorBidi" w:cstheme="majorBidi"/>
        </w:rPr>
        <w:t>.</w:t>
      </w:r>
    </w:p>
    <w:p w14:paraId="232D3EFB" w14:textId="77777777" w:rsidR="0042718E" w:rsidRPr="00430357" w:rsidRDefault="0042718E" w:rsidP="0042718E">
      <w:pPr>
        <w:spacing w:line="360" w:lineRule="auto"/>
        <w:rPr>
          <w:rFonts w:asciiTheme="majorBidi" w:hAnsiTheme="majorBidi" w:cstheme="majorBidi"/>
        </w:rPr>
      </w:pPr>
    </w:p>
    <w:p w14:paraId="19D5EE31" w14:textId="77777777" w:rsidR="0042718E" w:rsidRPr="00430357" w:rsidRDefault="0042718E" w:rsidP="0042718E">
      <w:pPr>
        <w:pStyle w:val="Heading2"/>
        <w:spacing w:line="360" w:lineRule="auto"/>
        <w:rPr>
          <w:rFonts w:asciiTheme="majorBidi" w:hAnsiTheme="majorBidi"/>
          <w:color w:val="auto"/>
        </w:rPr>
      </w:pPr>
      <w:r w:rsidRPr="00430357">
        <w:rPr>
          <w:rFonts w:asciiTheme="majorBidi" w:hAnsiTheme="majorBidi"/>
          <w:color w:val="auto"/>
        </w:rPr>
        <w:t>Formulation implementation in PK-Sim®</w:t>
      </w:r>
    </w:p>
    <w:p w14:paraId="3F1F7A75"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rPr>
        <w:t xml:space="preserve">The digitized and extrapolated dissolution profiles were implemented in PK-Sim® using the user-defined Table formulation functionality. For each formulation (R1–R5), the </w:t>
      </w:r>
      <w:r w:rsidRPr="0030370A">
        <w:rPr>
          <w:rFonts w:asciiTheme="majorBidi" w:hAnsiTheme="majorBidi" w:cstheme="majorBidi"/>
          <w:i/>
          <w:iCs/>
        </w:rPr>
        <w:t>in vitro</w:t>
      </w:r>
      <w:r w:rsidRPr="00430357">
        <w:rPr>
          <w:rFonts w:asciiTheme="majorBidi" w:hAnsiTheme="majorBidi" w:cstheme="majorBidi"/>
        </w:rPr>
        <w:t xml:space="preserve"> release kinetics defined the time course of luminal drug release in the PK-Sim GI tract model, allowing mechanistic translation of formulation-specific release behavior into predicted systemic exposure. An immediate-release (IR) formulation was included as a reference, using the dissolution profile from the original OSP rifampicin model </w:t>
      </w:r>
      <w:r w:rsidRPr="00430357">
        <w:rPr>
          <w:rFonts w:asciiTheme="majorBidi" w:hAnsiTheme="majorBidi" w:cstheme="majorBidi"/>
        </w:rPr>
        <w:fldChar w:fldCharType="begin"/>
      </w:r>
      <w:r w:rsidRPr="00430357">
        <w:rPr>
          <w:rFonts w:asciiTheme="majorBidi" w:hAnsiTheme="majorBidi" w:cstheme="majorBidi"/>
        </w:rPr>
        <w:instrText xml:space="preserve"> ADDIN ZOTERO_ITEM CSL_CITATION {"citationID":"Dpt0GlH2","properties":{"unsorted":false,"formattedCitation":"[21]","plainCitation":"[21]","noteIndex":0},"citationItems":[{"id":909,"uris":["http://zotero.org/users/12251037/items/7WW6V5M4"],"itemData":{"id":909,"type":"software","abstract":"Whole-body PBPK model of rifampicin as CYP3A4 and P-gp DDI perpetrator drug","genre":"R","note":"original-date: 2018-08-04T18:33:40Z","publisher":"Open Systems Pharmacology","source":"GitHub","title":"Open-Systems-Pharmacology/Rifampicin-Model","URL":"https://github.com/Open-Systems-Pharmacology/Rifampicin-Model","accessed":{"date-parts":[["2026",2,11]]},"issued":{"date-parts":[["2025",8,26]]}}}],"schema":"https://github.com/citation-style-language/schema/raw/master/csl-citation.json"} </w:instrText>
      </w:r>
      <w:r w:rsidRPr="00430357">
        <w:rPr>
          <w:rFonts w:asciiTheme="majorBidi" w:hAnsiTheme="majorBidi" w:cstheme="majorBidi"/>
        </w:rPr>
        <w:fldChar w:fldCharType="separate"/>
      </w:r>
      <w:r w:rsidRPr="00430357">
        <w:rPr>
          <w:rFonts w:asciiTheme="majorBidi" w:hAnsiTheme="majorBidi" w:cstheme="majorBidi"/>
        </w:rPr>
        <w:t>[21]</w:t>
      </w:r>
      <w:r w:rsidRPr="00430357">
        <w:rPr>
          <w:rFonts w:asciiTheme="majorBidi" w:hAnsiTheme="majorBidi" w:cstheme="majorBidi"/>
        </w:rPr>
        <w:fldChar w:fldCharType="end"/>
      </w:r>
      <w:r w:rsidRPr="00430357">
        <w:rPr>
          <w:rFonts w:asciiTheme="majorBidi" w:hAnsiTheme="majorBidi" w:cstheme="majorBidi"/>
        </w:rPr>
        <w:t>.</w:t>
      </w:r>
    </w:p>
    <w:p w14:paraId="35A9BE3C"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rPr>
        <w:t xml:space="preserve">All formulations were simulated using the same rifampicin dose (10 mg/kg once daily) and identical physiological and clearance parameters to allow direct comparison of formulation </w:t>
      </w:r>
      <w:r w:rsidRPr="00430357">
        <w:rPr>
          <w:rFonts w:asciiTheme="majorBidi" w:hAnsiTheme="majorBidi" w:cstheme="majorBidi"/>
        </w:rPr>
        <w:lastRenderedPageBreak/>
        <w:t xml:space="preserve">effects on plasma pharmacokinetics. Using the qualified rifampicin PBPK model </w:t>
      </w:r>
      <w:r w:rsidRPr="00430357">
        <w:rPr>
          <w:rFonts w:asciiTheme="majorBidi" w:hAnsiTheme="majorBidi" w:cstheme="majorBidi"/>
        </w:rPr>
        <w:fldChar w:fldCharType="begin"/>
      </w:r>
      <w:r w:rsidRPr="00430357">
        <w:rPr>
          <w:rFonts w:asciiTheme="majorBidi" w:hAnsiTheme="majorBidi" w:cstheme="majorBidi"/>
        </w:rPr>
        <w:instrText xml:space="preserve"> ADDIN ZOTERO_ITEM CSL_CITATION {"citationID":"78BGTue4","properties":{"unsorted":false,"formattedCitation":"[21]","plainCitation":"[21]","noteIndex":0},"citationItems":[{"id":909,"uris":["http://zotero.org/users/12251037/items/7WW6V5M4"],"itemData":{"id":909,"type":"software","abstract":"Whole-body PBPK model of rifampicin as CYP3A4 and P-gp DDI perpetrator drug","genre":"R","note":"original-date: 2018-08-04T18:33:40Z","publisher":"Open Systems Pharmacology","source":"GitHub","title":"Open-Systems-Pharmacology/Rifampicin-Model","URL":"https://github.com/Open-Systems-Pharmacology/Rifampicin-Model","accessed":{"date-parts":[["2026",2,11]]},"issued":{"date-parts":[["2025",8,26]]}}}],"schema":"https://github.com/citation-style-language/schema/raw/master/csl-citation.json"} </w:instrText>
      </w:r>
      <w:r w:rsidRPr="00430357">
        <w:rPr>
          <w:rFonts w:asciiTheme="majorBidi" w:hAnsiTheme="majorBidi" w:cstheme="majorBidi"/>
        </w:rPr>
        <w:fldChar w:fldCharType="separate"/>
      </w:r>
      <w:r w:rsidRPr="00430357">
        <w:rPr>
          <w:rFonts w:asciiTheme="majorBidi" w:hAnsiTheme="majorBidi" w:cstheme="majorBidi"/>
        </w:rPr>
        <w:t>[21]</w:t>
      </w:r>
      <w:r w:rsidRPr="00430357">
        <w:rPr>
          <w:rFonts w:asciiTheme="majorBidi" w:hAnsiTheme="majorBidi" w:cstheme="majorBidi"/>
        </w:rPr>
        <w:fldChar w:fldCharType="end"/>
      </w:r>
      <w:r w:rsidRPr="00430357">
        <w:rPr>
          <w:rFonts w:asciiTheme="majorBidi" w:hAnsiTheme="majorBidi" w:cstheme="majorBidi"/>
        </w:rPr>
        <w:t>, repeated once-daily dosing was simulated over a 14-day treatment period for each formulation, and plasma rifampicin concentration–time profiles were generated for all virtual individuals. The resulting formulation-specific plasma exposure profiles were subsequently coupled to the MTP model within the PBPK–PD framework to evaluate how differences in release kinetics translate into early bactericidal activity and treatment success.</w:t>
      </w:r>
    </w:p>
    <w:p w14:paraId="4BF3D492" w14:textId="77777777" w:rsidR="0042718E" w:rsidRPr="00430357" w:rsidRDefault="0042718E" w:rsidP="0042718E">
      <w:pPr>
        <w:spacing w:before="100" w:beforeAutospacing="1" w:after="100" w:afterAutospacing="1" w:line="360" w:lineRule="auto"/>
        <w:rPr>
          <w:rFonts w:asciiTheme="majorBidi" w:hAnsiTheme="majorBidi" w:cstheme="majorBidi"/>
        </w:rPr>
      </w:pPr>
      <w:r w:rsidRPr="00430357">
        <w:rPr>
          <w:rFonts w:asciiTheme="majorBidi" w:hAnsiTheme="majorBidi" w:cstheme="majorBidi"/>
          <w:noProof/>
        </w:rPr>
        <w:drawing>
          <wp:inline distT="0" distB="0" distL="0" distR="0" wp14:anchorId="3D97C932" wp14:editId="030E4DDF">
            <wp:extent cx="5972810" cy="4133215"/>
            <wp:effectExtent l="0" t="0" r="8890" b="635"/>
            <wp:docPr id="277457675" name="Picture 27745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810" cy="4133215"/>
                    </a:xfrm>
                    <a:prstGeom prst="rect">
                      <a:avLst/>
                    </a:prstGeom>
                    <a:noFill/>
                    <a:ln>
                      <a:noFill/>
                    </a:ln>
                  </pic:spPr>
                </pic:pic>
              </a:graphicData>
            </a:graphic>
          </wp:inline>
        </w:drawing>
      </w:r>
      <w:r w:rsidRPr="00430357">
        <w:rPr>
          <w:rStyle w:val="Strong"/>
          <w:rFonts w:asciiTheme="majorBidi" w:eastAsiaTheme="majorEastAsia" w:hAnsiTheme="majorBidi" w:cstheme="majorBidi"/>
        </w:rPr>
        <w:t>Fig. S4</w:t>
      </w:r>
      <w:r w:rsidRPr="00430357">
        <w:rPr>
          <w:rFonts w:asciiTheme="majorBidi" w:hAnsiTheme="majorBidi" w:cstheme="majorBidi"/>
        </w:rPr>
        <w:t xml:space="preserve"> </w:t>
      </w:r>
      <w:r w:rsidRPr="00430357">
        <w:rPr>
          <w:rStyle w:val="Emphasis"/>
          <w:rFonts w:asciiTheme="majorBidi" w:eastAsiaTheme="majorEastAsia" w:hAnsiTheme="majorBidi" w:cstheme="majorBidi"/>
          <w:i w:val="0"/>
          <w:iCs w:val="0"/>
        </w:rPr>
        <w:t>Digitized</w:t>
      </w:r>
      <w:r w:rsidRPr="00430357">
        <w:rPr>
          <w:rFonts w:asciiTheme="majorBidi" w:hAnsiTheme="majorBidi" w:cstheme="majorBidi"/>
          <w:i/>
          <w:iCs/>
        </w:rPr>
        <w:t xml:space="preserve"> in vitro </w:t>
      </w:r>
      <w:r w:rsidRPr="00430357">
        <w:rPr>
          <w:rStyle w:val="Emphasis"/>
          <w:rFonts w:asciiTheme="majorBidi" w:eastAsiaTheme="majorEastAsia" w:hAnsiTheme="majorBidi" w:cstheme="majorBidi"/>
          <w:i w:val="0"/>
          <w:iCs w:val="0"/>
        </w:rPr>
        <w:t xml:space="preserve">dissolution profiles of controlled-release rifampicin formulations reported by Hiremath and Saha </w:t>
      </w:r>
      <w:r w:rsidRPr="00430357">
        <w:rPr>
          <w:rStyle w:val="Emphasis"/>
          <w:rFonts w:asciiTheme="majorBidi" w:eastAsiaTheme="majorEastAsia" w:hAnsiTheme="majorBidi" w:cstheme="majorBidi"/>
          <w:i w:val="0"/>
          <w:iCs w:val="0"/>
        </w:rPr>
        <w:fldChar w:fldCharType="begin"/>
      </w:r>
      <w:r w:rsidRPr="00430357">
        <w:rPr>
          <w:rStyle w:val="Emphasis"/>
          <w:rFonts w:asciiTheme="majorBidi" w:eastAsiaTheme="majorEastAsia" w:hAnsiTheme="majorBidi" w:cstheme="majorBidi"/>
          <w:i w:val="0"/>
          <w:iCs w:val="0"/>
        </w:rPr>
        <w:instrText xml:space="preserve"> ADDIN ZOTERO_ITEM CSL_CITATION {"citationID":"eJ39MgQ5","properties":{"unsorted":false,"formattedCitation":"[15]","plainCitation":"[15]","noteIndex":0},"citationItems":[{"id":705,"uris":["http://zotero.org/users/12251037/items/WC6MC325"],"itemData":{"id":705,"type":"article-journal","abstract":"Oral controlled release formulations of rifampicin have been developed by using hydroxypropyl methylcellulose polymer at different ratios. From in vitro release data, we found that the release was extended with an increase of polymer proportion from 20% to 40%. However, increase in polymer beyond 40% resulted in no significant change in the release rate. There was a distinct difference in the release rate and release character due to variation in the compression force. The release kinetics were analyzed using Ritger and Peppas exponential equation. Stability studies at ambient storage conditions for 1 year showed that formulations were stable.","container-title":"Drug Delivery","DOI":"10.1080/10717540490494087","ISSN":"1071-7544","issue":"5","note":"_eprint: https://doi.org/10.1080/10717540490494087","page":"311-317","PMID":"15742556","publisher":"Taylor &amp; Francis","source":"Taylor and Francis+NEJM","title":"Design and Study of Rifampicin Oral Controlled Release Formulations","volume":"11","author":[{"family":"Hiremath","given":"S. P."},{"family":"Saha","given":"R. N."}],"issued":{"date-parts":[["2004",1,1]]}}}],"schema":"https://github.com/citation-style-language/schema/raw/master/csl-citation.json"} </w:instrText>
      </w:r>
      <w:r w:rsidRPr="00430357">
        <w:rPr>
          <w:rStyle w:val="Emphasis"/>
          <w:rFonts w:asciiTheme="majorBidi" w:eastAsiaTheme="majorEastAsia" w:hAnsiTheme="majorBidi" w:cstheme="majorBidi"/>
          <w:i w:val="0"/>
          <w:iCs w:val="0"/>
        </w:rPr>
        <w:fldChar w:fldCharType="separate"/>
      </w:r>
      <w:r w:rsidRPr="00430357">
        <w:rPr>
          <w:rFonts w:asciiTheme="majorBidi" w:eastAsiaTheme="majorEastAsia" w:hAnsiTheme="majorBidi" w:cstheme="majorBidi"/>
        </w:rPr>
        <w:t>[15]</w:t>
      </w:r>
      <w:r w:rsidRPr="00430357">
        <w:rPr>
          <w:rStyle w:val="Emphasis"/>
          <w:rFonts w:asciiTheme="majorBidi" w:eastAsiaTheme="majorEastAsia" w:hAnsiTheme="majorBidi" w:cstheme="majorBidi"/>
          <w:i w:val="0"/>
          <w:iCs w:val="0"/>
        </w:rPr>
        <w:fldChar w:fldCharType="end"/>
      </w:r>
      <w:r w:rsidRPr="00430357">
        <w:rPr>
          <w:rStyle w:val="Emphasis"/>
          <w:rFonts w:asciiTheme="majorBidi" w:eastAsiaTheme="majorEastAsia" w:hAnsiTheme="majorBidi" w:cstheme="majorBidi"/>
          <w:i w:val="0"/>
          <w:iCs w:val="0"/>
        </w:rPr>
        <w:t>. Cumulative drug release (% of dose) is shown over time for HPMC matrix tablets prepared with low-viscosity HPMC (15 cPs) at increasing polymer proportions: R1 (20%), R2 (30%), R3 (40%), R4 (50%), R5 (60%). Profiles were extrapolated to 100% cumulative release as described in the text</w:t>
      </w:r>
    </w:p>
    <w:p w14:paraId="642EB789" w14:textId="77777777" w:rsidR="0042718E" w:rsidRPr="00430357" w:rsidRDefault="0042718E" w:rsidP="0042718E">
      <w:pPr>
        <w:spacing w:before="100" w:beforeAutospacing="1" w:after="100" w:afterAutospacing="1" w:line="360" w:lineRule="auto"/>
        <w:rPr>
          <w:rFonts w:asciiTheme="majorBidi" w:hAnsiTheme="majorBidi" w:cstheme="majorBidi"/>
        </w:rPr>
      </w:pPr>
      <w:r w:rsidRPr="00430357">
        <w:rPr>
          <w:rFonts w:asciiTheme="majorBidi" w:hAnsiTheme="majorBidi" w:cstheme="majorBidi"/>
          <w:noProof/>
        </w:rPr>
        <w:lastRenderedPageBreak/>
        <w:drawing>
          <wp:inline distT="0" distB="0" distL="0" distR="0" wp14:anchorId="56CE1B28" wp14:editId="3BF4C1BF">
            <wp:extent cx="5972810" cy="4133215"/>
            <wp:effectExtent l="0" t="0" r="8890" b="635"/>
            <wp:docPr id="1396859411" name="Picture 1396859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4133215"/>
                    </a:xfrm>
                    <a:prstGeom prst="rect">
                      <a:avLst/>
                    </a:prstGeom>
                    <a:noFill/>
                    <a:ln>
                      <a:noFill/>
                    </a:ln>
                  </pic:spPr>
                </pic:pic>
              </a:graphicData>
            </a:graphic>
          </wp:inline>
        </w:drawing>
      </w:r>
      <w:r w:rsidRPr="00430357">
        <w:rPr>
          <w:rStyle w:val="Strong"/>
          <w:rFonts w:asciiTheme="majorBidi" w:eastAsiaTheme="majorEastAsia" w:hAnsiTheme="majorBidi" w:cstheme="majorBidi"/>
        </w:rPr>
        <w:t>Fig. S5</w:t>
      </w:r>
      <w:r w:rsidRPr="00430357">
        <w:rPr>
          <w:rFonts w:asciiTheme="majorBidi" w:hAnsiTheme="majorBidi" w:cstheme="majorBidi"/>
        </w:rPr>
        <w:t xml:space="preserve"> Digitized </w:t>
      </w:r>
      <w:r w:rsidRPr="00430357">
        <w:rPr>
          <w:rFonts w:asciiTheme="majorBidi" w:hAnsiTheme="majorBidi" w:cstheme="majorBidi"/>
          <w:i/>
          <w:iCs/>
        </w:rPr>
        <w:t>in vitro</w:t>
      </w:r>
      <w:r w:rsidRPr="00430357">
        <w:rPr>
          <w:rFonts w:asciiTheme="majorBidi" w:hAnsiTheme="majorBidi" w:cstheme="majorBidi"/>
        </w:rPr>
        <w:t xml:space="preserve"> dissolution profiles of controlled-release rifampicin formulations reported by Hiremath and Saha </w:t>
      </w:r>
      <w:r w:rsidRPr="00430357">
        <w:rPr>
          <w:rFonts w:asciiTheme="majorBidi" w:hAnsiTheme="majorBidi" w:cstheme="majorBidi"/>
        </w:rPr>
        <w:fldChar w:fldCharType="begin"/>
      </w:r>
      <w:r w:rsidRPr="00430357">
        <w:rPr>
          <w:rFonts w:asciiTheme="majorBidi" w:hAnsiTheme="majorBidi" w:cstheme="majorBidi"/>
        </w:rPr>
        <w:instrText xml:space="preserve"> ADDIN ZOTERO_ITEM CSL_CITATION {"citationID":"LUBhMdtl","properties":{"unsorted":false,"formattedCitation":"[16]","plainCitation":"[16]","noteIndex":0},"citationItems":[{"id":703,"uris":["http://zotero.org/users/12251037/items/2VP4CQDF"],"itemData":{"id":703,"type":"article-journal","abstract":"Hydrophilic controlled release matrix tablets of rifampicin, a poorly soluble drug, have been formulated using hydroxypropyl methylcellulose (HPMC) polymer (low, medium, and high viscosity) by direct compression method. Influence of formulation variables and process parameters such as drug:HPMC ratio, viscosity grade of HPMC, drug particle size, and compression force on the formulation characters and drug release has been studied. Our results indicated that the release rate of the drug and the mechanism of release from the HPMC matrices are mainly controlled by the drug:HPMC ratio and viscosity grade of the HPMC. In general, decrease in the drug particle size decreased the drug release. Lower viscosity HPMC polymer was found to be more sensitive to the effect of compression force than the higher viscosity. The formulations were found to be stable and reproducible.","container-title":"Drug Delivery","DOI":"10.1080/10717540801952498","ISSN":"1071-7544","issue":"3","note":"_eprint: https://doi.org/10.1080/10717540801952498","page":"159-168","PMID":"18379928","publisher":"Taylor &amp; Francis","source":"Taylor and Francis+NEJM","title":"Oral Controlled Release Formulations of Rifampicin. Part II: Effect of Formulation Variables and Process Parameters on In Vitro Release","title-short":"Oral Controlled Release Formulations of Rifampicin. Part II","volume":"15","author":[{"family":"Hiremath","given":"P. S."},{"family":"Saha","given":"R. N."}],"issued":{"date-parts":[["2008",1,1]]}}}],"schema":"https://github.com/citation-style-language/schema/raw/master/csl-citation.json"} </w:instrText>
      </w:r>
      <w:r w:rsidRPr="00430357">
        <w:rPr>
          <w:rFonts w:asciiTheme="majorBidi" w:hAnsiTheme="majorBidi" w:cstheme="majorBidi"/>
        </w:rPr>
        <w:fldChar w:fldCharType="separate"/>
      </w:r>
      <w:r w:rsidRPr="00430357">
        <w:rPr>
          <w:rFonts w:asciiTheme="majorBidi" w:hAnsiTheme="majorBidi" w:cstheme="majorBidi"/>
        </w:rPr>
        <w:t>[16]</w:t>
      </w:r>
      <w:r w:rsidRPr="00430357">
        <w:rPr>
          <w:rFonts w:asciiTheme="majorBidi" w:hAnsiTheme="majorBidi" w:cstheme="majorBidi"/>
        </w:rPr>
        <w:fldChar w:fldCharType="end"/>
      </w:r>
      <w:r w:rsidRPr="00430357">
        <w:rPr>
          <w:rFonts w:asciiTheme="majorBidi" w:hAnsiTheme="majorBidi" w:cstheme="majorBidi"/>
        </w:rPr>
        <w:t>. Cumulative drug release (% of dose) is shown over time for HPMC K100LV (100 cPs) matrix tablets prepared at increasing polymer proportions: R1 (10%), R2 (20%), R3 (30%), R4 (40%), R5 (60%). Profiles were extrapolated to 100% cumulative release as described in the text</w:t>
      </w:r>
    </w:p>
    <w:p w14:paraId="6F43DC15" w14:textId="77777777" w:rsidR="0042718E" w:rsidRPr="00430357" w:rsidRDefault="0042718E" w:rsidP="0042718E">
      <w:pPr>
        <w:pStyle w:val="Heading2"/>
        <w:spacing w:line="360" w:lineRule="auto"/>
        <w:rPr>
          <w:rFonts w:asciiTheme="majorBidi" w:hAnsiTheme="majorBidi"/>
          <w:color w:val="auto"/>
        </w:rPr>
      </w:pPr>
      <w:r w:rsidRPr="00430357">
        <w:rPr>
          <w:rFonts w:asciiTheme="majorBidi" w:hAnsiTheme="majorBidi"/>
          <w:color w:val="auto"/>
        </w:rPr>
        <w:lastRenderedPageBreak/>
        <w:t>Geriatrics</w:t>
      </w:r>
    </w:p>
    <w:p w14:paraId="195EFF40" w14:textId="77777777" w:rsidR="0042718E" w:rsidRPr="00430357" w:rsidRDefault="0042718E" w:rsidP="0042718E">
      <w:pPr>
        <w:spacing w:before="100" w:beforeAutospacing="1" w:after="100" w:afterAutospacing="1"/>
        <w:rPr>
          <w:rFonts w:asciiTheme="majorBidi" w:hAnsiTheme="majorBidi" w:cstheme="majorBidi"/>
        </w:rPr>
      </w:pPr>
      <w:r w:rsidRPr="00430357">
        <w:rPr>
          <w:rFonts w:asciiTheme="majorBidi" w:hAnsiTheme="majorBidi" w:cstheme="majorBidi"/>
          <w:noProof/>
        </w:rPr>
        <w:drawing>
          <wp:inline distT="0" distB="0" distL="0" distR="0" wp14:anchorId="37B9A2AA" wp14:editId="6A888B79">
            <wp:extent cx="5972810" cy="3413125"/>
            <wp:effectExtent l="0" t="0" r="8890" b="0"/>
            <wp:docPr id="1081337053" name="Picture 1081337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2810" cy="3413125"/>
                    </a:xfrm>
                    <a:prstGeom prst="rect">
                      <a:avLst/>
                    </a:prstGeom>
                    <a:noFill/>
                    <a:ln>
                      <a:noFill/>
                    </a:ln>
                  </pic:spPr>
                </pic:pic>
              </a:graphicData>
            </a:graphic>
          </wp:inline>
        </w:drawing>
      </w:r>
    </w:p>
    <w:p w14:paraId="6C730A32" w14:textId="77777777" w:rsidR="0042718E" w:rsidRPr="00430357" w:rsidRDefault="0042718E" w:rsidP="0042718E">
      <w:pPr>
        <w:spacing w:line="360" w:lineRule="auto"/>
        <w:rPr>
          <w:rFonts w:asciiTheme="majorBidi" w:hAnsiTheme="majorBidi" w:cstheme="majorBidi"/>
        </w:rPr>
      </w:pPr>
      <w:r w:rsidRPr="00430357">
        <w:rPr>
          <w:rStyle w:val="Strong"/>
          <w:rFonts w:asciiTheme="majorBidi" w:hAnsiTheme="majorBidi" w:cstheme="majorBidi"/>
        </w:rPr>
        <w:t xml:space="preserve">Fig. S6 </w:t>
      </w:r>
      <w:r w:rsidRPr="00430357">
        <w:rPr>
          <w:rStyle w:val="Emphasis"/>
          <w:rFonts w:asciiTheme="majorBidi" w:eastAsiaTheme="majorEastAsia" w:hAnsiTheme="majorBidi" w:cstheme="majorBidi"/>
          <w:i w:val="0"/>
          <w:iCs w:val="0"/>
        </w:rPr>
        <w:t>PBPK and PBPK–PD simulations of rifampicin treatment in geriatric populations. Once-daily oral rifampicin (10 mg/kg) was simulated over 14 days for a reference adult population (18–55 years) and for middle-aged (40–65 years), elderly (65–80 years), and very elderly (80–100 years) cohorts. Median trajectories (solid lines) and 5th–95th percentile ranges (shaded regions) are shown across virtual individuals (n = 100 per cohort). (a) PBPK-simulated plasma rifampicin concentration–time profiles. (b) Predicted bacterial subpopulation dynamics, showing log</w:t>
      </w:r>
      <w:r w:rsidRPr="00430357">
        <w:rPr>
          <w:rStyle w:val="Emphasis"/>
          <w:rFonts w:asciiTheme="majorBidi" w:eastAsiaTheme="majorEastAsia" w:hAnsiTheme="majorBidi" w:cstheme="majorBidi"/>
          <w:i w:val="0"/>
          <w:iCs w:val="0"/>
          <w:vertAlign w:val="subscript"/>
        </w:rPr>
        <w:t>10</w:t>
      </w:r>
      <w:r w:rsidRPr="00430357">
        <w:rPr>
          <w:rStyle w:val="Emphasis"/>
          <w:rFonts w:asciiTheme="majorBidi" w:eastAsiaTheme="majorEastAsia" w:hAnsiTheme="majorBidi" w:cstheme="majorBidi"/>
          <w:i w:val="0"/>
          <w:iCs w:val="0"/>
        </w:rPr>
        <w:t xml:space="preserve"> bacterial counts of fast-, slow-, and non-multiplying</w:t>
      </w:r>
      <w:r w:rsidRPr="00430357">
        <w:rPr>
          <w:rFonts w:asciiTheme="majorBidi" w:hAnsiTheme="majorBidi" w:cstheme="majorBidi"/>
          <w:i/>
          <w:iCs/>
        </w:rPr>
        <w:t xml:space="preserve"> M. tuberculosis </w:t>
      </w:r>
      <w:r w:rsidRPr="00430357">
        <w:rPr>
          <w:rStyle w:val="Emphasis"/>
          <w:rFonts w:asciiTheme="majorBidi" w:eastAsiaTheme="majorEastAsia" w:hAnsiTheme="majorBidi" w:cstheme="majorBidi"/>
          <w:i w:val="0"/>
          <w:iCs w:val="0"/>
        </w:rPr>
        <w:t>subpopulations as described by the multistate tuberculosis pharmacometrics (MTP) model</w:t>
      </w:r>
    </w:p>
    <w:p w14:paraId="145B191A" w14:textId="77777777" w:rsidR="0042718E" w:rsidRPr="00430357" w:rsidRDefault="0042718E" w:rsidP="0042718E">
      <w:pPr>
        <w:spacing w:line="360" w:lineRule="auto"/>
        <w:rPr>
          <w:rFonts w:asciiTheme="majorBidi" w:hAnsiTheme="majorBidi" w:cstheme="majorBidi"/>
        </w:rPr>
      </w:pPr>
    </w:p>
    <w:p w14:paraId="05DEB485" w14:textId="77777777" w:rsidR="0042718E" w:rsidRPr="00430357" w:rsidRDefault="0042718E" w:rsidP="0042718E">
      <w:pPr>
        <w:spacing w:line="360" w:lineRule="auto"/>
        <w:rPr>
          <w:rFonts w:asciiTheme="majorBidi" w:hAnsiTheme="majorBidi" w:cstheme="majorBidi"/>
        </w:rPr>
      </w:pPr>
    </w:p>
    <w:p w14:paraId="4BBFFD06" w14:textId="77777777" w:rsidR="0042718E" w:rsidRPr="00430357" w:rsidRDefault="0042718E" w:rsidP="0042718E">
      <w:pPr>
        <w:spacing w:line="360" w:lineRule="auto"/>
        <w:rPr>
          <w:rFonts w:asciiTheme="majorBidi" w:hAnsiTheme="majorBidi" w:cstheme="majorBidi"/>
        </w:rPr>
      </w:pPr>
    </w:p>
    <w:p w14:paraId="1F5ABD8D" w14:textId="77777777" w:rsidR="0042718E" w:rsidRPr="00430357" w:rsidRDefault="0042718E" w:rsidP="0042718E">
      <w:pPr>
        <w:spacing w:line="360" w:lineRule="auto"/>
        <w:rPr>
          <w:rFonts w:asciiTheme="majorBidi" w:hAnsiTheme="majorBidi" w:cstheme="majorBidi"/>
        </w:rPr>
      </w:pPr>
    </w:p>
    <w:p w14:paraId="7726930D" w14:textId="77777777" w:rsidR="0042718E" w:rsidRPr="00430357" w:rsidRDefault="0042718E" w:rsidP="0042718E">
      <w:pPr>
        <w:spacing w:line="360" w:lineRule="auto"/>
        <w:rPr>
          <w:rFonts w:asciiTheme="majorBidi" w:hAnsiTheme="majorBidi" w:cstheme="majorBidi"/>
        </w:rPr>
      </w:pPr>
    </w:p>
    <w:p w14:paraId="1DE448D8" w14:textId="77777777" w:rsidR="0042718E" w:rsidRPr="00430357" w:rsidRDefault="0042718E" w:rsidP="0042718E">
      <w:pPr>
        <w:spacing w:line="360" w:lineRule="auto"/>
        <w:rPr>
          <w:rFonts w:asciiTheme="majorBidi" w:hAnsiTheme="majorBidi" w:cstheme="majorBidi"/>
        </w:rPr>
      </w:pPr>
    </w:p>
    <w:p w14:paraId="59CB4854" w14:textId="77777777" w:rsidR="0042718E" w:rsidRPr="00430357" w:rsidRDefault="0042718E" w:rsidP="0042718E">
      <w:pPr>
        <w:spacing w:line="360" w:lineRule="auto"/>
        <w:rPr>
          <w:rFonts w:asciiTheme="majorBidi" w:hAnsiTheme="majorBidi" w:cstheme="majorBidi"/>
        </w:rPr>
      </w:pPr>
    </w:p>
    <w:p w14:paraId="66A2B1C1" w14:textId="77777777" w:rsidR="0042718E" w:rsidRPr="00430357" w:rsidRDefault="0042718E" w:rsidP="0042718E">
      <w:pPr>
        <w:rPr>
          <w:rFonts w:asciiTheme="majorBidi" w:hAnsiTheme="majorBidi" w:cstheme="majorBidi"/>
        </w:rPr>
      </w:pPr>
      <w:r w:rsidRPr="00430357">
        <w:rPr>
          <w:rFonts w:asciiTheme="majorBidi" w:hAnsiTheme="majorBidi" w:cstheme="majorBidi"/>
          <w:b/>
          <w:bCs/>
        </w:rPr>
        <w:lastRenderedPageBreak/>
        <w:t xml:space="preserve">Table S3. </w:t>
      </w:r>
      <w:r w:rsidRPr="00430357">
        <w:rPr>
          <w:rFonts w:asciiTheme="majorBidi" w:hAnsiTheme="majorBidi" w:cstheme="majorBidi"/>
        </w:rPr>
        <w:t>Model-predicted relative treatment success after 14 days of rifampicin therapy (10 mg/kg once daily) in geriatric populations</w:t>
      </w:r>
    </w:p>
    <w:tbl>
      <w:tblPr>
        <w:tblW w:w="0" w:type="auto"/>
        <w:jc w:val="center"/>
        <w:tblLayout w:type="fixed"/>
        <w:tblLook w:val="0420" w:firstRow="1" w:lastRow="0" w:firstColumn="0" w:lastColumn="0" w:noHBand="0" w:noVBand="1"/>
      </w:tblPr>
      <w:tblGrid>
        <w:gridCol w:w="5481"/>
        <w:gridCol w:w="3479"/>
      </w:tblGrid>
      <w:tr w:rsidR="0042718E" w:rsidRPr="00430357" w14:paraId="1370821E" w14:textId="77777777" w:rsidTr="00D112E6">
        <w:trPr>
          <w:tblHeader/>
          <w:jc w:val="center"/>
        </w:trPr>
        <w:tc>
          <w:tcPr>
            <w:tcW w:w="54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8A20E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sz w:val="22"/>
                <w:szCs w:val="22"/>
              </w:rPr>
            </w:pPr>
            <w:r w:rsidRPr="00430357">
              <w:rPr>
                <w:rFonts w:asciiTheme="majorBidi" w:eastAsia="Arial" w:hAnsiTheme="majorBidi" w:cstheme="majorBidi"/>
                <w:color w:val="000000"/>
                <w:sz w:val="22"/>
                <w:szCs w:val="22"/>
              </w:rPr>
              <w:t>Population</w:t>
            </w:r>
          </w:p>
        </w:tc>
        <w:tc>
          <w:tcPr>
            <w:tcW w:w="347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1C9441"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sz w:val="22"/>
                <w:szCs w:val="22"/>
              </w:rPr>
            </w:pPr>
            <w:r w:rsidRPr="00430357">
              <w:rPr>
                <w:rFonts w:asciiTheme="majorBidi" w:eastAsia="Arial" w:hAnsiTheme="majorBidi" w:cstheme="majorBidi"/>
                <w:color w:val="000000"/>
                <w:sz w:val="22"/>
                <w:szCs w:val="22"/>
              </w:rPr>
              <w:t>Relative success (vs reference)</w:t>
            </w:r>
          </w:p>
        </w:tc>
      </w:tr>
      <w:tr w:rsidR="0042718E" w:rsidRPr="00430357" w14:paraId="6385B762" w14:textId="77777777" w:rsidTr="00D112E6">
        <w:trPr>
          <w:jc w:val="center"/>
        </w:trPr>
        <w:tc>
          <w:tcPr>
            <w:tcW w:w="54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C802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sz w:val="22"/>
                <w:szCs w:val="22"/>
              </w:rPr>
            </w:pPr>
            <w:r w:rsidRPr="00430357">
              <w:rPr>
                <w:rFonts w:asciiTheme="majorBidi" w:eastAsia="Arial" w:hAnsiTheme="majorBidi" w:cstheme="majorBidi"/>
                <w:color w:val="000000"/>
                <w:sz w:val="22"/>
                <w:szCs w:val="22"/>
              </w:rPr>
              <w:t>Reference population (18–55 years)</w:t>
            </w:r>
          </w:p>
        </w:tc>
        <w:tc>
          <w:tcPr>
            <w:tcW w:w="347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D4E67"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sz w:val="22"/>
                <w:szCs w:val="22"/>
              </w:rPr>
            </w:pPr>
            <w:r w:rsidRPr="00430357">
              <w:rPr>
                <w:rFonts w:asciiTheme="majorBidi" w:eastAsia="Arial" w:hAnsiTheme="majorBidi" w:cstheme="majorBidi"/>
                <w:color w:val="000000"/>
                <w:sz w:val="22"/>
                <w:szCs w:val="22"/>
              </w:rPr>
              <w:t>1.00</w:t>
            </w:r>
          </w:p>
        </w:tc>
      </w:tr>
      <w:tr w:rsidR="0042718E" w:rsidRPr="00430357" w14:paraId="2D97C92E" w14:textId="77777777" w:rsidTr="00D112E6">
        <w:trPr>
          <w:jc w:val="center"/>
        </w:trPr>
        <w:tc>
          <w:tcPr>
            <w:tcW w:w="54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90F0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sz w:val="22"/>
                <w:szCs w:val="22"/>
              </w:rPr>
            </w:pPr>
            <w:r w:rsidRPr="00430357">
              <w:rPr>
                <w:rFonts w:asciiTheme="majorBidi" w:eastAsia="Arial" w:hAnsiTheme="majorBidi" w:cstheme="majorBidi"/>
                <w:color w:val="000000"/>
                <w:sz w:val="22"/>
                <w:szCs w:val="22"/>
              </w:rPr>
              <w:t xml:space="preserve">Middle-aged </w:t>
            </w:r>
            <w:r>
              <w:rPr>
                <w:rFonts w:asciiTheme="majorBidi" w:eastAsia="Arial" w:hAnsiTheme="majorBidi" w:cstheme="majorBidi"/>
                <w:color w:val="000000"/>
                <w:sz w:val="22"/>
                <w:szCs w:val="22"/>
              </w:rPr>
              <w:t>a</w:t>
            </w:r>
            <w:r w:rsidRPr="00430357">
              <w:rPr>
                <w:rFonts w:asciiTheme="majorBidi" w:eastAsia="Arial" w:hAnsiTheme="majorBidi" w:cstheme="majorBidi"/>
                <w:color w:val="000000"/>
                <w:sz w:val="22"/>
                <w:szCs w:val="22"/>
              </w:rPr>
              <w:t>dult (40–65 years)</w:t>
            </w:r>
          </w:p>
        </w:tc>
        <w:tc>
          <w:tcPr>
            <w:tcW w:w="347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1827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sz w:val="22"/>
                <w:szCs w:val="22"/>
              </w:rPr>
            </w:pPr>
            <w:r w:rsidRPr="00430357">
              <w:rPr>
                <w:rFonts w:asciiTheme="majorBidi" w:eastAsia="Arial" w:hAnsiTheme="majorBidi" w:cstheme="majorBidi"/>
                <w:color w:val="000000"/>
                <w:sz w:val="22"/>
                <w:szCs w:val="22"/>
              </w:rPr>
              <w:t>1.26</w:t>
            </w:r>
          </w:p>
        </w:tc>
      </w:tr>
      <w:tr w:rsidR="0042718E" w:rsidRPr="00430357" w14:paraId="7735BB34" w14:textId="77777777" w:rsidTr="00D112E6">
        <w:trPr>
          <w:jc w:val="center"/>
        </w:trPr>
        <w:tc>
          <w:tcPr>
            <w:tcW w:w="54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DC68C"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sz w:val="22"/>
                <w:szCs w:val="22"/>
              </w:rPr>
            </w:pPr>
            <w:r w:rsidRPr="00430357">
              <w:rPr>
                <w:rFonts w:asciiTheme="majorBidi" w:eastAsia="Arial" w:hAnsiTheme="majorBidi" w:cstheme="majorBidi"/>
                <w:color w:val="000000"/>
                <w:sz w:val="22"/>
                <w:szCs w:val="22"/>
              </w:rPr>
              <w:t>Elderly (65–80 years)</w:t>
            </w:r>
          </w:p>
        </w:tc>
        <w:tc>
          <w:tcPr>
            <w:tcW w:w="347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6C4B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sz w:val="22"/>
                <w:szCs w:val="22"/>
              </w:rPr>
            </w:pPr>
            <w:r w:rsidRPr="00430357">
              <w:rPr>
                <w:rFonts w:asciiTheme="majorBidi" w:eastAsia="Arial" w:hAnsiTheme="majorBidi" w:cstheme="majorBidi"/>
                <w:color w:val="000000"/>
                <w:sz w:val="22"/>
                <w:szCs w:val="22"/>
              </w:rPr>
              <w:t>1.26</w:t>
            </w:r>
          </w:p>
        </w:tc>
      </w:tr>
      <w:tr w:rsidR="0042718E" w:rsidRPr="00430357" w14:paraId="4385FECC" w14:textId="77777777" w:rsidTr="00D112E6">
        <w:trPr>
          <w:jc w:val="center"/>
        </w:trPr>
        <w:tc>
          <w:tcPr>
            <w:tcW w:w="54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5BBD7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sz w:val="22"/>
                <w:szCs w:val="22"/>
              </w:rPr>
            </w:pPr>
            <w:r w:rsidRPr="00430357">
              <w:rPr>
                <w:rFonts w:asciiTheme="majorBidi" w:eastAsia="Arial" w:hAnsiTheme="majorBidi" w:cstheme="majorBidi"/>
                <w:color w:val="000000"/>
                <w:sz w:val="22"/>
                <w:szCs w:val="22"/>
              </w:rPr>
              <w:t>Very elderly (80–100 years)</w:t>
            </w:r>
          </w:p>
        </w:tc>
        <w:tc>
          <w:tcPr>
            <w:tcW w:w="347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180569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sz w:val="22"/>
                <w:szCs w:val="22"/>
              </w:rPr>
            </w:pPr>
            <w:r w:rsidRPr="00430357">
              <w:rPr>
                <w:rFonts w:asciiTheme="majorBidi" w:eastAsia="Arial" w:hAnsiTheme="majorBidi" w:cstheme="majorBidi"/>
                <w:color w:val="000000"/>
                <w:sz w:val="22"/>
                <w:szCs w:val="22"/>
              </w:rPr>
              <w:t>1.28</w:t>
            </w:r>
          </w:p>
        </w:tc>
      </w:tr>
    </w:tbl>
    <w:p w14:paraId="068CB732" w14:textId="77777777" w:rsidR="0042718E" w:rsidRPr="00430357" w:rsidRDefault="0042718E" w:rsidP="0042718E">
      <w:pPr>
        <w:rPr>
          <w:rFonts w:asciiTheme="majorBidi" w:hAnsiTheme="majorBidi" w:cstheme="majorBidi"/>
        </w:rPr>
      </w:pPr>
      <w:r w:rsidRPr="00430357">
        <w:rPr>
          <w:rFonts w:asciiTheme="majorBidi" w:hAnsiTheme="majorBidi" w:cstheme="majorBidi"/>
        </w:rPr>
        <w:t>Values represent the ratio of treatment success probability relative to the reference population (reference = 1.00).</w:t>
      </w:r>
    </w:p>
    <w:p w14:paraId="5F5CBFE5" w14:textId="77777777" w:rsidR="0042718E" w:rsidRPr="00430357" w:rsidRDefault="0042718E" w:rsidP="0042718E">
      <w:pPr>
        <w:spacing w:line="360" w:lineRule="auto"/>
        <w:rPr>
          <w:rFonts w:asciiTheme="majorBidi" w:hAnsiTheme="majorBidi" w:cstheme="majorBidi"/>
          <w:b/>
          <w:bCs/>
        </w:rPr>
      </w:pPr>
    </w:p>
    <w:p w14:paraId="043AA004" w14:textId="77777777" w:rsidR="0042718E" w:rsidRPr="00430357" w:rsidRDefault="0042718E" w:rsidP="0042718E">
      <w:pPr>
        <w:spacing w:line="360" w:lineRule="auto"/>
        <w:rPr>
          <w:rFonts w:asciiTheme="majorBidi" w:hAnsiTheme="majorBidi" w:cstheme="majorBidi"/>
          <w:b/>
          <w:bCs/>
        </w:rPr>
      </w:pPr>
    </w:p>
    <w:p w14:paraId="58197B8A" w14:textId="77777777" w:rsidR="0042718E" w:rsidRPr="00430357" w:rsidRDefault="0042718E" w:rsidP="0042718E">
      <w:pPr>
        <w:pStyle w:val="Heading2"/>
        <w:spacing w:line="360" w:lineRule="auto"/>
        <w:rPr>
          <w:rFonts w:asciiTheme="majorBidi" w:hAnsiTheme="majorBidi"/>
          <w:color w:val="auto"/>
        </w:rPr>
      </w:pPr>
      <w:r w:rsidRPr="00430357">
        <w:rPr>
          <w:rFonts w:asciiTheme="majorBidi" w:hAnsiTheme="majorBidi"/>
          <w:color w:val="auto"/>
        </w:rPr>
        <w:t>Pediatrics</w:t>
      </w:r>
    </w:p>
    <w:p w14:paraId="64A53EEA" w14:textId="77777777" w:rsidR="0042718E" w:rsidRPr="00430357" w:rsidRDefault="0042718E" w:rsidP="0042718E">
      <w:pPr>
        <w:pStyle w:val="NormalWeb"/>
        <w:rPr>
          <w:rFonts w:asciiTheme="majorBidi" w:hAnsiTheme="majorBidi" w:cstheme="majorBidi"/>
        </w:rPr>
      </w:pPr>
      <w:r w:rsidRPr="00430357">
        <w:rPr>
          <w:rFonts w:asciiTheme="majorBidi" w:hAnsiTheme="majorBidi" w:cstheme="majorBidi"/>
          <w:noProof/>
        </w:rPr>
        <w:drawing>
          <wp:inline distT="0" distB="0" distL="0" distR="0" wp14:anchorId="5362FC43" wp14:editId="5343C926">
            <wp:extent cx="5972810" cy="4265295"/>
            <wp:effectExtent l="0" t="0" r="8890" b="1905"/>
            <wp:docPr id="1259607395" name="Picture 1259607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2810" cy="4265295"/>
                    </a:xfrm>
                    <a:prstGeom prst="rect">
                      <a:avLst/>
                    </a:prstGeom>
                    <a:noFill/>
                    <a:ln>
                      <a:noFill/>
                    </a:ln>
                  </pic:spPr>
                </pic:pic>
              </a:graphicData>
            </a:graphic>
          </wp:inline>
        </w:drawing>
      </w:r>
    </w:p>
    <w:p w14:paraId="326B726C" w14:textId="77777777" w:rsidR="0042718E" w:rsidRPr="00430357" w:rsidRDefault="0042718E" w:rsidP="0042718E">
      <w:pPr>
        <w:pStyle w:val="NoSpacing"/>
        <w:spacing w:line="360" w:lineRule="auto"/>
        <w:rPr>
          <w:rFonts w:asciiTheme="majorBidi" w:hAnsiTheme="majorBidi" w:cstheme="majorBidi"/>
          <w:sz w:val="24"/>
          <w:szCs w:val="24"/>
        </w:rPr>
      </w:pPr>
      <w:r w:rsidRPr="00430357">
        <w:rPr>
          <w:rStyle w:val="Strong"/>
          <w:rFonts w:asciiTheme="majorBidi" w:hAnsiTheme="majorBidi" w:cstheme="majorBidi"/>
          <w:sz w:val="24"/>
          <w:szCs w:val="24"/>
        </w:rPr>
        <w:t xml:space="preserve">Fig. S7 </w:t>
      </w:r>
      <w:r w:rsidRPr="00430357">
        <w:rPr>
          <w:rFonts w:asciiTheme="majorBidi" w:hAnsiTheme="majorBidi" w:cstheme="majorBidi"/>
          <w:sz w:val="24"/>
          <w:szCs w:val="24"/>
        </w:rPr>
        <w:t xml:space="preserve">PBPK and PBPK–PD simulations of rifampicin treatment in pediatric populations. Once-daily oral rifampicin (10 mg/kg) was simulated over 14 days for an adult reference population </w:t>
      </w:r>
      <w:r w:rsidRPr="00430357">
        <w:rPr>
          <w:rFonts w:asciiTheme="majorBidi" w:hAnsiTheme="majorBidi" w:cstheme="majorBidi"/>
          <w:sz w:val="24"/>
          <w:szCs w:val="24"/>
        </w:rPr>
        <w:lastRenderedPageBreak/>
        <w:t>and three pediatric cohorts: neonates (0–1 month), toddlers (1–3 years), and preschool-aged children (3–6 years). Median trajectories (solid lines) and 5th–95th percentile ranges (shaded regions) are shown across virtual individuals (n = 100 per cohort). (a) PBPK-simulated plasma rifampicin concentration–time profiles. (b) Predicted bacterial subpopulation dynamics, showing log</w:t>
      </w:r>
      <w:r w:rsidRPr="00430357">
        <w:rPr>
          <w:rFonts w:asciiTheme="majorBidi" w:hAnsiTheme="majorBidi" w:cstheme="majorBidi"/>
          <w:sz w:val="24"/>
          <w:szCs w:val="24"/>
          <w:vertAlign w:val="subscript"/>
        </w:rPr>
        <w:t xml:space="preserve">10 </w:t>
      </w:r>
      <w:r w:rsidRPr="00430357">
        <w:rPr>
          <w:rFonts w:asciiTheme="majorBidi" w:hAnsiTheme="majorBidi" w:cstheme="majorBidi"/>
          <w:sz w:val="24"/>
          <w:szCs w:val="24"/>
        </w:rPr>
        <w:t xml:space="preserve">bacterial counts of fast-, slow-, and non-multiplying </w:t>
      </w:r>
      <w:r w:rsidRPr="00430357">
        <w:rPr>
          <w:rFonts w:asciiTheme="majorBidi" w:hAnsiTheme="majorBidi" w:cstheme="majorBidi"/>
          <w:i/>
          <w:iCs/>
          <w:sz w:val="24"/>
          <w:szCs w:val="24"/>
        </w:rPr>
        <w:t>M. tuberculosis</w:t>
      </w:r>
      <w:r w:rsidRPr="00430357">
        <w:rPr>
          <w:rFonts w:asciiTheme="majorBidi" w:hAnsiTheme="majorBidi" w:cstheme="majorBidi"/>
          <w:sz w:val="24"/>
          <w:szCs w:val="24"/>
        </w:rPr>
        <w:t xml:space="preserve"> subpopulations as described by the multistate tuberculosis pharmacometrics (MTP) model</w:t>
      </w:r>
    </w:p>
    <w:p w14:paraId="5F1163C9" w14:textId="77777777" w:rsidR="0042718E" w:rsidRPr="00430357" w:rsidRDefault="0042718E" w:rsidP="0042718E">
      <w:pPr>
        <w:spacing w:line="360" w:lineRule="auto"/>
        <w:rPr>
          <w:rFonts w:asciiTheme="majorBidi" w:hAnsiTheme="majorBidi" w:cstheme="majorBidi"/>
        </w:rPr>
      </w:pPr>
    </w:p>
    <w:p w14:paraId="392E0BF5" w14:textId="77777777" w:rsidR="0042718E" w:rsidRPr="00430357" w:rsidRDefault="0042718E" w:rsidP="0042718E">
      <w:pPr>
        <w:spacing w:line="360" w:lineRule="auto"/>
        <w:rPr>
          <w:rFonts w:asciiTheme="majorBidi" w:hAnsiTheme="majorBidi" w:cstheme="majorBidi"/>
        </w:rPr>
      </w:pPr>
    </w:p>
    <w:p w14:paraId="368D8C19" w14:textId="77777777" w:rsidR="0042718E" w:rsidRPr="00430357" w:rsidRDefault="0042718E" w:rsidP="0042718E">
      <w:pPr>
        <w:spacing w:line="360" w:lineRule="auto"/>
        <w:rPr>
          <w:rFonts w:asciiTheme="majorBidi" w:hAnsiTheme="majorBidi" w:cstheme="majorBidi"/>
          <w:b/>
          <w:bCs/>
        </w:rPr>
      </w:pPr>
    </w:p>
    <w:p w14:paraId="6F44699B" w14:textId="77777777" w:rsidR="0042718E" w:rsidRPr="00430357" w:rsidRDefault="0042718E" w:rsidP="0042718E">
      <w:pPr>
        <w:rPr>
          <w:rFonts w:asciiTheme="majorBidi" w:hAnsiTheme="majorBidi" w:cstheme="majorBidi"/>
        </w:rPr>
      </w:pPr>
      <w:r w:rsidRPr="00430357">
        <w:rPr>
          <w:rFonts w:asciiTheme="majorBidi" w:hAnsiTheme="majorBidi" w:cstheme="majorBidi"/>
          <w:b/>
          <w:bCs/>
        </w:rPr>
        <w:t>Table S4</w:t>
      </w:r>
      <w:r w:rsidRPr="00430357">
        <w:rPr>
          <w:rFonts w:asciiTheme="majorBidi" w:hAnsiTheme="majorBidi" w:cstheme="majorBidi"/>
        </w:rPr>
        <w:t xml:space="preserve"> Model-predicted relative treatment success after 14 days of rifampicin therapy (10 mg/kg once daily) in pediatric populations</w:t>
      </w:r>
    </w:p>
    <w:tbl>
      <w:tblPr>
        <w:tblW w:w="0" w:type="auto"/>
        <w:jc w:val="center"/>
        <w:tblLayout w:type="fixed"/>
        <w:tblLook w:val="0420" w:firstRow="1" w:lastRow="0" w:firstColumn="0" w:lastColumn="0" w:noHBand="0" w:noVBand="1"/>
      </w:tblPr>
      <w:tblGrid>
        <w:gridCol w:w="5720"/>
        <w:gridCol w:w="3479"/>
      </w:tblGrid>
      <w:tr w:rsidR="0042718E" w:rsidRPr="00430357" w14:paraId="7A5F7576" w14:textId="77777777" w:rsidTr="00D112E6">
        <w:trPr>
          <w:tblHeader/>
          <w:jc w:val="center"/>
        </w:trPr>
        <w:tc>
          <w:tcPr>
            <w:tcW w:w="57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9446F0" w14:textId="77777777" w:rsidR="0042718E" w:rsidRPr="00430357" w:rsidRDefault="0042718E" w:rsidP="00D112E6">
            <w:pPr>
              <w:rPr>
                <w:rFonts w:asciiTheme="majorBidi" w:eastAsia="Arial" w:hAnsiTheme="majorBidi" w:cstheme="majorBidi"/>
                <w:color w:val="000000"/>
              </w:rPr>
            </w:pPr>
            <w:r w:rsidRPr="00430357">
              <w:rPr>
                <w:rFonts w:asciiTheme="majorBidi" w:eastAsia="Arial" w:hAnsiTheme="majorBidi" w:cstheme="majorBidi"/>
                <w:color w:val="000000"/>
              </w:rPr>
              <w:t>Population</w:t>
            </w:r>
          </w:p>
        </w:tc>
        <w:tc>
          <w:tcPr>
            <w:tcW w:w="347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7220C2" w14:textId="77777777" w:rsidR="0042718E" w:rsidRPr="00430357" w:rsidRDefault="0042718E" w:rsidP="00D112E6">
            <w:pPr>
              <w:rPr>
                <w:rFonts w:asciiTheme="majorBidi" w:eastAsia="Arial" w:hAnsiTheme="majorBidi" w:cstheme="majorBidi"/>
                <w:color w:val="000000"/>
              </w:rPr>
            </w:pPr>
            <w:r w:rsidRPr="00430357">
              <w:rPr>
                <w:rFonts w:asciiTheme="majorBidi" w:eastAsia="Arial" w:hAnsiTheme="majorBidi" w:cstheme="majorBidi"/>
                <w:color w:val="000000"/>
              </w:rPr>
              <w:t>Relative success (vs reference)</w:t>
            </w:r>
          </w:p>
        </w:tc>
      </w:tr>
      <w:tr w:rsidR="0042718E" w:rsidRPr="00430357" w14:paraId="64849335" w14:textId="77777777" w:rsidTr="00D112E6">
        <w:trPr>
          <w:jc w:val="center"/>
        </w:trPr>
        <w:tc>
          <w:tcPr>
            <w:tcW w:w="57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A188B" w14:textId="77777777" w:rsidR="0042718E" w:rsidRPr="00430357" w:rsidRDefault="0042718E" w:rsidP="00D112E6">
            <w:pPr>
              <w:rPr>
                <w:rFonts w:asciiTheme="majorBidi" w:eastAsia="Arial" w:hAnsiTheme="majorBidi" w:cstheme="majorBidi"/>
                <w:color w:val="000000"/>
              </w:rPr>
            </w:pPr>
            <w:r w:rsidRPr="00430357">
              <w:rPr>
                <w:rFonts w:asciiTheme="majorBidi" w:eastAsia="Arial" w:hAnsiTheme="majorBidi" w:cstheme="majorBidi"/>
                <w:color w:val="000000"/>
              </w:rPr>
              <w:t xml:space="preserve">Reference population (adult, 18–55 years) </w:t>
            </w:r>
          </w:p>
        </w:tc>
        <w:tc>
          <w:tcPr>
            <w:tcW w:w="347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C5CE5" w14:textId="77777777" w:rsidR="0042718E" w:rsidRPr="00430357" w:rsidRDefault="0042718E" w:rsidP="00D112E6">
            <w:pPr>
              <w:rPr>
                <w:rFonts w:asciiTheme="majorBidi" w:eastAsia="Arial" w:hAnsiTheme="majorBidi" w:cstheme="majorBidi"/>
                <w:color w:val="000000"/>
              </w:rPr>
            </w:pPr>
            <w:r w:rsidRPr="00430357">
              <w:rPr>
                <w:rFonts w:asciiTheme="majorBidi" w:eastAsia="Arial" w:hAnsiTheme="majorBidi" w:cstheme="majorBidi"/>
                <w:color w:val="000000"/>
              </w:rPr>
              <w:t>1.00</w:t>
            </w:r>
          </w:p>
        </w:tc>
      </w:tr>
      <w:tr w:rsidR="0042718E" w:rsidRPr="00430357" w14:paraId="1626746B" w14:textId="77777777" w:rsidTr="00D112E6">
        <w:trPr>
          <w:jc w:val="center"/>
        </w:trPr>
        <w:tc>
          <w:tcPr>
            <w:tcW w:w="57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0462C" w14:textId="77777777" w:rsidR="0042718E" w:rsidRPr="00430357" w:rsidRDefault="0042718E" w:rsidP="00D112E6">
            <w:pPr>
              <w:rPr>
                <w:rFonts w:asciiTheme="majorBidi" w:eastAsia="Arial" w:hAnsiTheme="majorBidi" w:cstheme="majorBidi"/>
                <w:color w:val="000000"/>
              </w:rPr>
            </w:pPr>
            <w:r w:rsidRPr="00430357">
              <w:rPr>
                <w:rFonts w:asciiTheme="majorBidi" w:eastAsia="Arial" w:hAnsiTheme="majorBidi" w:cstheme="majorBidi"/>
                <w:color w:val="000000"/>
              </w:rPr>
              <w:t>Neonates (0–1 month)</w:t>
            </w:r>
          </w:p>
        </w:tc>
        <w:tc>
          <w:tcPr>
            <w:tcW w:w="347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0F1BC" w14:textId="77777777" w:rsidR="0042718E" w:rsidRPr="00430357" w:rsidRDefault="0042718E" w:rsidP="00D112E6">
            <w:pPr>
              <w:rPr>
                <w:rFonts w:asciiTheme="majorBidi" w:eastAsia="Arial" w:hAnsiTheme="majorBidi" w:cstheme="majorBidi"/>
                <w:color w:val="000000"/>
              </w:rPr>
            </w:pPr>
            <w:r w:rsidRPr="00430357">
              <w:rPr>
                <w:rFonts w:asciiTheme="majorBidi" w:eastAsia="Arial" w:hAnsiTheme="majorBidi" w:cstheme="majorBidi"/>
                <w:color w:val="000000"/>
              </w:rPr>
              <w:t>1.03</w:t>
            </w:r>
          </w:p>
        </w:tc>
      </w:tr>
      <w:tr w:rsidR="0042718E" w:rsidRPr="00430357" w14:paraId="09820027" w14:textId="77777777" w:rsidTr="00D112E6">
        <w:trPr>
          <w:jc w:val="center"/>
        </w:trPr>
        <w:tc>
          <w:tcPr>
            <w:tcW w:w="57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CEC69" w14:textId="77777777" w:rsidR="0042718E" w:rsidRPr="00430357" w:rsidRDefault="0042718E" w:rsidP="00D112E6">
            <w:pPr>
              <w:rPr>
                <w:rFonts w:asciiTheme="majorBidi" w:eastAsia="Arial" w:hAnsiTheme="majorBidi" w:cstheme="majorBidi"/>
                <w:color w:val="000000"/>
              </w:rPr>
            </w:pPr>
            <w:r w:rsidRPr="00430357">
              <w:rPr>
                <w:rFonts w:asciiTheme="majorBidi" w:eastAsia="Arial" w:hAnsiTheme="majorBidi" w:cstheme="majorBidi"/>
                <w:color w:val="000000"/>
              </w:rPr>
              <w:t>Toddlers (1–3 years)</w:t>
            </w:r>
          </w:p>
        </w:tc>
        <w:tc>
          <w:tcPr>
            <w:tcW w:w="347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65330" w14:textId="77777777" w:rsidR="0042718E" w:rsidRPr="00430357" w:rsidRDefault="0042718E" w:rsidP="00D112E6">
            <w:pPr>
              <w:rPr>
                <w:rFonts w:asciiTheme="majorBidi" w:eastAsia="Arial" w:hAnsiTheme="majorBidi" w:cstheme="majorBidi"/>
                <w:color w:val="000000"/>
              </w:rPr>
            </w:pPr>
            <w:r w:rsidRPr="00430357">
              <w:rPr>
                <w:rFonts w:asciiTheme="majorBidi" w:eastAsia="Arial" w:hAnsiTheme="majorBidi" w:cstheme="majorBidi"/>
                <w:color w:val="000000"/>
              </w:rPr>
              <w:t>1.01</w:t>
            </w:r>
          </w:p>
        </w:tc>
      </w:tr>
      <w:tr w:rsidR="0042718E" w:rsidRPr="00430357" w14:paraId="63171756" w14:textId="77777777" w:rsidTr="00D112E6">
        <w:trPr>
          <w:jc w:val="center"/>
        </w:trPr>
        <w:tc>
          <w:tcPr>
            <w:tcW w:w="57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4C95FC" w14:textId="77777777" w:rsidR="0042718E" w:rsidRPr="00430357" w:rsidRDefault="0042718E" w:rsidP="00D112E6">
            <w:pPr>
              <w:rPr>
                <w:rFonts w:asciiTheme="majorBidi" w:eastAsia="Arial" w:hAnsiTheme="majorBidi" w:cstheme="majorBidi"/>
                <w:color w:val="000000"/>
              </w:rPr>
            </w:pPr>
            <w:r w:rsidRPr="00430357">
              <w:rPr>
                <w:rFonts w:asciiTheme="majorBidi" w:eastAsia="Arial" w:hAnsiTheme="majorBidi" w:cstheme="majorBidi"/>
                <w:color w:val="000000"/>
              </w:rPr>
              <w:t>Preschool (3–6 years)</w:t>
            </w:r>
          </w:p>
        </w:tc>
        <w:tc>
          <w:tcPr>
            <w:tcW w:w="347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22B8C5" w14:textId="77777777" w:rsidR="0042718E" w:rsidRPr="00430357" w:rsidRDefault="0042718E" w:rsidP="00D112E6">
            <w:pPr>
              <w:rPr>
                <w:rFonts w:asciiTheme="majorBidi" w:eastAsia="Arial" w:hAnsiTheme="majorBidi" w:cstheme="majorBidi"/>
                <w:color w:val="000000"/>
              </w:rPr>
            </w:pPr>
            <w:r w:rsidRPr="00430357">
              <w:rPr>
                <w:rFonts w:asciiTheme="majorBidi" w:eastAsia="Arial" w:hAnsiTheme="majorBidi" w:cstheme="majorBidi"/>
                <w:color w:val="000000"/>
              </w:rPr>
              <w:t>0.90</w:t>
            </w:r>
          </w:p>
        </w:tc>
      </w:tr>
    </w:tbl>
    <w:p w14:paraId="07E719CF" w14:textId="77777777" w:rsidR="0042718E" w:rsidRPr="00430357" w:rsidRDefault="0042718E" w:rsidP="0042718E">
      <w:pPr>
        <w:rPr>
          <w:rFonts w:asciiTheme="majorBidi" w:hAnsiTheme="majorBidi" w:cstheme="majorBidi"/>
        </w:rPr>
      </w:pPr>
      <w:r w:rsidRPr="00430357">
        <w:rPr>
          <w:rFonts w:asciiTheme="majorBidi" w:hAnsiTheme="majorBidi" w:cstheme="majorBidi"/>
        </w:rPr>
        <w:t>Values represent the ratio of treatment success probability relative to the reference population (reference = 1.00). All cohorts received the same weight-based rifampicin dose (10 mg/kg once daily) to isolate the impact of physiology-driven exposure differences</w:t>
      </w:r>
    </w:p>
    <w:p w14:paraId="47D5CC53" w14:textId="77777777" w:rsidR="0042718E" w:rsidRPr="00430357" w:rsidRDefault="0042718E" w:rsidP="0042718E">
      <w:pPr>
        <w:spacing w:line="360" w:lineRule="auto"/>
        <w:rPr>
          <w:rFonts w:asciiTheme="majorBidi" w:hAnsiTheme="majorBidi" w:cstheme="majorBidi"/>
        </w:rPr>
      </w:pPr>
    </w:p>
    <w:p w14:paraId="700C79D8" w14:textId="77777777" w:rsidR="0042718E" w:rsidRPr="00430357" w:rsidRDefault="0042718E" w:rsidP="0042718E">
      <w:pPr>
        <w:pStyle w:val="Heading2"/>
        <w:spacing w:line="360" w:lineRule="auto"/>
        <w:rPr>
          <w:rFonts w:asciiTheme="majorBidi" w:hAnsiTheme="majorBidi"/>
          <w:color w:val="auto"/>
        </w:rPr>
      </w:pPr>
      <w:r w:rsidRPr="00430357">
        <w:rPr>
          <w:rFonts w:asciiTheme="majorBidi" w:hAnsiTheme="majorBidi"/>
          <w:color w:val="auto"/>
        </w:rPr>
        <w:lastRenderedPageBreak/>
        <w:t>Pregnancy</w:t>
      </w:r>
    </w:p>
    <w:p w14:paraId="29AB50AD" w14:textId="77777777" w:rsidR="0042718E" w:rsidRPr="00430357" w:rsidRDefault="0042718E" w:rsidP="0042718E">
      <w:pPr>
        <w:pStyle w:val="NormalWeb"/>
        <w:rPr>
          <w:rFonts w:asciiTheme="majorBidi" w:hAnsiTheme="majorBidi" w:cstheme="majorBidi"/>
        </w:rPr>
      </w:pPr>
      <w:r w:rsidRPr="00430357">
        <w:rPr>
          <w:rFonts w:asciiTheme="majorBidi" w:hAnsiTheme="majorBidi" w:cstheme="majorBidi"/>
          <w:noProof/>
        </w:rPr>
        <w:drawing>
          <wp:inline distT="0" distB="0" distL="0" distR="0" wp14:anchorId="6AD4F14D" wp14:editId="2926DEF3">
            <wp:extent cx="5972810" cy="4265295"/>
            <wp:effectExtent l="0" t="0" r="8890" b="1905"/>
            <wp:docPr id="542183939" name="Picture 542183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2810" cy="4265295"/>
                    </a:xfrm>
                    <a:prstGeom prst="rect">
                      <a:avLst/>
                    </a:prstGeom>
                    <a:noFill/>
                    <a:ln>
                      <a:noFill/>
                    </a:ln>
                  </pic:spPr>
                </pic:pic>
              </a:graphicData>
            </a:graphic>
          </wp:inline>
        </w:drawing>
      </w:r>
    </w:p>
    <w:p w14:paraId="2C42C468" w14:textId="77777777" w:rsidR="0042718E" w:rsidRPr="00430357" w:rsidRDefault="0042718E" w:rsidP="0042718E">
      <w:pPr>
        <w:spacing w:line="360" w:lineRule="auto"/>
        <w:rPr>
          <w:rFonts w:asciiTheme="majorBidi" w:hAnsiTheme="majorBidi" w:cstheme="majorBidi"/>
        </w:rPr>
      </w:pPr>
      <w:r w:rsidRPr="00430357">
        <w:rPr>
          <w:rFonts w:asciiTheme="majorBidi" w:hAnsiTheme="majorBidi" w:cstheme="majorBidi"/>
          <w:b/>
          <w:bCs/>
        </w:rPr>
        <w:t>Fig. S8</w:t>
      </w:r>
      <w:r w:rsidRPr="00430357">
        <w:rPr>
          <w:rFonts w:asciiTheme="majorBidi" w:hAnsiTheme="majorBidi" w:cstheme="majorBidi"/>
        </w:rPr>
        <w:t xml:space="preserve"> PBPK and PBPK–PD simulations of rifampicin treatment in pregnant populations. Once-daily oral rifampicin (10 mg/kg) was simulated over 14 days for a non-pregnant adult reference population and trimester-specific pregnant cohorts at approximately 12 (T1), 24 (T2), and 38 (T3) weeks of gestation. Median trajectories (solid lines) and 5th–95th percentile ranges (shaded regions) are shown across virtual individuals (n = 100 per cohort). (a) PBPK-simulated plasma rifampicin concentration–time profiles. (b) Predicted bacterial subpopulation dynamics, showing log</w:t>
      </w:r>
      <w:r w:rsidRPr="00B531DA">
        <w:rPr>
          <w:rFonts w:asciiTheme="majorBidi" w:hAnsiTheme="majorBidi" w:cstheme="majorBidi"/>
          <w:vertAlign w:val="subscript"/>
        </w:rPr>
        <w:t>10</w:t>
      </w:r>
      <w:r w:rsidRPr="00430357">
        <w:rPr>
          <w:rFonts w:asciiTheme="majorBidi" w:hAnsiTheme="majorBidi" w:cstheme="majorBidi"/>
        </w:rPr>
        <w:t xml:space="preserve"> bacterial counts of fast-, slow-, and non-multiplying </w:t>
      </w:r>
      <w:r w:rsidRPr="00430357">
        <w:rPr>
          <w:rFonts w:asciiTheme="majorBidi" w:hAnsiTheme="majorBidi" w:cstheme="majorBidi"/>
          <w:i/>
          <w:iCs/>
        </w:rPr>
        <w:t>M. tuberculosis</w:t>
      </w:r>
      <w:r w:rsidRPr="00430357">
        <w:rPr>
          <w:rFonts w:asciiTheme="majorBidi" w:hAnsiTheme="majorBidi" w:cstheme="majorBidi"/>
        </w:rPr>
        <w:t xml:space="preserve"> subpopulations as described by the multistate tuberculosis pharmacometrics (MTP) model</w:t>
      </w:r>
    </w:p>
    <w:p w14:paraId="18758F2B" w14:textId="77777777" w:rsidR="0042718E" w:rsidRPr="00430357" w:rsidRDefault="0042718E" w:rsidP="0042718E">
      <w:pPr>
        <w:spacing w:line="360" w:lineRule="auto"/>
        <w:rPr>
          <w:rFonts w:asciiTheme="majorBidi" w:hAnsiTheme="majorBidi" w:cstheme="majorBidi"/>
        </w:rPr>
      </w:pPr>
    </w:p>
    <w:p w14:paraId="71021FBD" w14:textId="77777777" w:rsidR="0042718E" w:rsidRPr="00430357" w:rsidRDefault="0042718E" w:rsidP="0042718E">
      <w:pPr>
        <w:spacing w:line="360" w:lineRule="auto"/>
        <w:rPr>
          <w:rFonts w:asciiTheme="majorBidi" w:hAnsiTheme="majorBidi" w:cstheme="majorBidi"/>
        </w:rPr>
      </w:pPr>
    </w:p>
    <w:p w14:paraId="79887B8F" w14:textId="77777777" w:rsidR="0042718E" w:rsidRPr="00430357" w:rsidRDefault="0042718E" w:rsidP="0042718E">
      <w:pPr>
        <w:spacing w:line="360" w:lineRule="auto"/>
        <w:rPr>
          <w:rFonts w:asciiTheme="majorBidi" w:hAnsiTheme="majorBidi" w:cstheme="majorBidi"/>
        </w:rPr>
      </w:pPr>
    </w:p>
    <w:p w14:paraId="03F91E5B" w14:textId="77777777" w:rsidR="0042718E" w:rsidRPr="00430357" w:rsidRDefault="0042718E" w:rsidP="0042718E">
      <w:pPr>
        <w:spacing w:line="360" w:lineRule="auto"/>
        <w:rPr>
          <w:rFonts w:asciiTheme="majorBidi" w:hAnsiTheme="majorBidi" w:cstheme="majorBidi"/>
        </w:rPr>
      </w:pPr>
    </w:p>
    <w:p w14:paraId="070E30D9" w14:textId="77777777" w:rsidR="0042718E" w:rsidRPr="00430357" w:rsidRDefault="0042718E" w:rsidP="0042718E">
      <w:pPr>
        <w:rPr>
          <w:rFonts w:asciiTheme="majorBidi" w:hAnsiTheme="majorBidi" w:cstheme="majorBidi"/>
        </w:rPr>
      </w:pPr>
      <w:r w:rsidRPr="00430357">
        <w:rPr>
          <w:rFonts w:asciiTheme="majorBidi" w:hAnsiTheme="majorBidi" w:cstheme="majorBidi"/>
          <w:b/>
          <w:bCs/>
        </w:rPr>
        <w:lastRenderedPageBreak/>
        <w:t xml:space="preserve">Table S5 </w:t>
      </w:r>
      <w:r w:rsidRPr="00430357">
        <w:rPr>
          <w:rFonts w:asciiTheme="majorBidi" w:hAnsiTheme="majorBidi" w:cstheme="majorBidi"/>
        </w:rPr>
        <w:t>Model-predicted relative treatment success after 14 days of rifampicin therapy (10 mg/kg once daily) in pregnant populations</w:t>
      </w:r>
    </w:p>
    <w:tbl>
      <w:tblPr>
        <w:tblW w:w="0" w:type="auto"/>
        <w:jc w:val="center"/>
        <w:tblLayout w:type="fixed"/>
        <w:tblLook w:val="0420" w:firstRow="1" w:lastRow="0" w:firstColumn="0" w:lastColumn="0" w:noHBand="0" w:noVBand="1"/>
      </w:tblPr>
      <w:tblGrid>
        <w:gridCol w:w="5125"/>
        <w:gridCol w:w="3479"/>
      </w:tblGrid>
      <w:tr w:rsidR="0042718E" w:rsidRPr="00430357" w14:paraId="672992A4" w14:textId="77777777" w:rsidTr="00D112E6">
        <w:trPr>
          <w:tblHeader/>
          <w:jc w:val="center"/>
        </w:trPr>
        <w:tc>
          <w:tcPr>
            <w:tcW w:w="512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74B99E"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Population</w:t>
            </w:r>
          </w:p>
        </w:tc>
        <w:tc>
          <w:tcPr>
            <w:tcW w:w="347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01B28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Relative success (vs reference)</w:t>
            </w:r>
          </w:p>
        </w:tc>
      </w:tr>
      <w:tr w:rsidR="0042718E" w:rsidRPr="00430357" w14:paraId="0BEE2988" w14:textId="77777777" w:rsidTr="00D112E6">
        <w:trPr>
          <w:jc w:val="center"/>
        </w:trPr>
        <w:tc>
          <w:tcPr>
            <w:tcW w:w="512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B9BFB"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Non-pregnant</w:t>
            </w:r>
          </w:p>
        </w:tc>
        <w:tc>
          <w:tcPr>
            <w:tcW w:w="347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BD66F"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1.00</w:t>
            </w:r>
          </w:p>
        </w:tc>
      </w:tr>
      <w:tr w:rsidR="0042718E" w:rsidRPr="00430357" w14:paraId="3BB5A168" w14:textId="77777777" w:rsidTr="00D112E6">
        <w:trPr>
          <w:jc w:val="center"/>
        </w:trPr>
        <w:tc>
          <w:tcPr>
            <w:tcW w:w="51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C0BA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T1 (FA 12 weeks)</w:t>
            </w:r>
          </w:p>
        </w:tc>
        <w:tc>
          <w:tcPr>
            <w:tcW w:w="347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7662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0.84</w:t>
            </w:r>
          </w:p>
        </w:tc>
      </w:tr>
      <w:tr w:rsidR="0042718E" w:rsidRPr="00430357" w14:paraId="592C340E" w14:textId="77777777" w:rsidTr="00D112E6">
        <w:trPr>
          <w:jc w:val="center"/>
        </w:trPr>
        <w:tc>
          <w:tcPr>
            <w:tcW w:w="51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DED12"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T2 (FA 24 weeks)</w:t>
            </w:r>
          </w:p>
        </w:tc>
        <w:tc>
          <w:tcPr>
            <w:tcW w:w="347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CA0A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1.01</w:t>
            </w:r>
          </w:p>
        </w:tc>
      </w:tr>
      <w:tr w:rsidR="0042718E" w:rsidRPr="00430357" w14:paraId="54AC59A4" w14:textId="77777777" w:rsidTr="00D112E6">
        <w:trPr>
          <w:jc w:val="center"/>
        </w:trPr>
        <w:tc>
          <w:tcPr>
            <w:tcW w:w="512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D5F3E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T3 (FA 38 weeks)</w:t>
            </w:r>
          </w:p>
        </w:tc>
        <w:tc>
          <w:tcPr>
            <w:tcW w:w="347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FB81B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1.01</w:t>
            </w:r>
          </w:p>
        </w:tc>
      </w:tr>
    </w:tbl>
    <w:p w14:paraId="72F7D4B2" w14:textId="77777777" w:rsidR="0042718E" w:rsidRPr="00430357" w:rsidRDefault="0042718E" w:rsidP="0042718E">
      <w:pPr>
        <w:rPr>
          <w:rFonts w:asciiTheme="majorBidi" w:hAnsiTheme="majorBidi" w:cstheme="majorBidi"/>
        </w:rPr>
      </w:pPr>
      <w:r w:rsidRPr="00430357">
        <w:rPr>
          <w:rFonts w:asciiTheme="majorBidi" w:hAnsiTheme="majorBidi" w:cstheme="majorBidi"/>
        </w:rPr>
        <w:t>Values represent the ratio of treatment success probability relative to non-pregnant (non-pregnant = 1.00). FA = fertilization age.</w:t>
      </w:r>
    </w:p>
    <w:p w14:paraId="28A7B4FD" w14:textId="77777777" w:rsidR="0042718E" w:rsidRPr="00430357" w:rsidRDefault="0042718E" w:rsidP="0042718E">
      <w:pPr>
        <w:spacing w:line="360" w:lineRule="auto"/>
        <w:rPr>
          <w:rFonts w:asciiTheme="majorBidi" w:hAnsiTheme="majorBidi" w:cstheme="majorBidi"/>
        </w:rPr>
      </w:pPr>
    </w:p>
    <w:p w14:paraId="44D71F5B" w14:textId="77777777" w:rsidR="0042718E" w:rsidRPr="00430357" w:rsidRDefault="0042718E" w:rsidP="0042718E">
      <w:pPr>
        <w:spacing w:line="360" w:lineRule="auto"/>
        <w:rPr>
          <w:rFonts w:asciiTheme="majorBidi" w:hAnsiTheme="majorBidi" w:cstheme="majorBidi"/>
        </w:rPr>
      </w:pPr>
    </w:p>
    <w:p w14:paraId="0BDAD0E9" w14:textId="77777777" w:rsidR="0042718E" w:rsidRPr="00430357" w:rsidRDefault="0042718E" w:rsidP="0042718E">
      <w:pPr>
        <w:spacing w:line="360" w:lineRule="auto"/>
        <w:rPr>
          <w:rFonts w:asciiTheme="majorBidi" w:hAnsiTheme="majorBidi" w:cstheme="majorBidi"/>
        </w:rPr>
      </w:pPr>
    </w:p>
    <w:p w14:paraId="648D2EDE" w14:textId="77777777" w:rsidR="0042718E" w:rsidRPr="00430357" w:rsidRDefault="0042718E" w:rsidP="0042718E">
      <w:pPr>
        <w:spacing w:line="360" w:lineRule="auto"/>
        <w:rPr>
          <w:rFonts w:asciiTheme="majorBidi" w:hAnsiTheme="majorBidi" w:cstheme="majorBidi"/>
        </w:rPr>
      </w:pPr>
    </w:p>
    <w:p w14:paraId="174BEBA5" w14:textId="77777777" w:rsidR="0042718E" w:rsidRPr="00430357" w:rsidRDefault="0042718E" w:rsidP="0042718E">
      <w:pPr>
        <w:spacing w:line="360" w:lineRule="auto"/>
        <w:rPr>
          <w:rFonts w:asciiTheme="majorBidi" w:hAnsiTheme="majorBidi" w:cstheme="majorBidi"/>
        </w:rPr>
      </w:pPr>
    </w:p>
    <w:p w14:paraId="569BC91F" w14:textId="77777777" w:rsidR="0042718E" w:rsidRPr="00430357" w:rsidRDefault="0042718E" w:rsidP="0042718E">
      <w:pPr>
        <w:spacing w:line="360" w:lineRule="auto"/>
        <w:rPr>
          <w:rFonts w:asciiTheme="majorBidi" w:hAnsiTheme="majorBidi" w:cstheme="majorBidi"/>
        </w:rPr>
      </w:pPr>
    </w:p>
    <w:p w14:paraId="317F7C3C" w14:textId="77777777" w:rsidR="0042718E" w:rsidRPr="00430357" w:rsidRDefault="0042718E" w:rsidP="0042718E">
      <w:pPr>
        <w:pStyle w:val="Heading2"/>
        <w:spacing w:line="360" w:lineRule="auto"/>
        <w:rPr>
          <w:rFonts w:asciiTheme="majorBidi" w:hAnsiTheme="majorBidi"/>
          <w:color w:val="auto"/>
        </w:rPr>
      </w:pPr>
      <w:r w:rsidRPr="00430357">
        <w:rPr>
          <w:rFonts w:asciiTheme="majorBidi" w:hAnsiTheme="majorBidi"/>
          <w:color w:val="auto"/>
        </w:rPr>
        <w:lastRenderedPageBreak/>
        <w:t>Modified release 2004</w:t>
      </w:r>
    </w:p>
    <w:p w14:paraId="02CDD8B3" w14:textId="77777777" w:rsidR="0042718E" w:rsidRPr="00430357" w:rsidRDefault="0042718E" w:rsidP="0042718E">
      <w:pPr>
        <w:pStyle w:val="NormalWeb"/>
        <w:rPr>
          <w:rFonts w:asciiTheme="majorBidi" w:hAnsiTheme="majorBidi" w:cstheme="majorBidi"/>
        </w:rPr>
      </w:pPr>
      <w:r w:rsidRPr="00430357">
        <w:rPr>
          <w:rFonts w:asciiTheme="majorBidi" w:hAnsiTheme="majorBidi" w:cstheme="majorBidi"/>
          <w:noProof/>
        </w:rPr>
        <w:drawing>
          <wp:inline distT="0" distB="0" distL="0" distR="0" wp14:anchorId="7A986D8C" wp14:editId="6C8799DF">
            <wp:extent cx="5972810" cy="4265295"/>
            <wp:effectExtent l="0" t="0" r="8890" b="1905"/>
            <wp:docPr id="1417130253" name="Picture 141713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2810" cy="4265295"/>
                    </a:xfrm>
                    <a:prstGeom prst="rect">
                      <a:avLst/>
                    </a:prstGeom>
                    <a:noFill/>
                    <a:ln>
                      <a:noFill/>
                    </a:ln>
                  </pic:spPr>
                </pic:pic>
              </a:graphicData>
            </a:graphic>
          </wp:inline>
        </w:drawing>
      </w:r>
    </w:p>
    <w:p w14:paraId="2DFF08C5" w14:textId="77777777" w:rsidR="0042718E" w:rsidRPr="00430357" w:rsidRDefault="0042718E" w:rsidP="0042718E">
      <w:pPr>
        <w:spacing w:line="360" w:lineRule="auto"/>
        <w:rPr>
          <w:rFonts w:asciiTheme="majorBidi" w:hAnsiTheme="majorBidi" w:cstheme="majorBidi"/>
          <w:b/>
          <w:bCs/>
        </w:rPr>
      </w:pPr>
      <w:r w:rsidRPr="00430357">
        <w:rPr>
          <w:rStyle w:val="Strong"/>
          <w:rFonts w:asciiTheme="majorBidi" w:hAnsiTheme="majorBidi" w:cstheme="majorBidi"/>
        </w:rPr>
        <w:t xml:space="preserve">Fig. S9 </w:t>
      </w:r>
      <w:r w:rsidRPr="00430357">
        <w:rPr>
          <w:rStyle w:val="Strong"/>
          <w:rFonts w:asciiTheme="majorBidi" w:hAnsiTheme="majorBidi" w:cstheme="majorBidi"/>
          <w:b w:val="0"/>
          <w:bCs w:val="0"/>
        </w:rPr>
        <w:t xml:space="preserve">PBPK and PBPK–PD simulations of rifampicin treatment across the 2004 controlled-release formulation series. Once-daily oral rifampicin (10 mg/kg) was simulated over 14 days for an immediate-release reference formulation and five controlled-release formulations derived from </w:t>
      </w:r>
      <w:r w:rsidRPr="0030370A">
        <w:rPr>
          <w:rStyle w:val="Strong"/>
          <w:rFonts w:asciiTheme="majorBidi" w:hAnsiTheme="majorBidi" w:cstheme="majorBidi"/>
          <w:b w:val="0"/>
          <w:bCs w:val="0"/>
          <w:i/>
          <w:iCs/>
        </w:rPr>
        <w:t>in vitro</w:t>
      </w:r>
      <w:r w:rsidRPr="00430357">
        <w:rPr>
          <w:rStyle w:val="Strong"/>
          <w:rFonts w:asciiTheme="majorBidi" w:hAnsiTheme="majorBidi" w:cstheme="majorBidi"/>
          <w:b w:val="0"/>
          <w:bCs w:val="0"/>
        </w:rPr>
        <w:t xml:space="preserve"> dissolution data of low-viscosity HPMC (15 cPs) matrix tablets at increasing polymer proportions (20–60%; R1–R5) reported by Hiremath and Saha </w:t>
      </w:r>
      <w:r w:rsidRPr="00430357">
        <w:rPr>
          <w:rStyle w:val="Strong"/>
          <w:rFonts w:asciiTheme="majorBidi" w:hAnsiTheme="majorBidi" w:cstheme="majorBidi"/>
          <w:b w:val="0"/>
          <w:bCs w:val="0"/>
        </w:rPr>
        <w:fldChar w:fldCharType="begin"/>
      </w:r>
      <w:r w:rsidRPr="00430357">
        <w:rPr>
          <w:rStyle w:val="Strong"/>
          <w:rFonts w:asciiTheme="majorBidi" w:hAnsiTheme="majorBidi" w:cstheme="majorBidi"/>
          <w:b w:val="0"/>
          <w:bCs w:val="0"/>
        </w:rPr>
        <w:instrText xml:space="preserve"> ADDIN ZOTERO_ITEM CSL_CITATION {"citationID":"RDRcskMu","properties":{"unsorted":false,"formattedCitation":"[15]","plainCitation":"[15]","noteIndex":0},"citationItems":[{"id":705,"uris":["http://zotero.org/users/12251037/items/WC6MC325"],"itemData":{"id":705,"type":"article-journal","abstract":"Oral controlled release formulations of rifampicin have been developed by using hydroxypropyl methylcellulose polymer at different ratios. From in vitro release data, we found that the release was extended with an increase of polymer proportion from 20% to 40%. However, increase in polymer beyond 40% resulted in no significant change in the release rate. There was a distinct difference in the release rate and release character due to variation in the compression force. The release kinetics were analyzed using Ritger and Peppas exponential equation. Stability studies at ambient storage conditions for 1 year showed that formulations were stable.","container-title":"Drug Delivery","DOI":"10.1080/10717540490494087","ISSN":"1071-7544","issue":"5","note":"_eprint: https://doi.org/10.1080/10717540490494087","page":"311-317","PMID":"15742556","publisher":"Taylor &amp; Francis","source":"Taylor and Francis+NEJM","title":"Design and Study of Rifampicin Oral Controlled Release Formulations","volume":"11","author":[{"family":"Hiremath","given":"S. P."},{"family":"Saha","given":"R. N."}],"issued":{"date-parts":[["2004",1,1]]}}}],"schema":"https://github.com/citation-style-language/schema/raw/master/csl-citation.json"} </w:instrText>
      </w:r>
      <w:r w:rsidRPr="00430357">
        <w:rPr>
          <w:rStyle w:val="Strong"/>
          <w:rFonts w:asciiTheme="majorBidi" w:hAnsiTheme="majorBidi" w:cstheme="majorBidi"/>
          <w:b w:val="0"/>
          <w:bCs w:val="0"/>
        </w:rPr>
        <w:fldChar w:fldCharType="separate"/>
      </w:r>
      <w:r w:rsidRPr="00430357">
        <w:rPr>
          <w:rFonts w:asciiTheme="majorBidi" w:hAnsiTheme="majorBidi" w:cstheme="majorBidi"/>
        </w:rPr>
        <w:t>[15]</w:t>
      </w:r>
      <w:r w:rsidRPr="00430357">
        <w:rPr>
          <w:rStyle w:val="Strong"/>
          <w:rFonts w:asciiTheme="majorBidi" w:hAnsiTheme="majorBidi" w:cstheme="majorBidi"/>
          <w:b w:val="0"/>
          <w:bCs w:val="0"/>
        </w:rPr>
        <w:fldChar w:fldCharType="end"/>
      </w:r>
      <w:r w:rsidRPr="00430357">
        <w:rPr>
          <w:rStyle w:val="Strong"/>
          <w:rFonts w:asciiTheme="majorBidi" w:hAnsiTheme="majorBidi" w:cstheme="majorBidi"/>
          <w:b w:val="0"/>
          <w:bCs w:val="0"/>
        </w:rPr>
        <w:t>. Median trajectories (solid lines) and 5th–95th percentile ranges (shaded regions) are shown across virtual individuals (n = 100 per formulation). (a) PBPK-simulated plasma rifampicin concentration–time profiles. (b) Predicted bacterial subpopulation dynamics, showing log</w:t>
      </w:r>
      <w:r w:rsidRPr="00430357">
        <w:rPr>
          <w:rStyle w:val="Strong"/>
          <w:rFonts w:asciiTheme="majorBidi" w:hAnsiTheme="majorBidi" w:cstheme="majorBidi"/>
          <w:b w:val="0"/>
          <w:bCs w:val="0"/>
          <w:vertAlign w:val="subscript"/>
        </w:rPr>
        <w:t>10</w:t>
      </w:r>
      <w:r w:rsidRPr="00430357">
        <w:rPr>
          <w:rStyle w:val="Strong"/>
          <w:rFonts w:asciiTheme="majorBidi" w:hAnsiTheme="majorBidi" w:cstheme="majorBidi"/>
          <w:b w:val="0"/>
          <w:bCs w:val="0"/>
        </w:rPr>
        <w:t xml:space="preserve"> bacterial counts of fast-, slow-, and non-multiplying </w:t>
      </w:r>
      <w:r w:rsidRPr="00430357">
        <w:rPr>
          <w:rStyle w:val="Strong"/>
          <w:rFonts w:asciiTheme="majorBidi" w:hAnsiTheme="majorBidi" w:cstheme="majorBidi"/>
          <w:b w:val="0"/>
          <w:bCs w:val="0"/>
          <w:i/>
          <w:iCs/>
        </w:rPr>
        <w:t>M. tuberculosis</w:t>
      </w:r>
      <w:r w:rsidRPr="00430357">
        <w:rPr>
          <w:rStyle w:val="Strong"/>
          <w:rFonts w:asciiTheme="majorBidi" w:hAnsiTheme="majorBidi" w:cstheme="majorBidi"/>
          <w:b w:val="0"/>
          <w:bCs w:val="0"/>
        </w:rPr>
        <w:t xml:space="preserve"> subpopulations as described by the multistate tuberculosis pharmacometrics (MTP) model</w:t>
      </w:r>
    </w:p>
    <w:p w14:paraId="2C003AD2" w14:textId="77777777" w:rsidR="0042718E" w:rsidRPr="00430357" w:rsidRDefault="0042718E" w:rsidP="0042718E">
      <w:pPr>
        <w:rPr>
          <w:rFonts w:asciiTheme="majorBidi" w:hAnsiTheme="majorBidi" w:cstheme="majorBidi"/>
        </w:rPr>
      </w:pPr>
    </w:p>
    <w:p w14:paraId="1FDD5F2F" w14:textId="77777777" w:rsidR="0042718E" w:rsidRPr="00430357" w:rsidRDefault="0042718E" w:rsidP="0042718E">
      <w:pPr>
        <w:rPr>
          <w:rFonts w:asciiTheme="majorBidi" w:hAnsiTheme="majorBidi" w:cstheme="majorBidi"/>
        </w:rPr>
      </w:pPr>
    </w:p>
    <w:p w14:paraId="0A996033" w14:textId="77777777" w:rsidR="0042718E" w:rsidRPr="00430357" w:rsidRDefault="0042718E" w:rsidP="0042718E">
      <w:pPr>
        <w:rPr>
          <w:rFonts w:asciiTheme="majorBidi" w:hAnsiTheme="majorBidi" w:cstheme="majorBidi"/>
        </w:rPr>
      </w:pPr>
    </w:p>
    <w:p w14:paraId="390C3B00" w14:textId="77777777" w:rsidR="0042718E" w:rsidRPr="00430357" w:rsidRDefault="0042718E" w:rsidP="0042718E">
      <w:pPr>
        <w:rPr>
          <w:rFonts w:asciiTheme="majorBidi" w:hAnsiTheme="majorBidi" w:cstheme="majorBidi"/>
        </w:rPr>
      </w:pPr>
      <w:r w:rsidRPr="00430357">
        <w:rPr>
          <w:rFonts w:asciiTheme="majorBidi" w:hAnsiTheme="majorBidi" w:cstheme="majorBidi"/>
          <w:b/>
          <w:bCs/>
        </w:rPr>
        <w:lastRenderedPageBreak/>
        <w:t xml:space="preserve">Table S6. </w:t>
      </w:r>
      <w:r w:rsidRPr="00430357">
        <w:rPr>
          <w:rFonts w:asciiTheme="majorBidi" w:hAnsiTheme="majorBidi" w:cstheme="majorBidi"/>
        </w:rPr>
        <w:t>Model-predicted relative treatment success after 14 days of rifampicin therapy across the 2004 modified release series</w:t>
      </w:r>
    </w:p>
    <w:tbl>
      <w:tblPr>
        <w:tblW w:w="0" w:type="auto"/>
        <w:jc w:val="center"/>
        <w:tblLayout w:type="fixed"/>
        <w:tblLook w:val="0420" w:firstRow="1" w:lastRow="0" w:firstColumn="0" w:lastColumn="0" w:noHBand="0" w:noVBand="1"/>
      </w:tblPr>
      <w:tblGrid>
        <w:gridCol w:w="5622"/>
        <w:gridCol w:w="3479"/>
      </w:tblGrid>
      <w:tr w:rsidR="0042718E" w:rsidRPr="00430357" w14:paraId="37EAA3BB" w14:textId="77777777" w:rsidTr="00D112E6">
        <w:trPr>
          <w:tblHeader/>
          <w:jc w:val="center"/>
        </w:trPr>
        <w:tc>
          <w:tcPr>
            <w:tcW w:w="562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404AD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Formulation</w:t>
            </w:r>
          </w:p>
        </w:tc>
        <w:tc>
          <w:tcPr>
            <w:tcW w:w="347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84CE49"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Relative success (vs reference)</w:t>
            </w:r>
          </w:p>
        </w:tc>
      </w:tr>
      <w:tr w:rsidR="0042718E" w:rsidRPr="00430357" w14:paraId="4B485685" w14:textId="77777777" w:rsidTr="00D112E6">
        <w:trPr>
          <w:jc w:val="center"/>
        </w:trPr>
        <w:tc>
          <w:tcPr>
            <w:tcW w:w="562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81546"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Reference (immediate-release)</w:t>
            </w:r>
          </w:p>
        </w:tc>
        <w:tc>
          <w:tcPr>
            <w:tcW w:w="347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4FE3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1.00</w:t>
            </w:r>
          </w:p>
        </w:tc>
      </w:tr>
      <w:tr w:rsidR="0042718E" w:rsidRPr="00430357" w14:paraId="0679382F" w14:textId="77777777" w:rsidTr="00D112E6">
        <w:trPr>
          <w:jc w:val="center"/>
        </w:trPr>
        <w:tc>
          <w:tcPr>
            <w:tcW w:w="56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C196A"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Release 1 (</w:t>
            </w:r>
            <w:r w:rsidRPr="00430357">
              <w:rPr>
                <w:rFonts w:asciiTheme="majorBidi" w:hAnsiTheme="majorBidi" w:cstheme="majorBidi"/>
              </w:rPr>
              <w:t>20% HPMC</w:t>
            </w:r>
            <w:r w:rsidRPr="00430357">
              <w:rPr>
                <w:rFonts w:asciiTheme="majorBidi" w:eastAsia="Arial" w:hAnsiTheme="majorBidi" w:cstheme="majorBidi"/>
                <w:color w:val="000000"/>
              </w:rPr>
              <w:t>)</w:t>
            </w:r>
          </w:p>
        </w:tc>
        <w:tc>
          <w:tcPr>
            <w:tcW w:w="347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7BCF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0.79</w:t>
            </w:r>
          </w:p>
        </w:tc>
      </w:tr>
      <w:tr w:rsidR="0042718E" w:rsidRPr="00430357" w14:paraId="3D7C32FE" w14:textId="77777777" w:rsidTr="00D112E6">
        <w:trPr>
          <w:jc w:val="center"/>
        </w:trPr>
        <w:tc>
          <w:tcPr>
            <w:tcW w:w="56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D1E7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Release 2 (</w:t>
            </w:r>
            <w:r w:rsidRPr="00430357">
              <w:rPr>
                <w:rFonts w:asciiTheme="majorBidi" w:hAnsiTheme="majorBidi" w:cstheme="majorBidi"/>
              </w:rPr>
              <w:t>30% HPMC</w:t>
            </w:r>
            <w:r w:rsidRPr="00430357">
              <w:rPr>
                <w:rFonts w:asciiTheme="majorBidi" w:eastAsia="Arial" w:hAnsiTheme="majorBidi" w:cstheme="majorBidi"/>
                <w:color w:val="000000"/>
              </w:rPr>
              <w:t>)</w:t>
            </w:r>
          </w:p>
        </w:tc>
        <w:tc>
          <w:tcPr>
            <w:tcW w:w="347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7A330"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0.69</w:t>
            </w:r>
          </w:p>
        </w:tc>
      </w:tr>
      <w:tr w:rsidR="0042718E" w:rsidRPr="00430357" w14:paraId="7117159F" w14:textId="77777777" w:rsidTr="00D112E6">
        <w:trPr>
          <w:jc w:val="center"/>
        </w:trPr>
        <w:tc>
          <w:tcPr>
            <w:tcW w:w="56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D09D8"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Release 3 (</w:t>
            </w:r>
            <w:r w:rsidRPr="00430357">
              <w:rPr>
                <w:rFonts w:asciiTheme="majorBidi" w:hAnsiTheme="majorBidi" w:cstheme="majorBidi"/>
              </w:rPr>
              <w:t>40% HPMC</w:t>
            </w:r>
            <w:r w:rsidRPr="00430357">
              <w:rPr>
                <w:rFonts w:asciiTheme="majorBidi" w:eastAsia="Arial" w:hAnsiTheme="majorBidi" w:cstheme="majorBidi"/>
                <w:color w:val="000000"/>
              </w:rPr>
              <w:t>)</w:t>
            </w:r>
          </w:p>
        </w:tc>
        <w:tc>
          <w:tcPr>
            <w:tcW w:w="347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F9FED"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0.28</w:t>
            </w:r>
          </w:p>
        </w:tc>
      </w:tr>
      <w:tr w:rsidR="0042718E" w:rsidRPr="00430357" w14:paraId="112BF18B" w14:textId="77777777" w:rsidTr="00D112E6">
        <w:trPr>
          <w:jc w:val="center"/>
        </w:trPr>
        <w:tc>
          <w:tcPr>
            <w:tcW w:w="562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55C6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Release 4 (</w:t>
            </w:r>
            <w:r w:rsidRPr="00430357">
              <w:rPr>
                <w:rFonts w:asciiTheme="majorBidi" w:hAnsiTheme="majorBidi" w:cstheme="majorBidi"/>
              </w:rPr>
              <w:t>50% HPMC</w:t>
            </w:r>
            <w:r w:rsidRPr="00430357">
              <w:rPr>
                <w:rFonts w:asciiTheme="majorBidi" w:eastAsia="Arial" w:hAnsiTheme="majorBidi" w:cstheme="majorBidi"/>
                <w:color w:val="000000"/>
              </w:rPr>
              <w:t>)</w:t>
            </w:r>
          </w:p>
        </w:tc>
        <w:tc>
          <w:tcPr>
            <w:tcW w:w="347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623E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0.29</w:t>
            </w:r>
          </w:p>
        </w:tc>
      </w:tr>
      <w:tr w:rsidR="0042718E" w:rsidRPr="00430357" w14:paraId="28789383" w14:textId="77777777" w:rsidTr="00D112E6">
        <w:trPr>
          <w:jc w:val="center"/>
        </w:trPr>
        <w:tc>
          <w:tcPr>
            <w:tcW w:w="562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DDE23F5"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Release 5 (</w:t>
            </w:r>
            <w:r w:rsidRPr="00430357">
              <w:rPr>
                <w:rFonts w:asciiTheme="majorBidi" w:hAnsiTheme="majorBidi" w:cstheme="majorBidi"/>
              </w:rPr>
              <w:t>60% HPMC</w:t>
            </w:r>
            <w:r w:rsidRPr="00430357">
              <w:rPr>
                <w:rFonts w:asciiTheme="majorBidi" w:eastAsia="Arial" w:hAnsiTheme="majorBidi" w:cstheme="majorBidi"/>
                <w:color w:val="000000"/>
              </w:rPr>
              <w:t>)</w:t>
            </w:r>
          </w:p>
        </w:tc>
        <w:tc>
          <w:tcPr>
            <w:tcW w:w="347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164C44" w14:textId="77777777" w:rsidR="0042718E" w:rsidRPr="00430357" w:rsidRDefault="0042718E" w:rsidP="00D112E6">
            <w:pPr>
              <w:pBdr>
                <w:top w:val="none" w:sz="0" w:space="0" w:color="000000"/>
                <w:left w:val="none" w:sz="0" w:space="0" w:color="000000"/>
                <w:bottom w:val="none" w:sz="0" w:space="0" w:color="000000"/>
                <w:right w:val="none" w:sz="0" w:space="0" w:color="000000"/>
              </w:pBdr>
              <w:spacing w:before="100" w:after="100"/>
              <w:ind w:left="100" w:right="100"/>
              <w:rPr>
                <w:rFonts w:asciiTheme="majorBidi" w:eastAsia="Arial" w:hAnsiTheme="majorBidi" w:cstheme="majorBidi"/>
                <w:color w:val="000000"/>
              </w:rPr>
            </w:pPr>
            <w:r w:rsidRPr="00430357">
              <w:rPr>
                <w:rFonts w:asciiTheme="majorBidi" w:eastAsia="Arial" w:hAnsiTheme="majorBidi" w:cstheme="majorBidi"/>
                <w:color w:val="000000"/>
              </w:rPr>
              <w:t>0.28</w:t>
            </w:r>
          </w:p>
        </w:tc>
      </w:tr>
    </w:tbl>
    <w:p w14:paraId="34BFD505" w14:textId="77777777" w:rsidR="0042718E" w:rsidRPr="00430357" w:rsidRDefault="0042718E" w:rsidP="0042718E">
      <w:pPr>
        <w:rPr>
          <w:rFonts w:asciiTheme="majorBidi" w:hAnsiTheme="majorBidi" w:cstheme="majorBidi"/>
        </w:rPr>
      </w:pPr>
      <w:r w:rsidRPr="00430357">
        <w:rPr>
          <w:rFonts w:asciiTheme="majorBidi" w:hAnsiTheme="majorBidi" w:cstheme="majorBidi"/>
        </w:rPr>
        <w:t>Values represent the ratio of treatment success probability relative to the reference population (reference = 1.00)</w:t>
      </w:r>
    </w:p>
    <w:p w14:paraId="3368C4DC" w14:textId="77777777" w:rsidR="00DE6AE2" w:rsidRDefault="00DE6AE2"/>
    <w:sectPr w:rsidR="00DE6AE2" w:rsidSect="0042718E">
      <w:footerReference w:type="even" r:id="rId13"/>
      <w:footerReference w:type="default" r:id="rId14"/>
      <w:pgSz w:w="12240" w:h="15840"/>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439552"/>
      <w:docPartObj>
        <w:docPartGallery w:val="Page Numbers (Bottom of Page)"/>
        <w:docPartUnique/>
      </w:docPartObj>
    </w:sdtPr>
    <w:sdtContent>
      <w:p w14:paraId="1CEA317E" w14:textId="77777777" w:rsidR="0042718E" w:rsidRDefault="0042718E" w:rsidP="00886A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F7975A7" w14:textId="77777777" w:rsidR="0042718E" w:rsidRDefault="0042718E" w:rsidP="003C23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2077149"/>
      <w:docPartObj>
        <w:docPartGallery w:val="Page Numbers (Bottom of Page)"/>
        <w:docPartUnique/>
      </w:docPartObj>
    </w:sdtPr>
    <w:sdtContent>
      <w:p w14:paraId="08A912CF" w14:textId="77777777" w:rsidR="0042718E" w:rsidRDefault="0042718E" w:rsidP="00886A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434B5E" w14:textId="77777777" w:rsidR="0042718E" w:rsidRDefault="0042718E" w:rsidP="003C2351">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8E"/>
    <w:rsid w:val="00195413"/>
    <w:rsid w:val="003D0186"/>
    <w:rsid w:val="0042718E"/>
    <w:rsid w:val="007278E4"/>
    <w:rsid w:val="008B03CE"/>
    <w:rsid w:val="00A3738C"/>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5C23"/>
  <w15:chartTrackingRefBased/>
  <w15:docId w15:val="{20B5E244-B30F-4532-9941-1A86B42E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18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271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271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71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718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2718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2718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2718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2718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2718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7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18E"/>
    <w:rPr>
      <w:rFonts w:eastAsiaTheme="majorEastAsia" w:cstheme="majorBidi"/>
      <w:color w:val="272727" w:themeColor="text1" w:themeTint="D8"/>
    </w:rPr>
  </w:style>
  <w:style w:type="paragraph" w:styleId="Title">
    <w:name w:val="Title"/>
    <w:basedOn w:val="Normal"/>
    <w:next w:val="Normal"/>
    <w:link w:val="TitleChar"/>
    <w:uiPriority w:val="10"/>
    <w:qFormat/>
    <w:rsid w:val="004271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7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1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7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18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2718E"/>
    <w:rPr>
      <w:i/>
      <w:iCs/>
      <w:color w:val="404040" w:themeColor="text1" w:themeTint="BF"/>
    </w:rPr>
  </w:style>
  <w:style w:type="paragraph" w:styleId="ListParagraph">
    <w:name w:val="List Paragraph"/>
    <w:basedOn w:val="Normal"/>
    <w:uiPriority w:val="34"/>
    <w:qFormat/>
    <w:rsid w:val="0042718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2718E"/>
    <w:rPr>
      <w:i/>
      <w:iCs/>
      <w:color w:val="0F4761" w:themeColor="accent1" w:themeShade="BF"/>
    </w:rPr>
  </w:style>
  <w:style w:type="paragraph" w:styleId="IntenseQuote">
    <w:name w:val="Intense Quote"/>
    <w:basedOn w:val="Normal"/>
    <w:next w:val="Normal"/>
    <w:link w:val="IntenseQuoteChar"/>
    <w:uiPriority w:val="30"/>
    <w:qFormat/>
    <w:rsid w:val="004271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2718E"/>
    <w:rPr>
      <w:i/>
      <w:iCs/>
      <w:color w:val="0F4761" w:themeColor="accent1" w:themeShade="BF"/>
    </w:rPr>
  </w:style>
  <w:style w:type="character" w:styleId="IntenseReference">
    <w:name w:val="Intense Reference"/>
    <w:basedOn w:val="DefaultParagraphFont"/>
    <w:uiPriority w:val="32"/>
    <w:qFormat/>
    <w:rsid w:val="0042718E"/>
    <w:rPr>
      <w:b/>
      <w:bCs/>
      <w:smallCaps/>
      <w:color w:val="0F4761" w:themeColor="accent1" w:themeShade="BF"/>
      <w:spacing w:val="5"/>
    </w:rPr>
  </w:style>
  <w:style w:type="character" w:styleId="Strong">
    <w:name w:val="Strong"/>
    <w:basedOn w:val="DefaultParagraphFont"/>
    <w:uiPriority w:val="22"/>
    <w:qFormat/>
    <w:rsid w:val="0042718E"/>
    <w:rPr>
      <w:b/>
      <w:bCs/>
    </w:rPr>
  </w:style>
  <w:style w:type="character" w:styleId="Emphasis">
    <w:name w:val="Emphasis"/>
    <w:basedOn w:val="DefaultParagraphFont"/>
    <w:uiPriority w:val="20"/>
    <w:qFormat/>
    <w:rsid w:val="0042718E"/>
    <w:rPr>
      <w:i/>
      <w:iCs/>
    </w:rPr>
  </w:style>
  <w:style w:type="paragraph" w:styleId="NormalWeb">
    <w:name w:val="Normal (Web)"/>
    <w:basedOn w:val="Normal"/>
    <w:uiPriority w:val="99"/>
    <w:unhideWhenUsed/>
    <w:rsid w:val="0042718E"/>
    <w:pPr>
      <w:spacing w:before="100" w:beforeAutospacing="1" w:after="100" w:afterAutospacing="1"/>
    </w:pPr>
  </w:style>
  <w:style w:type="paragraph" w:styleId="NoSpacing">
    <w:name w:val="No Spacing"/>
    <w:uiPriority w:val="1"/>
    <w:qFormat/>
    <w:rsid w:val="0042718E"/>
    <w:pPr>
      <w:spacing w:after="0" w:line="240" w:lineRule="auto"/>
    </w:pPr>
    <w:rPr>
      <w:kern w:val="0"/>
      <w:sz w:val="22"/>
      <w:szCs w:val="22"/>
      <w14:ligatures w14:val="none"/>
    </w:rPr>
  </w:style>
  <w:style w:type="paragraph" w:styleId="Footer">
    <w:name w:val="footer"/>
    <w:basedOn w:val="Normal"/>
    <w:link w:val="FooterChar"/>
    <w:uiPriority w:val="99"/>
    <w:unhideWhenUsed/>
    <w:rsid w:val="0042718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2718E"/>
    <w:rPr>
      <w:kern w:val="0"/>
      <w:sz w:val="22"/>
      <w:szCs w:val="22"/>
      <w14:ligatures w14:val="none"/>
    </w:rPr>
  </w:style>
  <w:style w:type="character" w:styleId="PageNumber">
    <w:name w:val="page number"/>
    <w:basedOn w:val="DefaultParagraphFont"/>
    <w:uiPriority w:val="99"/>
    <w:semiHidden/>
    <w:unhideWhenUsed/>
    <w:rsid w:val="0042718E"/>
  </w:style>
  <w:style w:type="character" w:styleId="LineNumber">
    <w:name w:val="line number"/>
    <w:basedOn w:val="DefaultParagraphFont"/>
    <w:uiPriority w:val="99"/>
    <w:semiHidden/>
    <w:unhideWhenUsed/>
    <w:rsid w:val="0042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6424</Words>
  <Characters>36617</Characters>
  <Application>Microsoft Office Word</Application>
  <DocSecurity>0</DocSecurity>
  <Lines>305</Lines>
  <Paragraphs>85</Paragraphs>
  <ScaleCrop>false</ScaleCrop>
  <Company>Springer Nature</Company>
  <LinksUpToDate>false</LinksUpToDate>
  <CharactersWithSpaces>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2026-05-21T16:07:00Z</dcterms:created>
  <dcterms:modified xsi:type="dcterms:W3CDTF">2026-05-21T16:07:00Z</dcterms:modified>
</cp:coreProperties>
</file>