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8DA" w:rsidRPr="004C05B1" w:rsidRDefault="004458DA" w:rsidP="004458DA">
      <w:pPr>
        <w:wordWrap/>
        <w:spacing w:line="240" w:lineRule="auto"/>
        <w:rPr>
          <w:rFonts w:eastAsia="Times New Roman Uni"/>
          <w:b/>
          <w:sz w:val="20"/>
          <w:szCs w:val="20"/>
        </w:rPr>
      </w:pPr>
      <w:r w:rsidRPr="004C05B1">
        <w:rPr>
          <w:rFonts w:eastAsia="Times New Roman Uni" w:hint="eastAsia"/>
          <w:b/>
          <w:sz w:val="20"/>
          <w:szCs w:val="20"/>
        </w:rPr>
        <w:t>Supplementary T</w:t>
      </w:r>
      <w:r w:rsidRPr="004C05B1">
        <w:rPr>
          <w:rFonts w:eastAsia="Times New Roman Uni"/>
          <w:b/>
          <w:sz w:val="20"/>
          <w:szCs w:val="20"/>
        </w:rPr>
        <w:t xml:space="preserve">able </w:t>
      </w:r>
      <w:r w:rsidRPr="004C05B1">
        <w:rPr>
          <w:rFonts w:eastAsia="Times New Roman Uni" w:hint="eastAsia"/>
          <w:b/>
          <w:sz w:val="20"/>
          <w:szCs w:val="20"/>
        </w:rPr>
        <w:t>1</w:t>
      </w:r>
      <w:r w:rsidRPr="004C05B1">
        <w:rPr>
          <w:rFonts w:eastAsia="Times New Roman Uni"/>
          <w:b/>
          <w:sz w:val="20"/>
          <w:szCs w:val="20"/>
        </w:rPr>
        <w:t>.</w:t>
      </w:r>
      <w:r w:rsidRPr="004C05B1">
        <w:rPr>
          <w:rFonts w:eastAsia="Times New Roman Uni" w:hint="eastAsia"/>
          <w:b/>
          <w:sz w:val="20"/>
          <w:szCs w:val="20"/>
        </w:rPr>
        <w:t xml:space="preserve"> Cause-specific hazard ratio</w:t>
      </w:r>
      <w:r w:rsidRPr="004C05B1">
        <w:rPr>
          <w:rFonts w:eastAsia="Times New Roman Uni"/>
          <w:b/>
          <w:sz w:val="20"/>
          <w:szCs w:val="20"/>
        </w:rPr>
        <w:t xml:space="preserve">s for incident </w:t>
      </w:r>
      <w:proofErr w:type="spellStart"/>
      <w:r w:rsidRPr="004C05B1">
        <w:rPr>
          <w:rFonts w:eastAsia="Times New Roman Uni" w:hint="eastAsia"/>
          <w:b/>
          <w:sz w:val="20"/>
          <w:szCs w:val="20"/>
        </w:rPr>
        <w:t>gynecological</w:t>
      </w:r>
      <w:proofErr w:type="spellEnd"/>
      <w:r w:rsidRPr="004C05B1">
        <w:rPr>
          <w:rFonts w:eastAsia="Times New Roman Uni" w:hint="eastAsia"/>
          <w:b/>
          <w:sz w:val="20"/>
          <w:szCs w:val="20"/>
        </w:rPr>
        <w:t xml:space="preserve"> disorders between non-SLD and cryptogenic SLD.</w:t>
      </w:r>
    </w:p>
    <w:tbl>
      <w:tblPr>
        <w:tblStyle w:val="aa"/>
        <w:tblW w:w="4238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258"/>
        <w:gridCol w:w="1377"/>
        <w:gridCol w:w="1377"/>
        <w:gridCol w:w="1371"/>
      </w:tblGrid>
      <w:tr w:rsidR="004458DA" w:rsidRPr="004C05B1" w:rsidTr="001822D4">
        <w:trPr>
          <w:trHeight w:val="53"/>
        </w:trPr>
        <w:tc>
          <w:tcPr>
            <w:tcW w:w="1482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sz w:val="16"/>
                <w:szCs w:val="16"/>
              </w:rPr>
              <w:t>Variable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sz w:val="16"/>
                <w:szCs w:val="16"/>
              </w:rPr>
              <w:t>Event, n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sz w:val="16"/>
                <w:szCs w:val="16"/>
              </w:rPr>
              <w:t>PY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/>
                <w:bCs/>
                <w:sz w:val="16"/>
                <w:szCs w:val="16"/>
              </w:rPr>
              <w:t>aHR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/>
                <w:iCs/>
                <w:sz w:val="16"/>
                <w:szCs w:val="16"/>
              </w:rPr>
              <w:t>P</w:t>
            </w: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 xml:space="preserve"> value</w:t>
            </w: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Infertility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Non-SLD (n=301,668)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38,591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1,976,604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Cryptogenic SLD (n=76)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6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507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0.89 (0.40-1.99)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0.781</w:t>
            </w: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Polycystic ovarian syndrome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Non-SLD (n=301,668)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7,746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2,107,227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Cryptogenic SLD (n=76)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530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Endometriosis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Non-SLD (n=301,668)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7,728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2,108,364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Cryptogenic SLD (n=76)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533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Adenomyosis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Non-SLD (n=301,668)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11,450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2,104,404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Cryptogenic SLD (n=76)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523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1.47 (0.61-3.53)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0.391</w:t>
            </w: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</w:t>
            </w:r>
            <w:r w:rsidR="001822D4">
              <w:rPr>
                <w:rFonts w:eastAsia="Times New Roman Uni"/>
                <w:bCs/>
                <w:sz w:val="16"/>
                <w:szCs w:val="16"/>
              </w:rPr>
              <w:t>remature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ovarian insufficiency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Non-SLD (n=301,668)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1,868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2,129,922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Cryptogenic SLD (n=76)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533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Endometrial hyperplasia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Non-SLD (n=301,668)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3,083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2,126,045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1822D4">
        <w:trPr>
          <w:trHeight w:val="53"/>
        </w:trPr>
        <w:tc>
          <w:tcPr>
            <w:tcW w:w="148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Cryptogenic SLD (n=76)</w:t>
            </w:r>
          </w:p>
        </w:tc>
        <w:tc>
          <w:tcPr>
            <w:tcW w:w="822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533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  <w:tc>
          <w:tcPr>
            <w:tcW w:w="896" w:type="pct"/>
          </w:tcPr>
          <w:p w:rsidR="004458DA" w:rsidRPr="004C05B1" w:rsidRDefault="004458DA" w:rsidP="00B80843">
            <w:pPr>
              <w:wordWrap/>
              <w:spacing w:line="240" w:lineRule="auto"/>
              <w:jc w:val="right"/>
              <w:rPr>
                <w:rFonts w:eastAsia="Times New Roman Uni"/>
                <w:sz w:val="16"/>
                <w:szCs w:val="16"/>
              </w:rPr>
            </w:pPr>
          </w:p>
        </w:tc>
      </w:tr>
    </w:tbl>
    <w:p w:rsidR="004458DA" w:rsidRPr="004C05B1" w:rsidRDefault="004458DA" w:rsidP="004458DA">
      <w:pPr>
        <w:wordWrap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hint="eastAsia"/>
          <w:sz w:val="16"/>
          <w:szCs w:val="16"/>
        </w:rPr>
        <w:t xml:space="preserve">Data are adjusted </w:t>
      </w:r>
      <w:proofErr w:type="spellStart"/>
      <w:r w:rsidRPr="004C05B1">
        <w:rPr>
          <w:sz w:val="16"/>
          <w:szCs w:val="16"/>
        </w:rPr>
        <w:t>subdistribution</w:t>
      </w:r>
      <w:proofErr w:type="spellEnd"/>
      <w:r w:rsidRPr="004C05B1">
        <w:rPr>
          <w:sz w:val="16"/>
          <w:szCs w:val="16"/>
        </w:rPr>
        <w:t xml:space="preserve"> </w:t>
      </w:r>
      <w:r w:rsidRPr="004C05B1">
        <w:rPr>
          <w:rFonts w:hint="eastAsia"/>
          <w:sz w:val="16"/>
          <w:szCs w:val="16"/>
        </w:rPr>
        <w:t xml:space="preserve">hazard ratios (95% CIs) after adjustment for age, household income, </w:t>
      </w:r>
      <w:proofErr w:type="spellStart"/>
      <w:r w:rsidRPr="004C05B1">
        <w:rPr>
          <w:rFonts w:hint="eastAsia"/>
          <w:sz w:val="16"/>
          <w:szCs w:val="16"/>
        </w:rPr>
        <w:t>Charlson</w:t>
      </w:r>
      <w:proofErr w:type="spellEnd"/>
      <w:r w:rsidRPr="004C05B1">
        <w:rPr>
          <w:rFonts w:hint="eastAsia"/>
          <w:sz w:val="16"/>
          <w:szCs w:val="16"/>
        </w:rPr>
        <w:t xml:space="preserve"> comorbidity index, body mass index, cigarette smoking, moderate-to-vigorous physical activity, and gravidity.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sz w:val="16"/>
          <w:szCs w:val="16"/>
        </w:rPr>
        <w:t xml:space="preserve">Acronyms: </w:t>
      </w:r>
      <w:r w:rsidRPr="004C05B1">
        <w:rPr>
          <w:rFonts w:eastAsia="Times New Roman Uni" w:hint="eastAsia"/>
          <w:sz w:val="16"/>
          <w:szCs w:val="16"/>
        </w:rPr>
        <w:t xml:space="preserve">SLD,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PY, person-year; </w:t>
      </w:r>
      <w:proofErr w:type="spellStart"/>
      <w:r w:rsidRPr="004C05B1">
        <w:rPr>
          <w:rFonts w:eastAsia="Times New Roman Uni" w:hint="eastAsia"/>
          <w:sz w:val="16"/>
          <w:szCs w:val="16"/>
        </w:rPr>
        <w:t>aHR</w:t>
      </w:r>
      <w:proofErr w:type="spellEnd"/>
      <w:r w:rsidRPr="004C05B1">
        <w:rPr>
          <w:rFonts w:eastAsia="Times New Roman Uni" w:hint="eastAsia"/>
          <w:sz w:val="16"/>
          <w:szCs w:val="16"/>
        </w:rPr>
        <w:t>, adjusted hazard ratio.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  <w:lang w:val="en-US"/>
        </w:rPr>
      </w:pP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br w:type="page"/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b/>
          <w:sz w:val="20"/>
          <w:szCs w:val="20"/>
        </w:rPr>
      </w:pPr>
      <w:r w:rsidRPr="004C05B1">
        <w:rPr>
          <w:rFonts w:eastAsia="Times New Roman Uni" w:hint="eastAsia"/>
          <w:b/>
          <w:sz w:val="20"/>
          <w:szCs w:val="20"/>
        </w:rPr>
        <w:lastRenderedPageBreak/>
        <w:t>Supplementary T</w:t>
      </w:r>
      <w:r w:rsidRPr="004C05B1">
        <w:rPr>
          <w:rFonts w:eastAsia="Times New Roman Uni"/>
          <w:b/>
          <w:sz w:val="20"/>
          <w:szCs w:val="20"/>
        </w:rPr>
        <w:t xml:space="preserve">able </w:t>
      </w:r>
      <w:r w:rsidRPr="004C05B1">
        <w:rPr>
          <w:rFonts w:eastAsia="Times New Roman Uni" w:hint="eastAsia"/>
          <w:b/>
          <w:sz w:val="20"/>
          <w:szCs w:val="20"/>
        </w:rPr>
        <w:t>2</w:t>
      </w:r>
      <w:r w:rsidRPr="004C05B1">
        <w:rPr>
          <w:rFonts w:eastAsia="Times New Roman Uni"/>
          <w:b/>
          <w:sz w:val="20"/>
          <w:szCs w:val="20"/>
        </w:rPr>
        <w:t>.</w:t>
      </w:r>
      <w:r w:rsidRPr="004C05B1">
        <w:rPr>
          <w:rFonts w:eastAsia="Times New Roman Uni" w:hint="eastAsia"/>
          <w:b/>
          <w:sz w:val="20"/>
          <w:szCs w:val="20"/>
        </w:rPr>
        <w:t xml:space="preserve"> </w:t>
      </w:r>
      <w:r w:rsidRPr="004C05B1">
        <w:rPr>
          <w:rFonts w:eastAsia="Times New Roman Uni"/>
          <w:b/>
          <w:sz w:val="20"/>
          <w:szCs w:val="20"/>
        </w:rPr>
        <w:t xml:space="preserve">SHRs for incident </w:t>
      </w:r>
      <w:proofErr w:type="spellStart"/>
      <w:r w:rsidRPr="004C05B1">
        <w:rPr>
          <w:rFonts w:eastAsia="Times New Roman Uni" w:hint="eastAsia"/>
          <w:b/>
          <w:sz w:val="20"/>
          <w:szCs w:val="20"/>
        </w:rPr>
        <w:t>gynecological</w:t>
      </w:r>
      <w:proofErr w:type="spellEnd"/>
      <w:r w:rsidRPr="004C05B1">
        <w:rPr>
          <w:rFonts w:eastAsia="Times New Roman Uni" w:hint="eastAsia"/>
          <w:b/>
          <w:sz w:val="20"/>
          <w:szCs w:val="20"/>
        </w:rPr>
        <w:t xml:space="preserve"> disorders across the subcategories of SLD</w:t>
      </w:r>
      <w:r w:rsidRPr="004C05B1">
        <w:rPr>
          <w:rFonts w:eastAsia="Times New Roman Uni"/>
          <w:b/>
          <w:sz w:val="20"/>
          <w:szCs w:val="20"/>
        </w:rPr>
        <w:t>.</w:t>
      </w:r>
    </w:p>
    <w:tbl>
      <w:tblPr>
        <w:tblStyle w:val="a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1137"/>
        <w:gridCol w:w="1419"/>
        <w:gridCol w:w="1415"/>
        <w:gridCol w:w="1419"/>
        <w:gridCol w:w="1370"/>
      </w:tblGrid>
      <w:tr w:rsidR="004458DA" w:rsidRPr="004C05B1" w:rsidTr="005333FE">
        <w:trPr>
          <w:trHeight w:val="53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sz w:val="16"/>
                <w:szCs w:val="16"/>
              </w:rPr>
              <w:t>Variable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Non-SLD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MASLD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MetALD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ALD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Cryptogenic SLD</w:t>
            </w:r>
          </w:p>
        </w:tc>
      </w:tr>
      <w:tr w:rsidR="004458DA" w:rsidRPr="004C05B1" w:rsidTr="005333FE">
        <w:trPr>
          <w:trHeight w:val="53"/>
        </w:trPr>
        <w:tc>
          <w:tcPr>
            <w:tcW w:w="1255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Infertility</w:t>
            </w:r>
          </w:p>
        </w:tc>
        <w:tc>
          <w:tcPr>
            <w:tcW w:w="63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1.10 (1.04-1.17)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84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1.31 (1.17-1.47)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1.31 (1.07-1.61)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5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0.88 (0.39-1.96)</w:t>
            </w:r>
          </w:p>
        </w:tc>
      </w:tr>
      <w:tr w:rsidR="004458DA" w:rsidRPr="004C05B1" w:rsidTr="005333FE">
        <w:trPr>
          <w:trHeight w:val="53"/>
        </w:trPr>
        <w:tc>
          <w:tcPr>
            <w:tcW w:w="1255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Polycystic ovarian syndrome</w:t>
            </w:r>
          </w:p>
        </w:tc>
        <w:tc>
          <w:tcPr>
            <w:tcW w:w="63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2.05 (1.85-2.27)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84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2.28 (1.92-2.71)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2.09 (1.55-2.81)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5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0.75 (0.11-5.10)</w:t>
            </w:r>
          </w:p>
        </w:tc>
      </w:tr>
      <w:tr w:rsidR="004458DA" w:rsidRPr="004C05B1" w:rsidTr="005333FE">
        <w:trPr>
          <w:trHeight w:val="53"/>
        </w:trPr>
        <w:tc>
          <w:tcPr>
            <w:tcW w:w="1255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Endometriosis</w:t>
            </w:r>
          </w:p>
        </w:tc>
        <w:tc>
          <w:tcPr>
            <w:tcW w:w="63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1.12 (0.98-1.27)</w:t>
            </w:r>
          </w:p>
        </w:tc>
        <w:tc>
          <w:tcPr>
            <w:tcW w:w="784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0.86 (0.63-1.17)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1.20 (0.72-2.00)</w:t>
            </w:r>
          </w:p>
        </w:tc>
        <w:tc>
          <w:tcPr>
            <w:tcW w:w="75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</w:tr>
      <w:tr w:rsidR="004458DA" w:rsidRPr="004C05B1" w:rsidTr="005333FE">
        <w:trPr>
          <w:trHeight w:val="53"/>
        </w:trPr>
        <w:tc>
          <w:tcPr>
            <w:tcW w:w="1255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Adenomyosis</w:t>
            </w:r>
          </w:p>
        </w:tc>
        <w:tc>
          <w:tcPr>
            <w:tcW w:w="63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1.13 (1.04-1.24)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84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1.31 (1.12-1.55)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1.67 (1.27-2.20)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5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1.46 (0.61-3.46)</w:t>
            </w:r>
          </w:p>
        </w:tc>
      </w:tr>
      <w:tr w:rsidR="004458DA" w:rsidRPr="004C05B1" w:rsidTr="005333FE">
        <w:trPr>
          <w:trHeight w:val="53"/>
        </w:trPr>
        <w:tc>
          <w:tcPr>
            <w:tcW w:w="1255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</w:t>
            </w:r>
            <w:r w:rsidR="005333FE">
              <w:rPr>
                <w:rFonts w:eastAsia="Times New Roman Uni"/>
                <w:bCs/>
                <w:sz w:val="16"/>
                <w:szCs w:val="16"/>
              </w:rPr>
              <w:t>remature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ovarian insufficiency</w:t>
            </w:r>
          </w:p>
        </w:tc>
        <w:tc>
          <w:tcPr>
            <w:tcW w:w="63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1.48 (1.16-1.89)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84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1.82 (1.15-2.89)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0.99 (0.32-3.11)</w:t>
            </w:r>
          </w:p>
        </w:tc>
        <w:tc>
          <w:tcPr>
            <w:tcW w:w="75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</w:tr>
      <w:tr w:rsidR="004458DA" w:rsidRPr="004C05B1" w:rsidTr="005333FE">
        <w:trPr>
          <w:trHeight w:val="53"/>
        </w:trPr>
        <w:tc>
          <w:tcPr>
            <w:tcW w:w="1255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Endometrial hyperplasia</w:t>
            </w:r>
          </w:p>
        </w:tc>
        <w:tc>
          <w:tcPr>
            <w:tcW w:w="63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1.29 (1.11-1.49)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84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1.07 (0.80-1.43)</w:t>
            </w:r>
          </w:p>
        </w:tc>
        <w:tc>
          <w:tcPr>
            <w:tcW w:w="786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1.62 (1.02-2.56)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5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N/A</w:t>
            </w:r>
          </w:p>
        </w:tc>
      </w:tr>
    </w:tbl>
    <w:p w:rsidR="004458DA" w:rsidRPr="004C05B1" w:rsidRDefault="004458DA" w:rsidP="004458DA">
      <w:pPr>
        <w:wordWrap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hint="eastAsia"/>
          <w:sz w:val="16"/>
          <w:szCs w:val="16"/>
        </w:rPr>
        <w:t xml:space="preserve">Data are adjusted </w:t>
      </w:r>
      <w:proofErr w:type="spellStart"/>
      <w:r w:rsidRPr="004C05B1">
        <w:rPr>
          <w:sz w:val="16"/>
          <w:szCs w:val="16"/>
        </w:rPr>
        <w:t>subdistribution</w:t>
      </w:r>
      <w:proofErr w:type="spellEnd"/>
      <w:r w:rsidRPr="004C05B1">
        <w:rPr>
          <w:sz w:val="16"/>
          <w:szCs w:val="16"/>
        </w:rPr>
        <w:t xml:space="preserve"> </w:t>
      </w:r>
      <w:r w:rsidRPr="004C05B1">
        <w:rPr>
          <w:rFonts w:hint="eastAsia"/>
          <w:sz w:val="16"/>
          <w:szCs w:val="16"/>
        </w:rPr>
        <w:t xml:space="preserve">hazard ratios (95% CIs) after adjustment for age, household income, </w:t>
      </w:r>
      <w:proofErr w:type="spellStart"/>
      <w:r w:rsidRPr="004C05B1">
        <w:rPr>
          <w:rFonts w:hint="eastAsia"/>
          <w:sz w:val="16"/>
          <w:szCs w:val="16"/>
        </w:rPr>
        <w:t>Charlson</w:t>
      </w:r>
      <w:proofErr w:type="spellEnd"/>
      <w:r w:rsidRPr="004C05B1">
        <w:rPr>
          <w:rFonts w:hint="eastAsia"/>
          <w:sz w:val="16"/>
          <w:szCs w:val="16"/>
        </w:rPr>
        <w:t xml:space="preserve"> comorbidity index, body mass index, cigarette smoking, moderate-to-vigorous physical activity, and gravidity. Overall death was considered as a competing risk event.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t xml:space="preserve">Acronyms: </w:t>
      </w:r>
      <w:r w:rsidRPr="004C05B1">
        <w:rPr>
          <w:rFonts w:eastAsia="Times New Roman Uni" w:hint="eastAsia"/>
          <w:sz w:val="16"/>
          <w:szCs w:val="16"/>
        </w:rPr>
        <w:t xml:space="preserve">SHR, </w:t>
      </w:r>
      <w:proofErr w:type="spellStart"/>
      <w:r w:rsidRPr="004C05B1">
        <w:rPr>
          <w:rFonts w:eastAsia="Times New Roman Uni" w:hint="eastAsia"/>
          <w:sz w:val="16"/>
          <w:szCs w:val="16"/>
        </w:rPr>
        <w:t>subdistribution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hazard ratio; SLD,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MASLD, metabolic dysfunction-associated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</w:t>
      </w:r>
      <w:proofErr w:type="spellStart"/>
      <w:r w:rsidRPr="004C05B1">
        <w:rPr>
          <w:rFonts w:hint="eastAsia"/>
          <w:sz w:val="16"/>
          <w:szCs w:val="16"/>
        </w:rPr>
        <w:t>MetALD</w:t>
      </w:r>
      <w:proofErr w:type="spellEnd"/>
      <w:r w:rsidRPr="004C05B1">
        <w:rPr>
          <w:rFonts w:hint="eastAsia"/>
          <w:sz w:val="16"/>
          <w:szCs w:val="16"/>
        </w:rPr>
        <w:t>, metabolic alcohol-related liver disease; ALD, alcohol-related liver disease.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&lt;0.05.</w:t>
      </w:r>
      <w:r w:rsidRPr="004C05B1">
        <w:rPr>
          <w:rFonts w:eastAsia="Times New Roman Uni" w:hint="eastAsia"/>
          <w:kern w:val="2"/>
          <w:sz w:val="16"/>
          <w:szCs w:val="16"/>
          <w:lang w:val="en-US"/>
        </w:rPr>
        <w:t xml:space="preserve"> 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&lt;0.01.</w:t>
      </w:r>
      <w:r w:rsidRPr="004C05B1">
        <w:rPr>
          <w:rFonts w:eastAsia="Times New Roman Uni" w:hint="eastAsia"/>
          <w:kern w:val="2"/>
          <w:sz w:val="16"/>
          <w:szCs w:val="16"/>
          <w:lang w:val="en-US"/>
        </w:rPr>
        <w:t xml:space="preserve"> 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&lt;0.001.</w:t>
      </w:r>
    </w:p>
    <w:p w:rsidR="004458DA" w:rsidRPr="004C05B1" w:rsidRDefault="004458DA" w:rsidP="004458DA">
      <w:pPr>
        <w:widowControl/>
        <w:wordWrap/>
        <w:autoSpaceDE/>
        <w:autoSpaceDN/>
        <w:spacing w:after="160" w:line="259" w:lineRule="auto"/>
        <w:rPr>
          <w:rFonts w:eastAsia="Times New Roman Uni"/>
          <w:b/>
          <w:sz w:val="16"/>
          <w:szCs w:val="16"/>
        </w:rPr>
      </w:pPr>
      <w:r w:rsidRPr="004C05B1">
        <w:rPr>
          <w:rFonts w:eastAsia="Times New Roman Uni"/>
          <w:b/>
          <w:sz w:val="16"/>
          <w:szCs w:val="16"/>
        </w:rPr>
        <w:br w:type="page"/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b/>
          <w:sz w:val="20"/>
          <w:szCs w:val="20"/>
        </w:rPr>
      </w:pPr>
      <w:r w:rsidRPr="004C05B1">
        <w:rPr>
          <w:rFonts w:eastAsia="Times New Roman Uni" w:hint="eastAsia"/>
          <w:b/>
          <w:sz w:val="20"/>
          <w:szCs w:val="20"/>
        </w:rPr>
        <w:lastRenderedPageBreak/>
        <w:t>Supplementary T</w:t>
      </w:r>
      <w:r w:rsidRPr="004C05B1">
        <w:rPr>
          <w:rFonts w:eastAsia="Times New Roman Uni"/>
          <w:b/>
          <w:sz w:val="20"/>
          <w:szCs w:val="20"/>
        </w:rPr>
        <w:t xml:space="preserve">able </w:t>
      </w:r>
      <w:r w:rsidRPr="004C05B1">
        <w:rPr>
          <w:rFonts w:eastAsia="Times New Roman Uni" w:hint="eastAsia"/>
          <w:b/>
          <w:sz w:val="20"/>
          <w:szCs w:val="20"/>
        </w:rPr>
        <w:t>3</w:t>
      </w:r>
      <w:r w:rsidRPr="004C05B1">
        <w:rPr>
          <w:rFonts w:eastAsia="Times New Roman Uni"/>
          <w:b/>
          <w:sz w:val="20"/>
          <w:szCs w:val="20"/>
        </w:rPr>
        <w:t>.</w:t>
      </w:r>
      <w:r w:rsidRPr="004C05B1">
        <w:rPr>
          <w:rFonts w:eastAsia="Times New Roman Uni" w:hint="eastAsia"/>
          <w:b/>
          <w:sz w:val="20"/>
          <w:szCs w:val="20"/>
        </w:rPr>
        <w:t xml:space="preserve"> Variance </w:t>
      </w:r>
      <w:r w:rsidRPr="004C05B1">
        <w:rPr>
          <w:rFonts w:eastAsia="Times New Roman Uni"/>
          <w:b/>
          <w:sz w:val="20"/>
          <w:szCs w:val="20"/>
        </w:rPr>
        <w:t>inflatio</w:t>
      </w:r>
      <w:r w:rsidRPr="004C05B1">
        <w:rPr>
          <w:rFonts w:eastAsia="Times New Roman Uni" w:hint="eastAsia"/>
          <w:b/>
          <w:sz w:val="20"/>
          <w:szCs w:val="20"/>
        </w:rPr>
        <w:t>n factor for variables used in this study</w:t>
      </w:r>
      <w:r w:rsidRPr="004C05B1">
        <w:rPr>
          <w:rFonts w:eastAsia="Times New Roman Uni"/>
          <w:b/>
          <w:sz w:val="20"/>
          <w:szCs w:val="20"/>
        </w:rPr>
        <w:t>.</w:t>
      </w:r>
    </w:p>
    <w:tbl>
      <w:tblPr>
        <w:tblStyle w:val="aa"/>
        <w:tblW w:w="289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299"/>
      </w:tblGrid>
      <w:tr w:rsidR="004458DA" w:rsidRPr="004C05B1" w:rsidTr="00B80843">
        <w:trPr>
          <w:trHeight w:val="53"/>
        </w:trPr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sz w:val="16"/>
                <w:szCs w:val="16"/>
              </w:rPr>
              <w:t>Variable</w:t>
            </w:r>
          </w:p>
        </w:tc>
        <w:tc>
          <w:tcPr>
            <w:tcW w:w="3158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Variance inflation factor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Age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1.04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Household income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1.04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Charlson</w:t>
            </w:r>
            <w:proofErr w:type="spellEnd"/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comorbidity index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Body mass index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2.39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Cigarette smoking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1.03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MVPA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1.02</w:t>
            </w:r>
          </w:p>
        </w:tc>
      </w:tr>
      <w:tr w:rsidR="004458DA" w:rsidRPr="004C05B1" w:rsidTr="00B80843">
        <w:trPr>
          <w:trHeight w:val="53"/>
        </w:trPr>
        <w:tc>
          <w:tcPr>
            <w:tcW w:w="184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Gravidity</w:t>
            </w:r>
          </w:p>
        </w:tc>
        <w:tc>
          <w:tcPr>
            <w:tcW w:w="3158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1.01</w:t>
            </w:r>
          </w:p>
        </w:tc>
      </w:tr>
    </w:tbl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t xml:space="preserve">Acronyms: </w:t>
      </w:r>
      <w:r w:rsidRPr="004C05B1">
        <w:rPr>
          <w:rFonts w:eastAsia="Times New Roman Uni" w:hint="eastAsia"/>
          <w:sz w:val="16"/>
          <w:szCs w:val="16"/>
        </w:rPr>
        <w:t>MVPA, moderate-to-vigorous physical activity.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&lt;0.05.</w:t>
      </w:r>
      <w:r w:rsidRPr="004C05B1">
        <w:rPr>
          <w:rFonts w:eastAsia="Times New Roman Uni" w:hint="eastAsia"/>
          <w:kern w:val="2"/>
          <w:sz w:val="16"/>
          <w:szCs w:val="16"/>
          <w:lang w:val="en-US"/>
        </w:rPr>
        <w:t xml:space="preserve"> 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&lt;0.01.</w:t>
      </w:r>
      <w:r w:rsidRPr="004C05B1">
        <w:rPr>
          <w:rFonts w:eastAsia="Times New Roman Uni" w:hint="eastAsia"/>
          <w:kern w:val="2"/>
          <w:sz w:val="16"/>
          <w:szCs w:val="16"/>
          <w:lang w:val="en-US"/>
        </w:rPr>
        <w:t xml:space="preserve"> 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&lt;0.001.</w:t>
      </w:r>
    </w:p>
    <w:p w:rsidR="004458DA" w:rsidRPr="004C05B1" w:rsidRDefault="004458DA" w:rsidP="004458DA">
      <w:pPr>
        <w:widowControl/>
        <w:wordWrap/>
        <w:autoSpaceDE/>
        <w:autoSpaceDN/>
        <w:spacing w:after="160" w:line="259" w:lineRule="auto"/>
        <w:rPr>
          <w:rFonts w:eastAsia="Times New Roman Uni"/>
          <w:b/>
          <w:sz w:val="16"/>
          <w:szCs w:val="16"/>
        </w:rPr>
      </w:pPr>
      <w:r w:rsidRPr="004C05B1">
        <w:rPr>
          <w:rFonts w:eastAsia="Times New Roman Uni"/>
          <w:b/>
          <w:sz w:val="16"/>
          <w:szCs w:val="16"/>
        </w:rPr>
        <w:br w:type="page"/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b/>
          <w:sz w:val="20"/>
          <w:szCs w:val="20"/>
        </w:rPr>
      </w:pPr>
      <w:r w:rsidRPr="004C05B1">
        <w:rPr>
          <w:rFonts w:eastAsia="Times New Roman Uni" w:hint="eastAsia"/>
          <w:b/>
          <w:sz w:val="20"/>
          <w:szCs w:val="20"/>
        </w:rPr>
        <w:lastRenderedPageBreak/>
        <w:t>Supplementary T</w:t>
      </w:r>
      <w:r w:rsidRPr="004C05B1">
        <w:rPr>
          <w:rFonts w:eastAsia="Times New Roman Uni"/>
          <w:b/>
          <w:sz w:val="20"/>
          <w:szCs w:val="20"/>
        </w:rPr>
        <w:t xml:space="preserve">able </w:t>
      </w:r>
      <w:r w:rsidRPr="004C05B1">
        <w:rPr>
          <w:rFonts w:eastAsia="Times New Roman Uni" w:hint="eastAsia"/>
          <w:b/>
          <w:sz w:val="20"/>
          <w:szCs w:val="20"/>
        </w:rPr>
        <w:t>4</w:t>
      </w:r>
      <w:r w:rsidRPr="004C05B1">
        <w:rPr>
          <w:rFonts w:eastAsia="Times New Roman Uni"/>
          <w:b/>
          <w:sz w:val="20"/>
          <w:szCs w:val="20"/>
        </w:rPr>
        <w:t xml:space="preserve">. </w:t>
      </w:r>
      <w:r w:rsidRPr="004C05B1">
        <w:rPr>
          <w:rFonts w:eastAsia="Times New Roman Uni" w:hint="eastAsia"/>
          <w:b/>
          <w:sz w:val="20"/>
          <w:szCs w:val="20"/>
        </w:rPr>
        <w:t>Subgroup analyses on the risk of incident infertility across the subcategories of SLD.</w:t>
      </w:r>
    </w:p>
    <w:tbl>
      <w:tblPr>
        <w:tblStyle w:val="a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1377"/>
        <w:gridCol w:w="1377"/>
        <w:gridCol w:w="1377"/>
        <w:gridCol w:w="1376"/>
        <w:gridCol w:w="1374"/>
      </w:tblGrid>
      <w:tr w:rsidR="004458DA" w:rsidRPr="004C05B1" w:rsidTr="00B80843">
        <w:trPr>
          <w:trHeight w:val="53"/>
        </w:trPr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sz w:val="16"/>
                <w:szCs w:val="16"/>
              </w:rPr>
              <w:t>Variable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Non-SLD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MASLD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MetALD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ALD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/>
                <w:iCs/>
                <w:sz w:val="16"/>
                <w:szCs w:val="16"/>
              </w:rPr>
              <w:t>P</w:t>
            </w: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 xml:space="preserve"> for interaction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/>
                <w:bCs/>
                <w:sz w:val="16"/>
                <w:szCs w:val="16"/>
              </w:rPr>
              <w:t>Age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, years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0.057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/>
                <w:bCs/>
                <w:sz w:val="16"/>
                <w:szCs w:val="16"/>
              </w:rPr>
              <w:t xml:space="preserve">  18-3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4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1.11 (1.03-1.19)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1.35 (1.18-1.54)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1.33 (1.06-1.68)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/>
                <w:bCs/>
                <w:sz w:val="16"/>
                <w:szCs w:val="16"/>
              </w:rPr>
              <w:t xml:space="preserve">  ≥3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5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1.10 (0.98-1.24)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0.99 (0.77-1.28)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1.08 (0.65-1.77)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Household income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&lt;0.001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Lower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1.04 (0.96-1.13)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1.26 (1.06-1.48)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1.40 (1.05-1.87)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Upper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1.16 (1.06-1.27)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1.36 (1.15-1.59)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1.25 (0.93-1.67)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Cigarette smoking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&lt;0.001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Never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1.08 (1.01-1.15)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1.21 (1.05-1.40)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1.23 (0.93-1.63)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Past or Current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1.26 (1.04-1.53)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1.40 (1.13-1.74)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1.39 (1.00-1.92)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Charlson</w:t>
            </w:r>
            <w:proofErr w:type="spellEnd"/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comorbidity index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0.620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0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1.05 (0.97-1.14)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1.31 (1.13-1.52)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1.42 (1.09-1.84)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</w:t>
            </w:r>
            <w:r w:rsidRPr="004C05B1">
              <w:rPr>
                <w:rFonts w:eastAsia="Times New Roman Uni"/>
                <w:bCs/>
                <w:sz w:val="16"/>
                <w:szCs w:val="16"/>
              </w:rPr>
              <w:t>≥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1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1.17 (1.07-1.29)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1.31 (1.09-1.57)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1.19 (0.84-1.67)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MVPA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0.647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No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1.12 (1.03-1.21)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1.38 (1.18-1.62)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1.42 (1.08-1.86)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Yes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1.09 (0.99-1.19)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1.24 (1.05-1.46)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1.19 (0.86-1.65)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Number of pregnant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&lt;0.001</w:t>
            </w: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0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1.09 (1.02-1.16)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1.31 (1.16-1.47)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1.34 (1.09-1.65)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188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</w:t>
            </w:r>
            <w:r w:rsidRPr="004C05B1">
              <w:rPr>
                <w:rFonts w:eastAsia="Times New Roman Uni"/>
                <w:bCs/>
                <w:sz w:val="16"/>
                <w:szCs w:val="16"/>
              </w:rPr>
              <w:t>≥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1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1.01 (0.82-1.25)</w:t>
            </w:r>
          </w:p>
        </w:tc>
        <w:tc>
          <w:tcPr>
            <w:tcW w:w="763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1.48 (0.83-2.63)</w:t>
            </w:r>
          </w:p>
        </w:tc>
        <w:tc>
          <w:tcPr>
            <w:tcW w:w="762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0.99 (0.24-4.02)</w:t>
            </w:r>
          </w:p>
        </w:tc>
        <w:tc>
          <w:tcPr>
            <w:tcW w:w="76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</w:tbl>
    <w:p w:rsidR="004458DA" w:rsidRPr="004C05B1" w:rsidRDefault="004458DA" w:rsidP="004458DA">
      <w:pPr>
        <w:wordWrap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hint="eastAsia"/>
          <w:sz w:val="16"/>
          <w:szCs w:val="16"/>
        </w:rPr>
        <w:t xml:space="preserve">Data are adjusted hazard ratios (95% CIs) after adjustment for age, household income, </w:t>
      </w:r>
      <w:proofErr w:type="spellStart"/>
      <w:r w:rsidRPr="004C05B1">
        <w:rPr>
          <w:rFonts w:hint="eastAsia"/>
          <w:sz w:val="16"/>
          <w:szCs w:val="16"/>
        </w:rPr>
        <w:t>Charlson</w:t>
      </w:r>
      <w:proofErr w:type="spellEnd"/>
      <w:r w:rsidRPr="004C05B1">
        <w:rPr>
          <w:rFonts w:hint="eastAsia"/>
          <w:sz w:val="16"/>
          <w:szCs w:val="16"/>
        </w:rPr>
        <w:t xml:space="preserve"> comorbidity index, body mass index, cigarette smoking, moderate-to-vigorous physical activity, and gravidity.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t xml:space="preserve">Acronyms: </w:t>
      </w:r>
      <w:r w:rsidRPr="004C05B1">
        <w:rPr>
          <w:rFonts w:eastAsia="Times New Roman Uni" w:hint="eastAsia"/>
          <w:sz w:val="16"/>
          <w:szCs w:val="16"/>
        </w:rPr>
        <w:t xml:space="preserve">SLD,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MASLD, metabolic dysfunction-associated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</w:t>
      </w:r>
      <w:proofErr w:type="spellStart"/>
      <w:r w:rsidRPr="004C05B1">
        <w:rPr>
          <w:rFonts w:hint="eastAsia"/>
          <w:sz w:val="16"/>
          <w:szCs w:val="16"/>
        </w:rPr>
        <w:t>MetALD</w:t>
      </w:r>
      <w:proofErr w:type="spellEnd"/>
      <w:r w:rsidRPr="004C05B1">
        <w:rPr>
          <w:rFonts w:hint="eastAsia"/>
          <w:sz w:val="16"/>
          <w:szCs w:val="16"/>
        </w:rPr>
        <w:t>, metabolic alcohol-related liver disease; ALD, alcohol-related liver disease; MVPA, moderate-to-vigorous physical activity</w:t>
      </w:r>
      <w:r w:rsidRPr="004C05B1">
        <w:rPr>
          <w:rFonts w:eastAsia="Times New Roman Uni" w:hint="eastAsia"/>
          <w:sz w:val="16"/>
          <w:szCs w:val="16"/>
        </w:rPr>
        <w:t>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vertAlign w:val="superscript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&lt;0.05.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vertAlign w:val="superscript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&lt;0.01.</w:t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&lt;0.001.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</w:rPr>
      </w:pPr>
    </w:p>
    <w:p w:rsidR="004458DA" w:rsidRPr="004C05B1" w:rsidRDefault="004458DA" w:rsidP="004458DA">
      <w:pPr>
        <w:widowControl/>
        <w:wordWrap/>
        <w:autoSpaceDE/>
        <w:autoSpaceDN/>
        <w:spacing w:after="160" w:line="259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br w:type="page"/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b/>
          <w:sz w:val="20"/>
          <w:szCs w:val="20"/>
        </w:rPr>
      </w:pPr>
      <w:r w:rsidRPr="004C05B1">
        <w:rPr>
          <w:rFonts w:eastAsia="Times New Roman Uni" w:hint="eastAsia"/>
          <w:b/>
          <w:sz w:val="20"/>
          <w:szCs w:val="20"/>
        </w:rPr>
        <w:lastRenderedPageBreak/>
        <w:t>Supplementary T</w:t>
      </w:r>
      <w:r w:rsidRPr="004C05B1">
        <w:rPr>
          <w:rFonts w:eastAsia="Times New Roman Uni"/>
          <w:b/>
          <w:sz w:val="20"/>
          <w:szCs w:val="20"/>
        </w:rPr>
        <w:t xml:space="preserve">able </w:t>
      </w:r>
      <w:r w:rsidRPr="004C05B1">
        <w:rPr>
          <w:rFonts w:eastAsia="Times New Roman Uni" w:hint="eastAsia"/>
          <w:b/>
          <w:sz w:val="20"/>
          <w:szCs w:val="20"/>
        </w:rPr>
        <w:t>5</w:t>
      </w:r>
      <w:r w:rsidRPr="004C05B1">
        <w:rPr>
          <w:rFonts w:eastAsia="Times New Roman Uni"/>
          <w:b/>
          <w:sz w:val="20"/>
          <w:szCs w:val="20"/>
        </w:rPr>
        <w:t xml:space="preserve">. </w:t>
      </w:r>
      <w:r w:rsidRPr="004C05B1">
        <w:rPr>
          <w:rFonts w:eastAsia="Times New Roman Uni" w:hint="eastAsia"/>
          <w:b/>
          <w:sz w:val="20"/>
          <w:szCs w:val="20"/>
        </w:rPr>
        <w:t>Sensitivity analyses on the risk of incident infertility across the subcategories of SLD.</w:t>
      </w:r>
    </w:p>
    <w:tbl>
      <w:tblPr>
        <w:tblStyle w:val="aa"/>
        <w:tblW w:w="455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1481"/>
        <w:gridCol w:w="1480"/>
        <w:gridCol w:w="1479"/>
        <w:gridCol w:w="1479"/>
      </w:tblGrid>
      <w:tr w:rsidR="004458DA" w:rsidRPr="004C05B1" w:rsidTr="00B80843">
        <w:trPr>
          <w:trHeight w:val="53"/>
        </w:trPr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sz w:val="16"/>
                <w:szCs w:val="16"/>
              </w:rPr>
              <w:t>Variable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Non-SLD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MASLD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MetALD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ALD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Infertility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iCs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1-year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1.08 (1.01-1.15)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1.31 (1.15-1.49)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1.31 (1.04-1.65)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2-year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1.03 (0.96-1.12)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1.33 (1.15-1.53)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1.33 (1.03-1.71)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3-year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0.98 (0.89-1.07)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1.20 (1.01-1.42)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 xml:space="preserve">1.21 (0.90-1.63) 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Polycystic ovarian syndrome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1-year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2.02 (1.81-2.25)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2.26 (1.89-2.70)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2.00 (1.46-2.74)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2-year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2.02 (1.80-2.26)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2.19 (1.81-2.65)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2.07 (1.50-2.85)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3-year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1.99 (1.76-2.25)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1.98 (1.61-2.44)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iCs/>
                <w:sz w:val="16"/>
                <w:szCs w:val="16"/>
              </w:rPr>
              <w:t>1.94 (1.37-2.74)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Endometriosis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1-year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1.12 (0.98-1.28)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0.87 (0.63-1.19)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1.24 (0.74-2.08)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2-year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1.14 (0.99-1.30)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0.90 (0.65-1.24)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1.29 (0.77-2.16)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3-year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1.14 (0.99-1.31)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0.84 (0.60-1.18)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1.25 (0.73-2.13)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Adenomyosis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1-year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1.13 (1.03-1.23)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1.33 (1.13-1.57)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1.66 (1.25-2.19)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2-year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1.11 (1.02-1.22)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1.32 (1.12-1.56)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1.55 (1.16-2.08)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3-year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1.11 (1.01-1.22)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1.34 (1.13-1.58)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1.53 (1.14-2.06)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Pr</w:t>
            </w:r>
            <w:r w:rsidR="00AA45E2">
              <w:rPr>
                <w:rFonts w:eastAsia="Times New Roman Uni"/>
                <w:bCs/>
                <w:sz w:val="16"/>
                <w:szCs w:val="16"/>
              </w:rPr>
              <w:t>emature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ovarian insufficiency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1-year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1.43 (1.10-1.85)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1.86 (1.16-2.98)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0.71 (0.18-2.87)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2-year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1.49 (1.13-1.95)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2.08 (1.29-3.34)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0.79 (0.20-3.21)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3-year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1.35 (1.00-1.82)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2.13 (1.29-3.52)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0.91 (0.22-3.71)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Endometrial hyperplasia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1-year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1.25 (1.07-1.45)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0.98 (0.72-1.33)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1.39 (0.85-2.28)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 2-year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1.25 (1.07-1.45)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0.92 (0.67-1.26)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1.43 (0.87-2.34)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ind w:firstLineChars="100" w:firstLine="160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3-year latent period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1.24 (1.06-1.45)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0.85 (0.61-1.19)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1.32 (0.78-2.24)</w:t>
            </w:r>
          </w:p>
        </w:tc>
      </w:tr>
    </w:tbl>
    <w:p w:rsidR="004458DA" w:rsidRPr="004C05B1" w:rsidRDefault="004458DA" w:rsidP="004458DA">
      <w:pPr>
        <w:wordWrap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hint="eastAsia"/>
          <w:sz w:val="16"/>
          <w:szCs w:val="16"/>
        </w:rPr>
        <w:t xml:space="preserve">Data are adjusted hazard ratios (95% CIs) after adjustment for age, household income, </w:t>
      </w:r>
      <w:proofErr w:type="spellStart"/>
      <w:r w:rsidRPr="004C05B1">
        <w:rPr>
          <w:rFonts w:hint="eastAsia"/>
          <w:sz w:val="16"/>
          <w:szCs w:val="16"/>
        </w:rPr>
        <w:t>Charlson</w:t>
      </w:r>
      <w:proofErr w:type="spellEnd"/>
      <w:r w:rsidRPr="004C05B1">
        <w:rPr>
          <w:rFonts w:hint="eastAsia"/>
          <w:sz w:val="16"/>
          <w:szCs w:val="16"/>
        </w:rPr>
        <w:t xml:space="preserve"> comorbidity index, body mass index, cigarette smoking, moderate-to-vigorous physical activity, and gravidity.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t xml:space="preserve">Acronyms: </w:t>
      </w:r>
      <w:r w:rsidRPr="004C05B1">
        <w:rPr>
          <w:rFonts w:eastAsia="Times New Roman Uni" w:hint="eastAsia"/>
          <w:sz w:val="16"/>
          <w:szCs w:val="16"/>
        </w:rPr>
        <w:t xml:space="preserve">SLD,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MASLD, metabolic dysfunction-associated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</w:t>
      </w:r>
      <w:proofErr w:type="spellStart"/>
      <w:r w:rsidRPr="004C05B1">
        <w:rPr>
          <w:rFonts w:hint="eastAsia"/>
          <w:sz w:val="16"/>
          <w:szCs w:val="16"/>
        </w:rPr>
        <w:t>MetALD</w:t>
      </w:r>
      <w:proofErr w:type="spellEnd"/>
      <w:r w:rsidRPr="004C05B1">
        <w:rPr>
          <w:rFonts w:hint="eastAsia"/>
          <w:sz w:val="16"/>
          <w:szCs w:val="16"/>
        </w:rPr>
        <w:t>, metabolic alcohol-related liver disease; ALD, alcohol-related liver disease</w:t>
      </w:r>
      <w:r w:rsidRPr="004C05B1">
        <w:rPr>
          <w:rFonts w:eastAsia="Times New Roman Uni" w:hint="eastAsia"/>
          <w:sz w:val="16"/>
          <w:szCs w:val="16"/>
        </w:rPr>
        <w:t>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vertAlign w:val="superscript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&lt;0.05.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vertAlign w:val="superscript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&lt;0.01.</w:t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kern w:val="2"/>
          <w:sz w:val="16"/>
          <w:szCs w:val="16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&lt;0.001.</w:t>
      </w:r>
    </w:p>
    <w:p w:rsidR="004458DA" w:rsidRPr="004C05B1" w:rsidRDefault="004458DA" w:rsidP="004458DA">
      <w:pPr>
        <w:widowControl/>
        <w:wordWrap/>
        <w:autoSpaceDE/>
        <w:autoSpaceDN/>
        <w:spacing w:after="160" w:line="259" w:lineRule="auto"/>
        <w:rPr>
          <w:rFonts w:eastAsia="Times New Roman Uni"/>
          <w:b/>
          <w:sz w:val="16"/>
          <w:szCs w:val="16"/>
        </w:rPr>
      </w:pPr>
      <w:r w:rsidRPr="004C05B1">
        <w:rPr>
          <w:rFonts w:eastAsia="Times New Roman Uni"/>
          <w:b/>
          <w:sz w:val="16"/>
          <w:szCs w:val="16"/>
        </w:rPr>
        <w:br w:type="page"/>
      </w:r>
    </w:p>
    <w:p w:rsidR="004458DA" w:rsidRPr="004C05B1" w:rsidRDefault="004458DA" w:rsidP="004458DA">
      <w:pPr>
        <w:wordWrap/>
        <w:spacing w:line="240" w:lineRule="auto"/>
        <w:rPr>
          <w:rFonts w:eastAsia="Times New Roman Uni"/>
          <w:b/>
          <w:sz w:val="20"/>
          <w:szCs w:val="20"/>
        </w:rPr>
      </w:pPr>
      <w:r w:rsidRPr="004C05B1">
        <w:rPr>
          <w:rFonts w:eastAsia="Times New Roman Uni" w:hint="eastAsia"/>
          <w:b/>
          <w:sz w:val="20"/>
          <w:szCs w:val="20"/>
        </w:rPr>
        <w:lastRenderedPageBreak/>
        <w:t>Supplementary T</w:t>
      </w:r>
      <w:r w:rsidRPr="004C05B1">
        <w:rPr>
          <w:rFonts w:eastAsia="Times New Roman Uni"/>
          <w:b/>
          <w:sz w:val="20"/>
          <w:szCs w:val="20"/>
        </w:rPr>
        <w:t xml:space="preserve">able </w:t>
      </w:r>
      <w:r w:rsidRPr="004C05B1">
        <w:rPr>
          <w:rFonts w:eastAsia="Times New Roman Uni" w:hint="eastAsia"/>
          <w:b/>
          <w:sz w:val="20"/>
          <w:szCs w:val="20"/>
        </w:rPr>
        <w:t>6</w:t>
      </w:r>
      <w:r w:rsidRPr="004C05B1">
        <w:rPr>
          <w:rFonts w:eastAsia="Times New Roman Uni"/>
          <w:b/>
          <w:sz w:val="20"/>
          <w:szCs w:val="20"/>
        </w:rPr>
        <w:t xml:space="preserve">. </w:t>
      </w:r>
      <w:r w:rsidRPr="004C05B1">
        <w:rPr>
          <w:rFonts w:eastAsia="Times New Roman Uni" w:hint="eastAsia"/>
          <w:b/>
          <w:sz w:val="20"/>
          <w:szCs w:val="20"/>
        </w:rPr>
        <w:t xml:space="preserve">Adjusted </w:t>
      </w:r>
      <w:r w:rsidRPr="004C05B1">
        <w:rPr>
          <w:rFonts w:eastAsia="Times New Roman Uni"/>
          <w:b/>
          <w:sz w:val="20"/>
          <w:szCs w:val="20"/>
        </w:rPr>
        <w:t xml:space="preserve">HRs for incident </w:t>
      </w:r>
      <w:proofErr w:type="spellStart"/>
      <w:r w:rsidRPr="004C05B1">
        <w:rPr>
          <w:rFonts w:eastAsia="Times New Roman Uni" w:hint="eastAsia"/>
          <w:b/>
          <w:sz w:val="20"/>
          <w:szCs w:val="20"/>
        </w:rPr>
        <w:t>gynecological</w:t>
      </w:r>
      <w:proofErr w:type="spellEnd"/>
      <w:r w:rsidRPr="004C05B1">
        <w:rPr>
          <w:rFonts w:eastAsia="Times New Roman Uni" w:hint="eastAsia"/>
          <w:b/>
          <w:sz w:val="20"/>
          <w:szCs w:val="20"/>
        </w:rPr>
        <w:t xml:space="preserve"> disorders across the subcategories of SLD after adjustment for alcohol consumption.</w:t>
      </w:r>
    </w:p>
    <w:tbl>
      <w:tblPr>
        <w:tblStyle w:val="aa"/>
        <w:tblW w:w="455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1480"/>
        <w:gridCol w:w="1480"/>
        <w:gridCol w:w="1480"/>
        <w:gridCol w:w="1479"/>
      </w:tblGrid>
      <w:tr w:rsidR="004458DA" w:rsidRPr="004C05B1" w:rsidTr="00B80843">
        <w:trPr>
          <w:trHeight w:val="53"/>
        </w:trPr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sz w:val="16"/>
                <w:szCs w:val="16"/>
              </w:rPr>
              <w:t>Variable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Non-SLD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/>
                <w:b/>
                <w:bCs/>
                <w:sz w:val="16"/>
                <w:szCs w:val="16"/>
              </w:rPr>
              <w:t>MASLD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proofErr w:type="spellStart"/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MetALD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</w:tcPr>
          <w:p w:rsidR="004458DA" w:rsidRPr="004C05B1" w:rsidRDefault="004458DA" w:rsidP="00B80843">
            <w:pPr>
              <w:wordWrap/>
              <w:spacing w:line="240" w:lineRule="auto"/>
              <w:jc w:val="center"/>
              <w:rPr>
                <w:rFonts w:eastAsia="Times New Roman Uni"/>
                <w:b/>
                <w:bCs/>
                <w:i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/>
                <w:bCs/>
                <w:iCs/>
                <w:sz w:val="16"/>
                <w:szCs w:val="16"/>
              </w:rPr>
              <w:t>ALD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Infertility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1.10 (1.03-1.17)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1.38 (1.22-1.56)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1.64 (1.29-2.08)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Polycystic ovarian syndrome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2.05 (1.85-2.28)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2.33 (1.92-2.82)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1.95 (1.37-2.80)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Endometriosis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1.09 (0.96-1.24)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1.13 (0.81-1.58)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1.62 (0.89-2.95)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Adenomyosis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1.15 (1.05-1.25)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1.19 (0.99-1.43)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1.40 (0.99-1.98)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Pr</w:t>
            </w:r>
            <w:r w:rsidR="00EA073F">
              <w:rPr>
                <w:rFonts w:eastAsia="Times New Roman Uni"/>
                <w:bCs/>
                <w:sz w:val="16"/>
                <w:szCs w:val="16"/>
              </w:rPr>
              <w:t>emature</w:t>
            </w: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 xml:space="preserve"> ovarian insufficiency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1.49 (1.16-1.91)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1.59 (0.97-2.62)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1.14 (0.32-4.11)</w:t>
            </w:r>
          </w:p>
        </w:tc>
      </w:tr>
      <w:tr w:rsidR="004458DA" w:rsidRPr="004C05B1" w:rsidTr="00B80843">
        <w:trPr>
          <w:trHeight w:val="53"/>
        </w:trPr>
        <w:tc>
          <w:tcPr>
            <w:tcW w:w="1401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bCs/>
                <w:sz w:val="16"/>
                <w:szCs w:val="16"/>
              </w:rPr>
            </w:pPr>
            <w:r w:rsidRPr="004C05B1">
              <w:rPr>
                <w:rFonts w:eastAsia="Times New Roman Uni" w:hint="eastAsia"/>
                <w:bCs/>
                <w:sz w:val="16"/>
                <w:szCs w:val="16"/>
              </w:rPr>
              <w:t>Endometrial hyperplasia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1.00 (reference)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1.29 (1.11-1.50)</w:t>
            </w:r>
            <w:r w:rsidRPr="004C05B1">
              <w:rPr>
                <w:rFonts w:eastAsia="Times New Roman Uni" w:hint="eastAsia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900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1.04 (0.74-1.46)</w:t>
            </w:r>
          </w:p>
        </w:tc>
        <w:tc>
          <w:tcPr>
            <w:tcW w:w="899" w:type="pct"/>
          </w:tcPr>
          <w:p w:rsidR="004458DA" w:rsidRPr="004C05B1" w:rsidRDefault="004458DA" w:rsidP="00B80843">
            <w:pPr>
              <w:wordWrap/>
              <w:spacing w:line="240" w:lineRule="auto"/>
              <w:rPr>
                <w:rFonts w:eastAsia="Times New Roman Uni"/>
                <w:sz w:val="16"/>
                <w:szCs w:val="16"/>
              </w:rPr>
            </w:pPr>
            <w:r w:rsidRPr="004C05B1">
              <w:rPr>
                <w:rFonts w:eastAsia="Times New Roman Uni" w:hint="eastAsia"/>
                <w:sz w:val="16"/>
                <w:szCs w:val="16"/>
              </w:rPr>
              <w:t>1.49 (0.81-2.75)</w:t>
            </w:r>
          </w:p>
        </w:tc>
      </w:tr>
    </w:tbl>
    <w:p w:rsidR="004458DA" w:rsidRPr="004C05B1" w:rsidRDefault="004458DA" w:rsidP="004458DA">
      <w:pPr>
        <w:wordWrap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hint="eastAsia"/>
          <w:sz w:val="16"/>
          <w:szCs w:val="16"/>
        </w:rPr>
        <w:t xml:space="preserve">Data are adjusted HR (95% CIs) after adjustment for age, household income, </w:t>
      </w:r>
      <w:proofErr w:type="spellStart"/>
      <w:r w:rsidRPr="004C05B1">
        <w:rPr>
          <w:rFonts w:hint="eastAsia"/>
          <w:sz w:val="16"/>
          <w:szCs w:val="16"/>
        </w:rPr>
        <w:t>Charlson</w:t>
      </w:r>
      <w:proofErr w:type="spellEnd"/>
      <w:r w:rsidRPr="004C05B1">
        <w:rPr>
          <w:rFonts w:hint="eastAsia"/>
          <w:sz w:val="16"/>
          <w:szCs w:val="16"/>
        </w:rPr>
        <w:t xml:space="preserve"> comorbidity index, body mass index, cigarette smoking, moderate-to-vigorous physical activity, gravidity, and alcohol consumption.</w:t>
      </w:r>
    </w:p>
    <w:p w:rsidR="004458DA" w:rsidRPr="004C05B1" w:rsidRDefault="004458DA" w:rsidP="004458DA">
      <w:pPr>
        <w:widowControl/>
        <w:wordWrap/>
        <w:autoSpaceDE/>
        <w:autoSpaceDN/>
        <w:spacing w:line="240" w:lineRule="auto"/>
        <w:rPr>
          <w:rFonts w:eastAsia="Times New Roman Uni"/>
          <w:sz w:val="16"/>
          <w:szCs w:val="16"/>
        </w:rPr>
      </w:pPr>
      <w:r w:rsidRPr="004C05B1">
        <w:rPr>
          <w:rFonts w:eastAsia="Times New Roman Uni"/>
          <w:sz w:val="16"/>
          <w:szCs w:val="16"/>
        </w:rPr>
        <w:t xml:space="preserve">Acronyms: </w:t>
      </w:r>
      <w:r w:rsidRPr="004C05B1">
        <w:rPr>
          <w:rFonts w:eastAsia="Times New Roman Uni" w:hint="eastAsia"/>
          <w:sz w:val="16"/>
          <w:szCs w:val="16"/>
        </w:rPr>
        <w:t xml:space="preserve">HR, hazard ratio; SLD,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MASLD, metabolic dysfunction-associated </w:t>
      </w:r>
      <w:proofErr w:type="spellStart"/>
      <w:r w:rsidRPr="004C05B1">
        <w:rPr>
          <w:rFonts w:eastAsia="Times New Roman Uni" w:hint="eastAsia"/>
          <w:sz w:val="16"/>
          <w:szCs w:val="16"/>
        </w:rPr>
        <w:t>steatotic</w:t>
      </w:r>
      <w:proofErr w:type="spellEnd"/>
      <w:r w:rsidRPr="004C05B1">
        <w:rPr>
          <w:rFonts w:eastAsia="Times New Roman Uni" w:hint="eastAsia"/>
          <w:sz w:val="16"/>
          <w:szCs w:val="16"/>
        </w:rPr>
        <w:t xml:space="preserve"> liver disease; </w:t>
      </w:r>
      <w:proofErr w:type="spellStart"/>
      <w:r w:rsidRPr="004C05B1">
        <w:rPr>
          <w:rFonts w:hint="eastAsia"/>
          <w:sz w:val="16"/>
          <w:szCs w:val="16"/>
        </w:rPr>
        <w:t>MetALD</w:t>
      </w:r>
      <w:proofErr w:type="spellEnd"/>
      <w:r w:rsidRPr="004C05B1">
        <w:rPr>
          <w:rFonts w:hint="eastAsia"/>
          <w:sz w:val="16"/>
          <w:szCs w:val="16"/>
        </w:rPr>
        <w:t>, metabolic alcohol-related liver disease; ALD, alcohol-related liver disease; CI, confidence interval</w:t>
      </w:r>
      <w:r w:rsidRPr="004C05B1">
        <w:rPr>
          <w:rFonts w:eastAsia="Times New Roman Uni" w:hint="eastAsia"/>
          <w:sz w:val="16"/>
          <w:szCs w:val="16"/>
        </w:rPr>
        <w:t>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vertAlign w:val="superscript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&lt;0.05.</w:t>
      </w:r>
    </w:p>
    <w:p w:rsidR="004458DA" w:rsidRPr="004C05B1" w:rsidRDefault="004458DA" w:rsidP="004458DA">
      <w:pPr>
        <w:widowControl/>
        <w:wordWrap/>
        <w:autoSpaceDE/>
        <w:spacing w:line="240" w:lineRule="auto"/>
        <w:rPr>
          <w:rFonts w:eastAsia="Times New Roman Uni"/>
          <w:kern w:val="2"/>
          <w:sz w:val="16"/>
          <w:szCs w:val="16"/>
          <w:vertAlign w:val="superscript"/>
          <w:lang w:val="en-US"/>
        </w:rPr>
      </w:pPr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&lt;0.01.</w:t>
      </w:r>
    </w:p>
    <w:p w:rsidR="004458DA" w:rsidRDefault="004458DA" w:rsidP="004458DA">
      <w:r w:rsidRPr="004C05B1">
        <w:rPr>
          <w:rFonts w:eastAsia="Times New Roman Uni"/>
          <w:kern w:val="2"/>
          <w:sz w:val="16"/>
          <w:szCs w:val="16"/>
          <w:vertAlign w:val="superscript"/>
          <w:lang w:val="en-US"/>
        </w:rPr>
        <w:t>***</w:t>
      </w:r>
      <w:r w:rsidRPr="004C05B1">
        <w:rPr>
          <w:rFonts w:eastAsia="Times New Roman Uni"/>
          <w:i/>
          <w:iCs/>
          <w:kern w:val="2"/>
          <w:sz w:val="16"/>
          <w:szCs w:val="16"/>
          <w:lang w:val="en-US"/>
        </w:rPr>
        <w:t>P</w:t>
      </w:r>
      <w:r w:rsidRPr="004C05B1">
        <w:rPr>
          <w:rFonts w:eastAsia="Times New Roman Uni"/>
          <w:kern w:val="2"/>
          <w:sz w:val="16"/>
          <w:szCs w:val="16"/>
          <w:lang w:val="en-US"/>
        </w:rPr>
        <w:t>&lt;0.001</w:t>
      </w:r>
      <w:r>
        <w:rPr>
          <w:rFonts w:eastAsia="Times New Roman Uni"/>
          <w:kern w:val="2"/>
          <w:sz w:val="16"/>
          <w:szCs w:val="16"/>
          <w:lang w:val="en-US"/>
        </w:rPr>
        <w:t>.</w:t>
      </w:r>
    </w:p>
    <w:sectPr w:rsidR="004458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바탕"/>
    <w:panose1 w:val="020B0604020202020204"/>
    <w:charset w:val="81"/>
    <w:family w:val="roman"/>
    <w:pitch w:val="variable"/>
    <w:sig w:usb0="B334AAFF" w:usb1="F9DFFFFF" w:usb2="0000003E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DA"/>
    <w:rsid w:val="001822D4"/>
    <w:rsid w:val="004458DA"/>
    <w:rsid w:val="005333FE"/>
    <w:rsid w:val="00AA45E2"/>
    <w:rsid w:val="00E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A2CC1"/>
  <w15:chartTrackingRefBased/>
  <w15:docId w15:val="{9A5170D9-1360-A640-BCF7-840B5CAE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DA"/>
    <w:pPr>
      <w:widowControl w:val="0"/>
      <w:wordWrap w:val="0"/>
      <w:autoSpaceDE w:val="0"/>
      <w:autoSpaceDN w:val="0"/>
      <w:spacing w:after="0" w:line="480" w:lineRule="auto"/>
      <w:jc w:val="both"/>
    </w:pPr>
    <w:rPr>
      <w:rFonts w:ascii="Times New Roman" w:eastAsia="맑은 고딕" w:hAnsi="Times New Roman" w:cs="Times New Roman"/>
      <w:kern w:val="0"/>
      <w:sz w:val="24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458DA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58DA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58DA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58DA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58DA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58DA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58DA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8DA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58DA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458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458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458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4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4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4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4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4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458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45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4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58DA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45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58DA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458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58DA"/>
    <w:pPr>
      <w:spacing w:after="160" w:line="240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4458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458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58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58DA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5</cp:revision>
  <dcterms:created xsi:type="dcterms:W3CDTF">2025-06-26T07:02:00Z</dcterms:created>
  <dcterms:modified xsi:type="dcterms:W3CDTF">2026-04-16T07:14:00Z</dcterms:modified>
</cp:coreProperties>
</file>