
<file path=[Content_Types].xml><?xml version="1.0" encoding="utf-8"?>
<Types xmlns="http://schemas.openxmlformats.org/package/2006/content-types">
  <Default Extension="pn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B87DF" w14:textId="77777777" w:rsidR="00C53508" w:rsidRDefault="00C53508" w:rsidP="00C53508">
      <w:pPr>
        <w:spacing w:before="280" w:after="80"/>
      </w:pPr>
      <w:r>
        <w:rPr>
          <w:rFonts w:ascii="Times New Roman" w:hAnsi="Times New Roman"/>
          <w:b/>
          <w:color w:val="000000"/>
          <w:sz w:val="26"/>
        </w:rPr>
        <w:t>SUPPLEMENTARY FIGURES</w:t>
      </w:r>
    </w:p>
    <w:p w14:paraId="57F84B81" w14:textId="77777777" w:rsidR="00C53508" w:rsidRDefault="00C53508" w:rsidP="00C53508">
      <w:pPr>
        <w:spacing w:before="240" w:after="80"/>
        <w:jc w:val="center"/>
      </w:pPr>
      <w:r>
        <w:rPr>
          <w:noProof/>
        </w:rPr>
        <w:drawing>
          <wp:inline distT="0" distB="0" distL="0" distR="0" wp14:anchorId="5666D0C5" wp14:editId="4163ED75">
            <wp:extent cx="5029200" cy="37719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dition1_Score_Clinical_Correlation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5775E" w14:textId="77777777" w:rsidR="00C53508" w:rsidRDefault="00C53508" w:rsidP="00C53508">
      <w:pPr>
        <w:spacing w:before="80" w:after="280" w:line="400" w:lineRule="exact"/>
        <w:jc w:val="center"/>
      </w:pPr>
      <w:r w:rsidRPr="004157FC">
        <w:rPr>
          <w:rFonts w:ascii="Times New Roman" w:hAnsi="Times New Roman"/>
          <w:b/>
          <w:bCs/>
          <w:color w:val="000000"/>
          <w:sz w:val="20"/>
        </w:rPr>
        <w:t>Supplementary Figure 1.</w:t>
      </w:r>
      <w:r>
        <w:rPr>
          <w:rFonts w:ascii="Times New Roman" w:hAnsi="Times New Roman"/>
          <w:color w:val="000000"/>
          <w:sz w:val="20"/>
        </w:rPr>
        <w:t xml:space="preserve"> Composite p53-SASP score versus disease status (pooled across all five cohorts, n=206 samples). Spearman rho = 0.549, p = 1.39x10-17. Each point represents one sample color-coded by cohort. The regression line with 95% confidence interval demonstrates significant association of the p53-SASP composite score with CKD disease status.</w:t>
      </w:r>
    </w:p>
    <w:p w14:paraId="14713362" w14:textId="77777777" w:rsidR="00C53508" w:rsidRDefault="00C53508" w:rsidP="00C53508">
      <w:pPr>
        <w:spacing w:before="240" w:after="80"/>
        <w:jc w:val="center"/>
      </w:pPr>
      <w:r>
        <w:rPr>
          <w:noProof/>
        </w:rPr>
        <w:lastRenderedPageBreak/>
        <w:drawing>
          <wp:inline distT="0" distB="0" distL="0" distR="0" wp14:anchorId="31997DD1" wp14:editId="687C8C5F">
            <wp:extent cx="5029200" cy="4189324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dition2_STRING_Network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4189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CEF2C" w14:textId="77777777" w:rsidR="00C53508" w:rsidRDefault="00C53508" w:rsidP="00C53508">
      <w:pPr>
        <w:spacing w:before="80" w:after="280" w:line="400" w:lineRule="exact"/>
        <w:jc w:val="center"/>
      </w:pPr>
      <w:r>
        <w:rPr>
          <w:rFonts w:ascii="Times New Roman" w:hAnsi="Times New Roman"/>
          <w:color w:val="000000"/>
          <w:sz w:val="20"/>
        </w:rPr>
        <w:t>Supplementary Figure 2. STRING v11.5 protein-protein interaction network. Seed proteins include all seven genetic modifier class representatives and key p53 pathway nodes (n=18 proteins, combined score threshold &gt; 400, 70 interactions). TP53 is the most highly connected hub. MBOAT7, ABCG8, and AQP11 show limited STRING-verified connections, consistent with their indirect lipotoxic and ER stress mechanisms of p53 activation.</w:t>
      </w:r>
    </w:p>
    <w:p w14:paraId="32004A25" w14:textId="77777777" w:rsidR="00C53508" w:rsidRDefault="00C53508" w:rsidP="00C53508">
      <w:pPr>
        <w:spacing w:before="240" w:after="80"/>
        <w:jc w:val="center"/>
      </w:pPr>
      <w:r>
        <w:rPr>
          <w:noProof/>
        </w:rPr>
        <w:lastRenderedPageBreak/>
        <w:drawing>
          <wp:inline distT="0" distB="0" distL="0" distR="0" wp14:anchorId="0D22035D" wp14:editId="6CE7BB02">
            <wp:extent cx="5029200" cy="37719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dition2_PPI_Network_Curated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93B24" w14:textId="77777777" w:rsidR="00C53508" w:rsidRDefault="00C53508" w:rsidP="00C53508">
      <w:pPr>
        <w:spacing w:before="80" w:after="280" w:line="400" w:lineRule="exact"/>
        <w:jc w:val="center"/>
      </w:pPr>
      <w:r>
        <w:rPr>
          <w:rFonts w:ascii="Times New Roman" w:hAnsi="Times New Roman"/>
          <w:color w:val="000000"/>
          <w:sz w:val="20"/>
        </w:rPr>
        <w:t xml:space="preserve">Supplementary Figure 3. Literature-curated directed PPI network: CKD modifier classes to p53 hub. Arrows indicate signaling direction. All seven modifier class proteins connect to TP53 through ATM, ATR, or TGFB1 intermediaries. Node size reflects degree centrality. Sources: Olabisi 2016 (APOL1), Kao 2008 (MYH9), Fujita 2009 (SOD2/GPX1), Samarakoon 2013 (ACE/AGT/TGFB1), Morishita 2005 (AQP11), </w:t>
      </w:r>
      <w:proofErr w:type="spellStart"/>
      <w:r>
        <w:rPr>
          <w:rFonts w:ascii="Times New Roman" w:hAnsi="Times New Roman"/>
          <w:color w:val="000000"/>
          <w:sz w:val="20"/>
        </w:rPr>
        <w:t>Roos</w:t>
      </w:r>
      <w:proofErr w:type="spellEnd"/>
      <w:r>
        <w:rPr>
          <w:rFonts w:ascii="Times New Roman" w:hAnsi="Times New Roman"/>
          <w:color w:val="000000"/>
          <w:sz w:val="20"/>
        </w:rPr>
        <w:t xml:space="preserve"> 2006 (MBL2), Kang 2015 (ABCG8/MBOAT7).</w:t>
      </w:r>
    </w:p>
    <w:p w14:paraId="58CEBBC7" w14:textId="77777777" w:rsidR="00C53508" w:rsidRDefault="00C53508" w:rsidP="00C53508">
      <w:pPr>
        <w:spacing w:before="240" w:after="80"/>
        <w:jc w:val="center"/>
      </w:pPr>
      <w:r>
        <w:rPr>
          <w:noProof/>
        </w:rPr>
        <w:lastRenderedPageBreak/>
        <w:drawing>
          <wp:inline distT="0" distB="0" distL="0" distR="0" wp14:anchorId="10FE2CB9" wp14:editId="02066564">
            <wp:extent cx="5029200" cy="3950437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dition4_Reactome_Senescence_GSEA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950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6AA1F" w14:textId="77777777" w:rsidR="00C53508" w:rsidRDefault="00C53508" w:rsidP="00C53508">
      <w:pPr>
        <w:spacing w:before="80" w:after="280" w:line="400" w:lineRule="exact"/>
        <w:jc w:val="center"/>
      </w:pPr>
      <w:r>
        <w:rPr>
          <w:rFonts w:ascii="Times New Roman" w:hAnsi="Times New Roman"/>
          <w:color w:val="000000"/>
          <w:sz w:val="20"/>
        </w:rPr>
        <w:t xml:space="preserve">Supplementary Figure 4. </w:t>
      </w:r>
      <w:proofErr w:type="spellStart"/>
      <w:r>
        <w:rPr>
          <w:rFonts w:ascii="Times New Roman" w:hAnsi="Times New Roman"/>
          <w:color w:val="000000"/>
          <w:sz w:val="20"/>
        </w:rPr>
        <w:t>Reactome</w:t>
      </w:r>
      <w:proofErr w:type="spellEnd"/>
      <w:r>
        <w:rPr>
          <w:rFonts w:ascii="Times New Roman" w:hAnsi="Times New Roman"/>
          <w:color w:val="000000"/>
          <w:sz w:val="20"/>
        </w:rPr>
        <w:t xml:space="preserve"> senescence pathway enrichment across five CKD subtypes. NES heatmap for seven pre-specified </w:t>
      </w:r>
      <w:proofErr w:type="spellStart"/>
      <w:r>
        <w:rPr>
          <w:rFonts w:ascii="Times New Roman" w:hAnsi="Times New Roman"/>
          <w:color w:val="000000"/>
          <w:sz w:val="20"/>
        </w:rPr>
        <w:t>Reactome</w:t>
      </w:r>
      <w:proofErr w:type="spellEnd"/>
      <w:r>
        <w:rPr>
          <w:rFonts w:ascii="Times New Roman" w:hAnsi="Times New Roman"/>
          <w:color w:val="000000"/>
          <w:sz w:val="20"/>
        </w:rPr>
        <w:t xml:space="preserve"> senescence pathways. CELLULAR_SENESCENCE is enriched in DKD (NES = 1.57, </w:t>
      </w:r>
      <w:proofErr w:type="spellStart"/>
      <w:r>
        <w:rPr>
          <w:rFonts w:ascii="Times New Roman" w:hAnsi="Times New Roman"/>
          <w:color w:val="000000"/>
          <w:sz w:val="20"/>
        </w:rPr>
        <w:t>padj</w:t>
      </w:r>
      <w:proofErr w:type="spellEnd"/>
      <w:r>
        <w:rPr>
          <w:rFonts w:ascii="Times New Roman" w:hAnsi="Times New Roman"/>
          <w:color w:val="000000"/>
          <w:sz w:val="20"/>
        </w:rPr>
        <w:t xml:space="preserve"> = 0.019) and MN (NES = 1.86, </w:t>
      </w:r>
      <w:proofErr w:type="spellStart"/>
      <w:r>
        <w:rPr>
          <w:rFonts w:ascii="Times New Roman" w:hAnsi="Times New Roman"/>
          <w:color w:val="000000"/>
          <w:sz w:val="20"/>
        </w:rPr>
        <w:t>padj</w:t>
      </w:r>
      <w:proofErr w:type="spellEnd"/>
      <w:r>
        <w:rPr>
          <w:rFonts w:ascii="Times New Roman" w:hAnsi="Times New Roman"/>
          <w:color w:val="000000"/>
          <w:sz w:val="20"/>
        </w:rPr>
        <w:t xml:space="preserve"> = 8.33x10-6). REACTOME_SASP is significantly enriched in MN (NES = 1.92, </w:t>
      </w:r>
      <w:proofErr w:type="spellStart"/>
      <w:r>
        <w:rPr>
          <w:rFonts w:ascii="Times New Roman" w:hAnsi="Times New Roman"/>
          <w:color w:val="000000"/>
          <w:sz w:val="20"/>
        </w:rPr>
        <w:t>padj</w:t>
      </w:r>
      <w:proofErr w:type="spellEnd"/>
      <w:r>
        <w:rPr>
          <w:rFonts w:ascii="Times New Roman" w:hAnsi="Times New Roman"/>
          <w:color w:val="000000"/>
          <w:sz w:val="20"/>
        </w:rPr>
        <w:t xml:space="preserve"> = 3.14x10-5). ONCOGENE_INDUCED_SENESCENCE is enriched in HTN (NES = 1.83, </w:t>
      </w:r>
      <w:proofErr w:type="spellStart"/>
      <w:r>
        <w:rPr>
          <w:rFonts w:ascii="Times New Roman" w:hAnsi="Times New Roman"/>
          <w:color w:val="000000"/>
          <w:sz w:val="20"/>
        </w:rPr>
        <w:t>padj</w:t>
      </w:r>
      <w:proofErr w:type="spellEnd"/>
      <w:r>
        <w:rPr>
          <w:rFonts w:ascii="Times New Roman" w:hAnsi="Times New Roman"/>
          <w:color w:val="000000"/>
          <w:sz w:val="20"/>
        </w:rPr>
        <w:t xml:space="preserve"> = 0.013) and DKD (NES = 1.54, </w:t>
      </w:r>
      <w:proofErr w:type="spellStart"/>
      <w:r>
        <w:rPr>
          <w:rFonts w:ascii="Times New Roman" w:hAnsi="Times New Roman"/>
          <w:color w:val="000000"/>
          <w:sz w:val="20"/>
        </w:rPr>
        <w:t>padj</w:t>
      </w:r>
      <w:proofErr w:type="spellEnd"/>
      <w:r>
        <w:rPr>
          <w:rFonts w:ascii="Times New Roman" w:hAnsi="Times New Roman"/>
          <w:color w:val="000000"/>
          <w:sz w:val="20"/>
        </w:rPr>
        <w:t xml:space="preserve"> = 0.043). Stars: *, </w:t>
      </w:r>
      <w:proofErr w:type="spellStart"/>
      <w:r>
        <w:rPr>
          <w:rFonts w:ascii="Times New Roman" w:hAnsi="Times New Roman"/>
          <w:color w:val="000000"/>
          <w:sz w:val="20"/>
        </w:rPr>
        <w:t>padj</w:t>
      </w:r>
      <w:proofErr w:type="spellEnd"/>
      <w:r>
        <w:rPr>
          <w:rFonts w:ascii="Times New Roman" w:hAnsi="Times New Roman"/>
          <w:color w:val="000000"/>
          <w:sz w:val="20"/>
        </w:rPr>
        <w:t xml:space="preserve">&lt;0.05; ***, </w:t>
      </w:r>
      <w:proofErr w:type="spellStart"/>
      <w:r>
        <w:rPr>
          <w:rFonts w:ascii="Times New Roman" w:hAnsi="Times New Roman"/>
          <w:color w:val="000000"/>
          <w:sz w:val="20"/>
        </w:rPr>
        <w:t>padj</w:t>
      </w:r>
      <w:proofErr w:type="spellEnd"/>
      <w:r>
        <w:rPr>
          <w:rFonts w:ascii="Times New Roman" w:hAnsi="Times New Roman"/>
          <w:color w:val="000000"/>
          <w:sz w:val="20"/>
        </w:rPr>
        <w:t>&lt;0.001.</w:t>
      </w:r>
    </w:p>
    <w:p w14:paraId="30B91F29" w14:textId="77777777" w:rsidR="00C53508" w:rsidRDefault="00C53508" w:rsidP="00C53508">
      <w:pPr>
        <w:spacing w:before="240" w:after="80"/>
        <w:jc w:val="center"/>
      </w:pPr>
      <w:r>
        <w:rPr>
          <w:noProof/>
        </w:rPr>
        <w:lastRenderedPageBreak/>
        <w:drawing>
          <wp:inline distT="0" distB="0" distL="0" distR="0" wp14:anchorId="4A6C58F0" wp14:editId="399CBE17">
            <wp:extent cx="5486400" cy="3132734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dition3_RMD_Drug_Repurposing_FIXED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2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D2EB4" w14:textId="77777777" w:rsidR="00C53508" w:rsidRDefault="00C53508" w:rsidP="00C53508">
      <w:pPr>
        <w:spacing w:before="80" w:after="280" w:line="400" w:lineRule="exact"/>
        <w:jc w:val="center"/>
      </w:pPr>
      <w:r>
        <w:rPr>
          <w:rFonts w:ascii="Times New Roman" w:hAnsi="Times New Roman"/>
          <w:color w:val="000000"/>
          <w:sz w:val="20"/>
        </w:rPr>
        <w:t xml:space="preserve">Supplementary Figure 5. RMD drug repurposing landscape. Dot plot of 18 existing FDA-approved and pipeline agents classified across five RMD subclasses. Circles indicate FDA-approved agents; triangles indicate pipeline/trial-stage agents. Dashed vertical line separates RMD agents from nephroprotective active comparators (empagliflozin, dapagliflozin). </w:t>
      </w:r>
      <w:proofErr w:type="spellStart"/>
      <w:r>
        <w:rPr>
          <w:rFonts w:ascii="Times New Roman" w:hAnsi="Times New Roman"/>
          <w:color w:val="000000"/>
          <w:sz w:val="20"/>
        </w:rPr>
        <w:t>Inaxaplin</w:t>
      </w:r>
      <w:proofErr w:type="spellEnd"/>
      <w:r>
        <w:rPr>
          <w:rFonts w:ascii="Times New Roman" w:hAnsi="Times New Roman"/>
          <w:color w:val="000000"/>
          <w:sz w:val="20"/>
        </w:rPr>
        <w:t xml:space="preserve"> is classified as RMD-</w:t>
      </w:r>
      <w:proofErr w:type="spellStart"/>
      <w:r>
        <w:rPr>
          <w:rFonts w:ascii="Times New Roman" w:hAnsi="Times New Roman"/>
          <w:color w:val="000000"/>
          <w:sz w:val="20"/>
        </w:rPr>
        <w:t>GenoSpec</w:t>
      </w:r>
      <w:proofErr w:type="spellEnd"/>
      <w:r>
        <w:rPr>
          <w:rFonts w:ascii="Times New Roman" w:hAnsi="Times New Roman"/>
          <w:color w:val="000000"/>
          <w:sz w:val="20"/>
        </w:rPr>
        <w:t xml:space="preserve"> Class I.</w:t>
      </w:r>
    </w:p>
    <w:p w14:paraId="4E257BD1" w14:textId="77777777" w:rsidR="00C53508" w:rsidRDefault="00C53508" w:rsidP="00C53508">
      <w:pPr>
        <w:spacing w:before="240" w:after="80"/>
        <w:jc w:val="center"/>
      </w:pPr>
      <w:r>
        <w:rPr>
          <w:noProof/>
        </w:rPr>
        <w:lastRenderedPageBreak/>
        <w:drawing>
          <wp:inline distT="0" distB="0" distL="0" distR="0" wp14:anchorId="4D354D19" wp14:editId="10DBA2A2">
            <wp:extent cx="5029200" cy="402336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dition5_Biomarker_Feasibility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BE542" w14:textId="77777777" w:rsidR="00C53508" w:rsidRDefault="00C53508" w:rsidP="00C53508">
      <w:pPr>
        <w:spacing w:before="80" w:after="280" w:line="400" w:lineRule="exact"/>
        <w:jc w:val="center"/>
      </w:pPr>
      <w:r>
        <w:rPr>
          <w:rFonts w:ascii="Times New Roman" w:hAnsi="Times New Roman"/>
          <w:color w:val="000000"/>
          <w:sz w:val="20"/>
        </w:rPr>
        <w:t>Supplementary Figure 6. Clinical accessibility of the p53-SASP biomarker panel. Twelve protein markers are detectable by IHC or CLIA-certified ELISA. Color indicates approximate per-test cost: green = low (&lt;$50), amber = moderate ($51-80), red = higher (&gt;$80). Seven markers are accessible by routine clinical or CLIA-certified platforms. Alpha-SMA ($40) and Collagen I ($45) are currently used in routine renal pathology, providing an immediately implementable basis for RMD patient stratification.</w:t>
      </w:r>
    </w:p>
    <w:p w14:paraId="04262466" w14:textId="77777777" w:rsidR="008B07A6" w:rsidRDefault="008B07A6"/>
    <w:sectPr w:rsidR="008B07A6" w:rsidSect="00C5350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508"/>
    <w:rsid w:val="00066677"/>
    <w:rsid w:val="003A4E89"/>
    <w:rsid w:val="00556784"/>
    <w:rsid w:val="008B07A6"/>
    <w:rsid w:val="00987B63"/>
    <w:rsid w:val="00C52637"/>
    <w:rsid w:val="00C53508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D8BC9"/>
  <w15:chartTrackingRefBased/>
  <w15:docId w15:val="{854B88A1-38CF-4C02-808D-55BB00EC7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508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350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350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350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350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350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350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350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350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350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35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35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35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35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35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35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35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35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35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35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535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350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535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3508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535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3508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535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35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35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35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358</Words>
  <Characters>2290</Characters>
  <Application>Microsoft Office Word</Application>
  <DocSecurity>0</DocSecurity>
  <Lines>53</Lines>
  <Paragraphs>20</Paragraphs>
  <ScaleCrop>false</ScaleCrop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2026-04-17T05:36:00Z</dcterms:created>
  <dcterms:modified xsi:type="dcterms:W3CDTF">2026-04-17T05:36:00Z</dcterms:modified>
</cp:coreProperties>
</file>