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1329"/>
        <w:gridCol w:w="7193"/>
      </w:tblGrid>
      <w:tr w14:paraId="4ED24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tblHeader/>
          <w:jc w:val="center"/>
        </w:trPr>
        <w:tc>
          <w:tcPr>
            <w:tcW w:w="132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ED62C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Element</w:t>
            </w:r>
          </w:p>
        </w:tc>
        <w:tc>
          <w:tcPr>
            <w:tcW w:w="719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FA148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Description</w:t>
            </w:r>
          </w:p>
        </w:tc>
      </w:tr>
      <w:tr w14:paraId="15344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32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FF3C8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Population (P)</w:t>
            </w:r>
          </w:p>
        </w:tc>
        <w:tc>
          <w:tcPr>
            <w:tcW w:w="719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699EE99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Restricted to animal models of allergic rhinitis.</w:t>
            </w:r>
          </w:p>
        </w:tc>
      </w:tr>
      <w:tr w14:paraId="38A3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3884E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Intervention (I)</w:t>
            </w: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A22E56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Exposure to one or more environmental air pollutants (e.g., PM2.5, PM10, O₃, DEP, SO₂, NO₂), administered via whole-body inhalation, intranasal instillation, or other relevant routes.</w:t>
            </w:r>
          </w:p>
        </w:tc>
      </w:tr>
      <w:tr w14:paraId="3601F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0F20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Comparator (C)</w:t>
            </w: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99F09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Control group not exposed to the target pollutants (typically clean air or solvent control).</w:t>
            </w:r>
          </w:p>
        </w:tc>
      </w:tr>
      <w:tr w14:paraId="4D084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1653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Outcomes (O)</w:t>
            </w: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B82A4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Primary outcomes include quantitative measurement of immune and inflammatory markers in nasal mucosal tissue, nasal lavage fluid, or serum. Key indicators include but are not limited to: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Inflammatory cell counts (eosinophils, neutrophils, macrophages, lymphocytes);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Cytokines (IL-1β, IL-4, IL-5, IL-13, IL-17, TNF-α, IFN-γ, IL-25, IL-33);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Immunoglobulins (total IgE, ovalbumin-specific IgE);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Epithelial barrier proteins (e.g., ZO-1);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Inflammasome components (e.g., NLRP3).</w:t>
            </w:r>
          </w:p>
        </w:tc>
      </w:tr>
      <w:tr w14:paraId="0FA78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9F84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Timing (T)</w:t>
            </w: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31BC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Duration of interventions ranged from </w:t>
            </w: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days to </w:t>
            </w: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days.</w:t>
            </w:r>
          </w:p>
        </w:tc>
      </w:tr>
      <w:tr w14:paraId="0159C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78CF19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Study Design (S)</w:t>
            </w:r>
          </w:p>
        </w:tc>
        <w:tc>
          <w:tcPr>
            <w:tcW w:w="719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center"/>
          </w:tcPr>
          <w:p w14:paraId="5DE0A66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Published randomized controlled trials (RCTs) in animal models, employing double-blind or single-blind designs, with either parallel-group or crossover designs.</w:t>
            </w:r>
            <w:bookmarkStart w:id="0" w:name="_GoBack"/>
            <w:bookmarkEnd w:id="0"/>
          </w:p>
        </w:tc>
      </w:tr>
    </w:tbl>
    <w:p w14:paraId="35146A8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7C79B2"/>
    <w:rsid w:val="0BC10559"/>
    <w:rsid w:val="0F9B3944"/>
    <w:rsid w:val="1F98692B"/>
    <w:rsid w:val="2BEF6603"/>
    <w:rsid w:val="2E4D6F85"/>
    <w:rsid w:val="5591513B"/>
    <w:rsid w:val="570D5F0F"/>
    <w:rsid w:val="5C95005C"/>
    <w:rsid w:val="6D041340"/>
    <w:rsid w:val="70D648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Emphasis"/>
    <w:basedOn w:val="3"/>
    <w:qFormat/>
    <w:uiPriority w:val="0"/>
    <w:rPr>
      <w:i/>
    </w:rPr>
  </w:style>
  <w:style w:type="character" w:customStyle="1" w:styleId="6">
    <w:name w:val="font31"/>
    <w:basedOn w:val="3"/>
    <w:qFormat/>
    <w:uiPriority w:val="0"/>
    <w:rPr>
      <w:rFonts w:hint="eastAsia" w:ascii="宋体" w:hAnsi="宋体" w:eastAsia="宋体" w:cs="宋体"/>
      <w:i/>
      <w:iCs/>
      <w:color w:val="000000"/>
      <w:sz w:val="24"/>
      <w:szCs w:val="24"/>
      <w:u w:val="none"/>
    </w:rPr>
  </w:style>
  <w:style w:type="character" w:customStyle="1" w:styleId="7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777</Characters>
  <Lines>0</Lines>
  <Paragraphs>0</Paragraphs>
  <TotalTime>4</TotalTime>
  <ScaleCrop>false</ScaleCrop>
  <LinksUpToDate>false</LinksUpToDate>
  <CharactersWithSpaces>869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2025-09-14T19:34:00Z</dcterms:created>
  <dc:creator>Administrator</dc:creator>
  <cp:lastModifiedBy>WPS_1753964897</cp:lastModifiedBy>
  <dcterms:modified xsi:type="dcterms:W3CDTF">2026-03-04T06:05:31Z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eyJoZGlkIjoiNmUwZGJhOTFkNThjM2I0NmYwYmUwOTZiYzEyNDRjMTMiLCJ1c2VySWQiOiIxNzI1NzA1NzY3In0=</vt:lpwstr>
  </property>
  <property fmtid="{D5CDD505-2E9C-101B-9397-08002B2CF9AE}" pid="4" name="ICV">
    <vt:lpwstr>00B029B1E1EC47789DE587E3ACE5C986_13</vt:lpwstr>
  </property>
</Properties>
</file>