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Figure S2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Comparison of centrality (strength) between Argentina and Spain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</w:rPr>
        <w:drawing>
          <wp:inline distB="0" distT="0" distL="0" distR="0">
            <wp:extent cx="4521398" cy="4758934"/>
            <wp:effectExtent b="0" l="0" r="0" t="0"/>
            <wp:docPr descr="Gráfico, Gráfico de dispersión&#10;&#10;El contenido generado por IA puede ser incorrecto." id="1255117407" name="image1.jpg"/>
            <a:graphic>
              <a:graphicData uri="http://schemas.openxmlformats.org/drawingml/2006/picture">
                <pic:pic>
                  <pic:nvPicPr>
                    <pic:cNvPr descr="Gráfico, Gráfico de dispersión&#10;&#10;El contenido generado por IA puede ser incorrecto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1398" cy="4758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Note: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Anx. = anxiety, Depr. = depression, BS = behavioral symptoms; Avoid. = avoidant coping, Cred. = epistemic credulity, Trust = epistemic trust, Mistrust = epistemic mistrust, Hypo-M. = hypomentalization, SS = social support, Lonelin. = loneliness, Resil. = resilience; API = anxiety due to personal impact, RUM = rumination, AS = affective symptoms; Emo/Neu = emotional coping, Adap. = active coping, PEB = pro-environmental behavior.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C09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8C09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8C09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C09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C09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8C09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8C09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8C094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8C094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C094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8C094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8C094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8C09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8C09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8C09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8C094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8C094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8C094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8C09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8C094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8C094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gOl33pnMEdZEypRn7NuPijZ0Q==">CgMxLjA4AHIhMXBOVmpjaUpsMUV3eDdMM0ZPYTMzdUVxLVdjdFppdzNB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2026-01-28T11:31:00Z</dcterms:created>
  <dc:creator>Eugenia Malleville</dc:creator>
</cp:coreProperties>
</file>