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44BC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Chars="0"/>
        <w:textAlignment w:val="auto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drawing>
          <wp:inline distT="0" distB="0" distL="114300" distR="114300">
            <wp:extent cx="5268595" cy="1844675"/>
            <wp:effectExtent l="0" t="0" r="8255" b="3175"/>
            <wp:docPr id="7" name="图片 1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figure S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>Fig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 xml:space="preserve">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1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 xml:space="preserve"> Difference analysis of the weight of a single grape at different growth stages of the two consecutive years: (A), 2023; (B), 2024. S1, Berries pea size; S2, early veraison; S3, maturity; S4, on-tree-strorage. * represent significant differences (* P &lt; 0.05).</w:t>
      </w:r>
    </w:p>
    <w:p w14:paraId="5FEFFFA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Chars="0"/>
        <w:textAlignment w:val="auto"/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drawing>
          <wp:inline distT="0" distB="0" distL="114300" distR="114300">
            <wp:extent cx="5269865" cy="3056255"/>
            <wp:effectExtent l="0" t="0" r="6985" b="10795"/>
            <wp:docPr id="5" name="图片 5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Fig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S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2.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LEfSe analysis of the bacterial from rhizosphere (AB) and grape skin (CD) from Marselan wine grapes at different growth stages under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normal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conditions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 xml:space="preserve"> 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(AC) and root zone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 xml:space="preserve">waterproof 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treatment (BD).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 xml:space="preserve"> 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S1, Berries pea size;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 xml:space="preserve"> 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S2, early veraison;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 xml:space="preserve"> 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S3, maturity;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eastAsia="zh-CN" w:bidi="ar"/>
        </w:rPr>
        <w:t xml:space="preserve"> 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S4, on-tree-strorage.</w:t>
      </w:r>
    </w:p>
    <w:p w14:paraId="2FCC73A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Chars="0"/>
        <w:textAlignment w:val="auto"/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drawing>
          <wp:inline distT="0" distB="0" distL="114300" distR="114300">
            <wp:extent cx="5264785" cy="2499995"/>
            <wp:effectExtent l="0" t="0" r="12065" b="14605"/>
            <wp:docPr id="9" name="图片 9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Fig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S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3.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Prediction and difference analysis of the functions prediction by PICRUSt at level 3 of the microbiota between the normal conditions and the root zone waterproof treatment.</w:t>
      </w:r>
    </w:p>
    <w:p w14:paraId="27AF94A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Chars="0"/>
        <w:textAlignment w:val="auto"/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drawing>
          <wp:inline distT="0" distB="0" distL="114300" distR="114300">
            <wp:extent cx="5268595" cy="4241800"/>
            <wp:effectExtent l="0" t="0" r="8255" b="6350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Fig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S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4.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Heatmap showing the spearman correlation between the top 40 genera and the metabolic pathway. Significance thresholds are represented as follows: * for p&lt;0.05, ** for p&lt;0.01, and *** for p&lt;0.001.</w:t>
      </w:r>
    </w:p>
    <w:p w14:paraId="47B0257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Chars="0"/>
        <w:textAlignment w:val="auto"/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drawing>
          <wp:inline distT="0" distB="0" distL="114300" distR="114300">
            <wp:extent cx="5259705" cy="1964055"/>
            <wp:effectExtent l="0" t="0" r="17145" b="17145"/>
            <wp:docPr id="8" name="图片 8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Fig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S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5.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Mantel test analysis between the bacterial community at S2 (A) and S3 (B) stages and the metabolites the S2 and S3 metabolites.</w:t>
      </w:r>
    </w:p>
    <w:p w14:paraId="64D4785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Chars="0"/>
        <w:textAlignment w:val="auto"/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drawing>
          <wp:inline distT="0" distB="0" distL="114300" distR="114300">
            <wp:extent cx="5264785" cy="2327910"/>
            <wp:effectExtent l="0" t="0" r="12065" b="15240"/>
            <wp:docPr id="2" name="图片 5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figure 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>Fig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S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6.</w:t>
      </w:r>
      <w:r>
        <w:rPr>
          <w:rFonts w:hint="default" w:ascii="Times New Roman" w:hAnsi="Times New Roman" w:eastAsia="Consolas" w:cs="Times New Roman"/>
          <w:color w:val="000000"/>
          <w:kern w:val="0"/>
          <w:sz w:val="24"/>
          <w:szCs w:val="24"/>
          <w:highlight w:val="none"/>
          <w:lang w:bidi="ar"/>
        </w:rPr>
        <w:t xml:space="preserve"> The relative humidity of the soil under normal conditions and root zone waterproof treatment.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50D7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36C4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136C4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73117C"/>
    <w:rsid w:val="55EB20EF"/>
    <w:rsid w:val="786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png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</Words>
  <Characters>993</Characters>
  <Lines>0</Lines>
  <Paragraphs>0</Paragraphs>
  <TotalTime>7</TotalTime>
  <ScaleCrop>false</ScaleCrop>
  <LinksUpToDate>false</LinksUpToDate>
  <CharactersWithSpaces>1173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2026-01-15T01:22:00Z</dcterms:created>
  <dc:creator>Administrator</dc:creator>
  <cp:lastModifiedBy>荆晓姝</cp:lastModifiedBy>
  <dcterms:modified xsi:type="dcterms:W3CDTF">2026-02-26T06:22:01Z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eyJoZGlkIjoiMjk4YjQ1ODlhZjIzZDY2YWYxZTQ3MThjYjEwZmMxZjQiLCJ1c2VySWQiOiIxNDYzMDQyNjM1In0=</vt:lpwstr>
  </property>
  <property fmtid="{D5CDD505-2E9C-101B-9397-08002B2CF9AE}" pid="4" name="ICV">
    <vt:lpwstr>EE9214A266E2442FA004330CF08575E9_12</vt:lpwstr>
  </property>
</Properties>
</file>