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72469">
      <w:pPr>
        <w:jc w:val="left"/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  <w:t xml:space="preserve">Table </w:t>
      </w:r>
      <w:r>
        <w:rPr>
          <w:rFonts w:hint="eastAsia" w:cs="Times New Roman"/>
          <w:b/>
          <w:color w:val="auto"/>
          <w:sz w:val="24"/>
          <w:szCs w:val="24"/>
          <w:highlight w:val="none"/>
          <w:lang w:val="en-US" w:eastAsia="zh-CN"/>
        </w:rPr>
        <w:t>S1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none"/>
        </w:rPr>
        <w:t xml:space="preserve"> Univariate Predictors of New-onset HF in hospitalization in the derivation cohort.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630"/>
        <w:gridCol w:w="1630"/>
        <w:gridCol w:w="1843"/>
        <w:gridCol w:w="897"/>
        <w:gridCol w:w="898"/>
        <w:gridCol w:w="898"/>
        <w:gridCol w:w="1017"/>
        <w:gridCol w:w="1017"/>
      </w:tblGrid>
      <w:tr w14:paraId="4374B9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</w:trPr>
        <w:tc>
          <w:tcPr>
            <w:tcW w:w="354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08E0D9D7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Variable</w:t>
            </w:r>
          </w:p>
        </w:tc>
        <w:tc>
          <w:tcPr>
            <w:tcW w:w="163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037052A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</w:rPr>
              <w:t>New-onset HF in hospitalization</w:t>
            </w:r>
          </w:p>
          <w:p w14:paraId="0CD254D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(n=315)</w:t>
            </w:r>
          </w:p>
        </w:tc>
        <w:tc>
          <w:tcPr>
            <w:tcW w:w="163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EBD9847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</w:rPr>
              <w:t>new-onset HF in hospitalization</w:t>
            </w:r>
          </w:p>
          <w:p w14:paraId="604E7A7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(n=2625)</w:t>
            </w:r>
          </w:p>
        </w:tc>
        <w:tc>
          <w:tcPr>
            <w:tcW w:w="1843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CA2AAB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OR(95%CI)</w:t>
            </w:r>
          </w:p>
        </w:tc>
        <w:tc>
          <w:tcPr>
            <w:tcW w:w="89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B9462E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  <w:highlight w:val="none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-value</w:t>
            </w:r>
          </w:p>
        </w:tc>
        <w:tc>
          <w:tcPr>
            <w:tcW w:w="898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0722FF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Beta</w:t>
            </w:r>
          </w:p>
        </w:tc>
        <w:tc>
          <w:tcPr>
            <w:tcW w:w="898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F10937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AUC</w:t>
            </w:r>
          </w:p>
        </w:tc>
        <w:tc>
          <w:tcPr>
            <w:tcW w:w="101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4C694C1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Sensitivity</w:t>
            </w:r>
          </w:p>
        </w:tc>
        <w:tc>
          <w:tcPr>
            <w:tcW w:w="101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5DA71F4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Specificity</w:t>
            </w:r>
          </w:p>
        </w:tc>
      </w:tr>
      <w:tr w14:paraId="6A4BA0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op w:val="single" w:color="000000" w:sz="4" w:space="0"/>
              <w:tl2br w:val="nil"/>
              <w:tr2bl w:val="nil"/>
            </w:tcBorders>
          </w:tcPr>
          <w:p w14:paraId="11262DB9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Clinical characteristic</w:t>
            </w:r>
          </w:p>
        </w:tc>
        <w:tc>
          <w:tcPr>
            <w:tcW w:w="163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76058B1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1C8631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2CFCB06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69B14C7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41846FD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4FEC9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6852B20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5BAC3C5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74011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56C88A">
            <w:pPr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Age &gt;65y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99E32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173 (0.55)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BD179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762 (0.29)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3159E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2.979 (2.349-3.777)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9A8C0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28BB4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1.091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C53C9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A42F3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44CFF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0.71</w:t>
            </w:r>
          </w:p>
        </w:tc>
      </w:tr>
      <w:tr w14:paraId="653FFA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2955EA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Female sex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EF082D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78 (0.25)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6C7412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455 (0.17)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C8BAF4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1.57 (1.192-2.067)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4F5FAB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5EBAA51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0.451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EC50B0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6A84FD5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1D60227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0.827</w:t>
            </w:r>
          </w:p>
        </w:tc>
      </w:tr>
      <w:tr w14:paraId="373B9F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26C2A3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Smoking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5B246D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148 (0.47)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9ED22F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1447 (0.55)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FDDEBA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0.721 (0.571-0.912)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2F6ABD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911589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-0.326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02813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1EF9049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6394F2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0.551</w:t>
            </w:r>
          </w:p>
        </w:tc>
      </w:tr>
      <w:tr w14:paraId="7831EB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4D593B7A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Hypertension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AEB860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178 (0.57)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0245C4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1268 (0.48)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B11B69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1.39 (1.099-1.76)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044BC2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0D5D3F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FFECA4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05DEBF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0.565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656E3B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0.517</w:t>
            </w:r>
          </w:p>
        </w:tc>
      </w:tr>
      <w:tr w14:paraId="07B205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5FA791F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Diabetes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7FACE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64 (0.2)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658BFB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415 (0.16)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C8DF6B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1.358 (1.012-1.822)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0934B8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0.041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0E7B1F9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0BC1DE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692726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D39E38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0.842</w:t>
            </w:r>
          </w:p>
        </w:tc>
      </w:tr>
      <w:tr w14:paraId="0D99B8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5BEFAE7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Hyperlipidaemia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22058B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37 (0.12)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4EA023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235 (0.09)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A62AA9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1.354 (0.937-1.956)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1296E3C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0.107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8BD6B1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0.303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2635AD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E11321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4C256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0.91</w:t>
            </w:r>
          </w:p>
        </w:tc>
      </w:tr>
      <w:tr w14:paraId="7216C4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0CBAE91B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Previous atrial fibrillation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FBF0BA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 (0.04)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B7AD13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30 (0.01)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DDADF6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3.724 (1.921-7.216)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08282D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381090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1.315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71E026C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0A91357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074EB11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0.989</w:t>
            </w:r>
          </w:p>
        </w:tc>
      </w:tr>
      <w:tr w14:paraId="04AA94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4859E03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Previous heart failure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481D67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 (0.01)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5FA6F2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 (0)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1B0FE2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3.348 (0.647-17.331)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BC28E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259161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1.208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ABFD8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015EB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43CC99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0.998</w:t>
            </w:r>
          </w:p>
        </w:tc>
      </w:tr>
      <w:tr w14:paraId="199096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8CAB1D8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Previous myocardial infarction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C9D018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 (0.05)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720D74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91 (0.03)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6D4E96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1.589 (0.934-2.703)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41AD1CA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0.088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6E7393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0.463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0876BA0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B613EA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8667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0.965</w:t>
            </w:r>
          </w:p>
        </w:tc>
      </w:tr>
      <w:tr w14:paraId="06845A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396FCBB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Previous PCI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BEF4B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16 (0.05)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150FC7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101 (0.04)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2D9C8B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1.337 (0.779-2.297)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3685E7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0.292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08C4ED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0.291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8C48E9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78B70A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0CBB7D7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0.962</w:t>
            </w:r>
          </w:p>
        </w:tc>
      </w:tr>
      <w:tr w14:paraId="44A432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76FC149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Previous stroke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93F96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34 (0.11)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1163DB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164 (0.06)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7F421CA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1.816 (1.23-2.68)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C68E1F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088C84E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0.596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1405E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90F176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F37AF7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0.938</w:t>
            </w:r>
          </w:p>
        </w:tc>
      </w:tr>
      <w:tr w14:paraId="6AE3F1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0DE832A0">
            <w:pPr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Presentation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19C26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1ECE1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B42AB3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489F84B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0D05C7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7EDC9E4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263D98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F7D63F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3F53C7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2AC047D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Anterior myocardial infarction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B7C37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157 (0.5)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6A84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1260 (0.48)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AB83C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1.076 (0.852-1.36)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DD74A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0.537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44486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0.074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89B2F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7577D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0.498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0E63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</w:t>
            </w:r>
          </w:p>
        </w:tc>
      </w:tr>
      <w:tr w14:paraId="701602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5752312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Symptom-onset-to-balloon-time &gt;5h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49592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155 (0.49)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C02819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1020 (0.39)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B5D960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1.524 (1.206-1.927)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515B9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0E8E8D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0.422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E6AA4A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0.552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556645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2979E4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0.611</w:t>
            </w:r>
          </w:p>
        </w:tc>
      </w:tr>
      <w:tr w14:paraId="6E4D19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19EBB9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Ventricular arrhythmia before pPCI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DB16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 (0.03)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D772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62 (0.02)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20ED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1.355 (0.688-2.671)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4767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0.38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D4097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0.304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8A302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22C21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86FA2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0.976</w:t>
            </w:r>
          </w:p>
        </w:tc>
      </w:tr>
      <w:tr w14:paraId="693731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7AB369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Bradyarrhythmia before pPCI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0A31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 (0.03)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81D8C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67 (0.03)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6C0E9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1.252 (0.637-2.458)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F81D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0.514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1D02E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0.225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EAEC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C9037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D18B9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0.974</w:t>
            </w:r>
          </w:p>
        </w:tc>
      </w:tr>
      <w:tr w14:paraId="7557F3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09C51A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Syncope before pPCI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CF69D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 (0)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F37E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51 (0.02)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4217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0.161 (0.022-1.167)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F3272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0.071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841AA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-1.828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707D9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4B8A0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77CF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0.981</w:t>
            </w:r>
          </w:p>
        </w:tc>
      </w:tr>
      <w:tr w14:paraId="5BEBF7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4AB687EC">
            <w:pPr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18"/>
                <w:szCs w:val="18"/>
                <w:highlight w:val="none"/>
              </w:rPr>
              <w:t>H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highlight w:val="none"/>
              </w:rPr>
              <w:t>aemodynamic on admission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496669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1BECFF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99427A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4E9D90F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5BAF62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6CB52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FE1BE1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6BAC546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B8AE0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8891F9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H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eart rate &gt;85bmp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D6339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74 (0.23)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BE4E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681 (0.26)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DF1DA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0.877 (0.666-1.154)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7484E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0.347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5FE4F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-0.132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3D811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F568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0.235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B03D0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0.741</w:t>
            </w:r>
          </w:p>
        </w:tc>
      </w:tr>
      <w:tr w14:paraId="4E180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327CACC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S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ystolic blood pressure &lt;128mmHg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0E28E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195 (0.62)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3B109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1379 (0.53)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DFF30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1.467 (1.154-1.865)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F39D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0.002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33EE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0.383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D8C1C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0CDA7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F4B6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0.474</w:t>
            </w:r>
          </w:p>
        </w:tc>
      </w:tr>
      <w:tr w14:paraId="7619BE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1130456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Diastolic blood pressure &lt;80mmHg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063AD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193 (0.61)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33FF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1316 (0.5)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47D4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1.572 (1.238-1.997)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DA3B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4EB9E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0.453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281C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FC471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EE081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0.498</w:t>
            </w:r>
          </w:p>
        </w:tc>
      </w:tr>
      <w:tr w14:paraId="172DA4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55D10851">
            <w:pPr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Procedural characteristics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C67B7F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B27261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E0060C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7A730DA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EDDB02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00445ED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FBF62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6999AC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4AC6E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5DEE7F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Stent implantation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2345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280 (0.89)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7A05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2423 (0.92)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73532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0.667 (0.456-0.975)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1C8F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0.036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8ED5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-0.405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9B57E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FB0B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0.889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458A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0.077</w:t>
            </w:r>
          </w:p>
        </w:tc>
      </w:tr>
      <w:tr w14:paraId="0E6C03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AFB5E9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TIMI flow grade 0 before pPCI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0D3E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245 (0.78)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F141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1837 (0.7)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233F9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1.501 (1.136-1.983)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8203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0.004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2A47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1D9C7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0D6C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5E6C6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</w:t>
            </w:r>
          </w:p>
        </w:tc>
      </w:tr>
      <w:tr w14:paraId="49312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AC9F59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TIMI flow grade &lt;3 after pPCI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61FC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 (0.03)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CB646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34 (0.01)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4901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2.499 (1.222-5.108)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21660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0.012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F47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0.916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F1E5D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68365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53A5A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0.987</w:t>
            </w:r>
          </w:p>
        </w:tc>
      </w:tr>
      <w:tr w14:paraId="317129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DC9307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riple vessel 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lesion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FB126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103 (0.33)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18D11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547 (0.21)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C8A7F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1.846 (1.432-2.378)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128B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E8E6A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0.613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42974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0.559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310E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F550A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0.792</w:t>
            </w:r>
          </w:p>
        </w:tc>
      </w:tr>
      <w:tr w14:paraId="4F3788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40FE9DC">
            <w:pPr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Complete revascularization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814DF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152 (0.48)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E1007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1531 (0.58)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EB07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0.666 (0.527-0.842)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8B9BF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F5D1C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-0.406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B7B93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7D15F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9A07B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0.583</w:t>
            </w:r>
          </w:p>
        </w:tc>
      </w:tr>
      <w:tr w14:paraId="35A602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6B44B655">
            <w:pPr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Blood tests on admission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9720B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FC70D0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DD23E4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FB2B84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B1F391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979480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F231F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2613F3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21904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33C58036">
            <w:pPr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White blood cell count count &gt;14×10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136807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39 (0.13)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A2D89F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386 (0.15)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743B83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0.811 (0.57-1.154)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4618BAA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0.245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4FF610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-0.209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0FC544B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A85302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0.125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0C79F2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0.85</w:t>
            </w:r>
          </w:p>
        </w:tc>
      </w:tr>
      <w:tr w14:paraId="6BF36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3558DC2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Neutrophil count &gt;7.2×10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4B182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217 (0.7)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8F00C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1631 (0.63)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273E3A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1.328 (1.029-1.713)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07CDF94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0.029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31FDB6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0.283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5FAA602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2DFDB6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0.698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1D59E8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0.365</w:t>
            </w:r>
          </w:p>
        </w:tc>
      </w:tr>
      <w:tr w14:paraId="5B8582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56DC9C17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Lymphocyte count &lt;1.1×10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AD646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162 (0.52)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1FA3DE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1008 (0.39)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23B65C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1.685 (1.33-2.134)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5A11742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961A2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0.522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DEFCB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E74F43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024EFCE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0.608</w:t>
            </w:r>
          </w:p>
        </w:tc>
      </w:tr>
      <w:tr w14:paraId="23E1BE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4EF0B428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Platelet count &gt;180×10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F6B84C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192 (0.62)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17885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1756 (0.68)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3764F79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0.748 (0.586-0.954)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2968DAB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0.019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E0DD0F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-0.29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5A1791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04BBA1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E21CD1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0.317</w:t>
            </w:r>
          </w:p>
        </w:tc>
      </w:tr>
      <w:tr w14:paraId="2BAB9F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6400065B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Haemoglobin count &lt;110g/L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0EFD68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27 (0.09)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0BD2BB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126 (0.05)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7D4270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1.837 (1.191-2.833)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1569FD0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A612AB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0.608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C62E03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74B6E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0.087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6812B19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0.951</w:t>
            </w:r>
          </w:p>
        </w:tc>
      </w:tr>
      <w:tr w14:paraId="22923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03C061A0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ALT &gt;30U/L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90B431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211 (0.68)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8B564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1560 (0.6)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F943DA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1.409 (1.095-1.813)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54A2B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0.008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7D8494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0.343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BED178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84783F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5C0FDF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0.396</w:t>
            </w:r>
          </w:p>
        </w:tc>
      </w:tr>
      <w:tr w14:paraId="0F970F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38A3A257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AST  &gt;65U/L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71023D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231 (0.75)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57FCF3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1597 (0.62)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0E978B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1.824 (1.396-2.383)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A2019D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352C3AB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534C09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0.565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6F7A0D5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0.745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A3D7D0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0.384</w:t>
            </w:r>
          </w:p>
        </w:tc>
      </w:tr>
      <w:tr w14:paraId="33ECC8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FDA5BA8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"http://www.baidu.com/link?url=39pKPEN9xLzt1tBTIgk2J3dbNDoi51G94hK4ev_M64XpE4NdOPpIf6pLg-Aba6vz84jnQ4dSCxd2tJAtEsbH7hZ3lu9MVtyasjjF7CWacBu" \t "_blank"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Uric acid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&gt;365μmol/L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0F8F93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128 (0.5)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8AEC0D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969 (0.45)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3B1D37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1.241 (0.957-1.609)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07EDD06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0.103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9CB4CF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0.216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7E7AB8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632548D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0936099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0.552</w:t>
            </w:r>
          </w:p>
        </w:tc>
      </w:tr>
      <w:tr w14:paraId="4BCA03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1D23CF38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Glucose &gt;7.8mmol/L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FE74BD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120 (0.39)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4DB1EA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898 (0.35)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B2A258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1.194 (0.936-1.523)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263E9C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0.154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42EE1E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0.177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8A4E11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85E5B6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0.393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715C70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0.648</w:t>
            </w:r>
          </w:p>
        </w:tc>
      </w:tr>
      <w:tr w14:paraId="46686D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F766679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"http://www.baidu.com/link?url=Ves1ZkVtPPlWy9-om9HgO5kT-RQs10sdH4mZXJXe1qEdDpTuXCL__wMCPFuC2DMYHZheb5zqJR8MwS_-dmisgbXKvyZRjRuTMhkB-FwzOAe" \t "_blank"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Cholesterol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&gt;4.5mmol/L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C8D6F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135 (0.46)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3C80C4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1335 (0.54)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6FAE406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0.731 (0.573-0.931)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A769C6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0.011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03A827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-0.314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5D327B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3DD24B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107C41A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0.536</w:t>
            </w:r>
          </w:p>
        </w:tc>
      </w:tr>
      <w:tr w14:paraId="4CD2D6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791CCBD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Triglyceride &gt;1.6mmol/L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F82567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79 (0.27)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A05B3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938 (0.38)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244575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0.603 (0.46-0.79)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8BA210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488CC8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-0.506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7FAAA03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0.445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1C3714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75428B4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0.623</w:t>
            </w:r>
          </w:p>
        </w:tc>
      </w:tr>
      <w:tr w14:paraId="6925A9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2703EBA5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HDL-C &gt;0.95mmol/L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E558BA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211 (0.72)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0F5CFAD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1707 (0.69)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26862AC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1.135 (0.868-1.483)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122B4F9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0.355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11006E9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0.126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E19148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44594E4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117DE67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0.309</w:t>
            </w:r>
          </w:p>
        </w:tc>
      </w:tr>
      <w:tr w14:paraId="45DA19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56DEC06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LDL-C &gt;2.5mmol/L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5DF302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172 (0.59)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128FF9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1608 (0.65)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058A0F1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0.775 (0.606-0.992)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2577CF3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0.043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45B81CF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-0.255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BA4CA3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4BFD93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0.587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BDF96C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0.353</w:t>
            </w:r>
          </w:p>
        </w:tc>
      </w:tr>
      <w:tr w14:paraId="17E409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65E92565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Serum creatinine &gt;85μmol/L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E578C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91 (0.29)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FDB39E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584 (0.22)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08DD670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1.414 (1.09-1.836)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379F8F8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0.009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4BDB66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0.347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216D3FA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3DF448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0.291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02A4938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0.775</w:t>
            </w:r>
          </w:p>
        </w:tc>
      </w:tr>
      <w:tr w14:paraId="2ADAF9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544" w:type="dxa"/>
            <w:tcBorders>
              <w:tl2br w:val="nil"/>
              <w:tr2bl w:val="nil"/>
            </w:tcBorders>
          </w:tcPr>
          <w:p w14:paraId="39DCE175">
            <w:pP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NLR &gt;6.3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AF107B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200 (0.64)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41ED48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1342 (0.52)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7F6F70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1.647 (1.29-2.104)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741DF3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&lt;0.0001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74E9F23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0.499</w:t>
            </w:r>
          </w:p>
        </w:tc>
        <w:tc>
          <w:tcPr>
            <w:tcW w:w="898" w:type="dxa"/>
            <w:tcBorders>
              <w:tl2br w:val="nil"/>
              <w:tr2bl w:val="nil"/>
            </w:tcBorders>
            <w:vAlign w:val="center"/>
          </w:tcPr>
          <w:p w14:paraId="69CB0AB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2E8B33C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0.643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vAlign w:val="center"/>
          </w:tcPr>
          <w:p w14:paraId="5399A8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0.478</w:t>
            </w:r>
          </w:p>
        </w:tc>
      </w:tr>
    </w:tbl>
    <w:p w14:paraId="7699FC41">
      <w:pPr>
        <w:rPr>
          <w:rFonts w:ascii="Times New Roman" w:hAnsi="Times New Roman" w:cs="Times New Roman"/>
          <w:color w:val="auto"/>
          <w:sz w:val="24"/>
          <w:szCs w:val="24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color w:val="auto"/>
          <w:sz w:val="18"/>
          <w:szCs w:val="18"/>
          <w:highlight w:val="none"/>
        </w:rPr>
        <w:t>Continuous variables are dichotomized according to receiver-operating characteristic curves and Youden’s index to identify the optimal and clinically relevant cut-off points for discrimination. Categorical variables are expressed as number (percentage). AUC indicates area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  <w:t xml:space="preserve"> </w:t>
      </w:r>
      <w:r>
        <w:rPr>
          <w:rFonts w:ascii="Times New Roman" w:hAnsi="Times New Roman" w:cs="Times New Roman"/>
          <w:color w:val="auto"/>
          <w:sz w:val="18"/>
          <w:szCs w:val="18"/>
          <w:highlight w:val="none"/>
        </w:rPr>
        <w:t>under the curve. PCI, percutaneous coronary intervention; ALT, alanine transaminase; AST, aspartate aminotransferase; HDL-C, High-density lipoprotein cholesterol; LDL-C, Low-density lipoprotein cholesterol; NLR, neutrophil-to-lymphocyte ratio; TIMI, thrombolysis in myocardial infarction.</w:t>
      </w:r>
    </w:p>
    <w:p w14:paraId="5AA6704D">
      <w:pPr>
        <w:spacing w:line="480" w:lineRule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079240" cy="3497580"/>
            <wp:effectExtent l="0" t="0" r="6985" b="7620"/>
            <wp:docPr id="1" name="图片 1" descr="Figure1-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1-flowchar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6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cs="Times New Roman"/>
          <w:b/>
          <w:sz w:val="24"/>
          <w:szCs w:val="24"/>
          <w:lang w:val="en-US" w:eastAsia="zh-CN"/>
        </w:rPr>
        <w:t>S1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 w:val="0"/>
          <w:bCs/>
          <w:sz w:val="24"/>
          <w:szCs w:val="24"/>
        </w:rPr>
        <w:t xml:space="preserve">Flowcharts of the derivation and validation cohorts. </w:t>
      </w:r>
    </w:p>
    <w:p w14:paraId="18302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The derivation cohort (A) comprised patients included in five large centers at central China whereas the validation cohort (B) was from two large centers at north and east in China. </w:t>
      </w:r>
    </w:p>
    <w:p w14:paraId="5D5CD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pPCI, primary percutaneous coronary intervention; STEMI, ST-segment elevation myocardial infarction; HF, heart failure.</w:t>
      </w:r>
    </w:p>
    <w:p w14:paraId="26D1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sz w:val="24"/>
          <w:szCs w:val="24"/>
        </w:rPr>
      </w:pPr>
    </w:p>
    <w:p w14:paraId="1D29A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sz w:val="24"/>
          <w:szCs w:val="24"/>
        </w:rPr>
      </w:pPr>
    </w:p>
    <w:p w14:paraId="0A4E1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sz w:val="24"/>
          <w:szCs w:val="24"/>
        </w:rPr>
      </w:pPr>
    </w:p>
    <w:p w14:paraId="46C35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cs="Times New Roman"/>
          <w:sz w:val="24"/>
          <w:szCs w:val="24"/>
        </w:rPr>
      </w:pPr>
    </w:p>
    <w:p w14:paraId="6BB34310">
      <w:pPr>
        <w:rPr>
          <w:rFonts w:ascii="Times New Roman" w:hAnsi="Times New Roman" w:cs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637155"/>
            <wp:effectExtent l="0" t="0" r="2540" b="1270"/>
            <wp:docPr id="4" name="图片 4" descr="D:\02_研究工作\00_DataAnalysis\2022_WH_MACE\data202206\00-MACE_Manuscript\FiguresTables\FigureS1_MACE_model_au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02_研究工作\00_DataAnalysis\2022_WH_MACE\data202206\00-MACE_Manuscript\FiguresTables\FigureS1_MACE_model_auc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66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cs="Times New Roman"/>
          <w:b/>
          <w:sz w:val="24"/>
          <w:szCs w:val="24"/>
          <w:lang w:val="en-US" w:eastAsia="zh-CN"/>
        </w:rPr>
        <w:t>S2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Receiver operating characteristic (ROC) curves for the STEP-HF risk score in the derivation and validation cohorts.</w:t>
      </w:r>
    </w:p>
    <w:p w14:paraId="7CFAC398">
      <w:pPr>
        <w:rPr>
          <w:rFonts w:ascii="Times New Roman" w:hAnsi="Times New Roman" w:cs="Times New Roman"/>
          <w:color w:val="auto"/>
          <w:sz w:val="18"/>
          <w:szCs w:val="18"/>
          <w:highlight w:val="none"/>
        </w:rPr>
      </w:pPr>
    </w:p>
    <w:p w14:paraId="5097D1B1">
      <w:pPr>
        <w:rPr>
          <w:rFonts w:ascii="Times New Roman" w:hAnsi="Times New Roman" w:cs="Times New Roman"/>
          <w:color w:val="auto"/>
          <w:sz w:val="18"/>
          <w:szCs w:val="18"/>
          <w:highlight w:val="none"/>
        </w:rPr>
      </w:pPr>
    </w:p>
    <w:p w14:paraId="33B97930">
      <w:pPr>
        <w:rPr>
          <w:rFonts w:ascii="Times New Roman" w:hAnsi="Times New Roman" w:cs="Times New Roman"/>
          <w:color w:val="auto"/>
          <w:sz w:val="18"/>
          <w:szCs w:val="18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689350" cy="3689350"/>
            <wp:effectExtent l="0" t="0" r="6350" b="6350"/>
            <wp:docPr id="5" name="图片 5" descr="D:\02_研究工作\00_DataAnalysis\2022_WH_MACE\data202206\00-MACE_Manuscript\FiguresTables\FigureS2_plot_decision_curv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02_研究工作\00_DataAnalysis\2022_WH_MACE\data202206\00-MACE_Manuscript\FiguresTables\FigureS2_plot_decision_curve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F7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cs="Times New Roman"/>
          <w:b/>
          <w:sz w:val="24"/>
          <w:szCs w:val="24"/>
          <w:lang w:val="en-US" w:eastAsia="zh-CN"/>
        </w:rPr>
        <w:t>S3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Decision curve analysis.</w:t>
      </w:r>
      <w:r>
        <w:rPr>
          <w:rFonts w:ascii="Times New Roman" w:hAnsi="Times New Roman" w:cs="Times New Roman"/>
          <w:sz w:val="24"/>
          <w:szCs w:val="24"/>
        </w:rPr>
        <w:t xml:space="preserve"> Net benefit of using a model to predict </w:t>
      </w:r>
      <w:r>
        <w:rPr>
          <w:rFonts w:hint="eastAsia"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ew-onset HF in hospitalization development compared with strategies of “assuming all” or “assuming none” patients would be at high-risk for different decision thresholds is shown. The STEP-HF risk score (red) demonstrated improved benefit compared with a model based only on age larger than 65 years (blue) and a model based only on the previous atrial fibrillation (orange)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2E7B6EB0"/>
    <w:p w14:paraId="1AA47825">
      <w:pPr>
        <w:spacing w:line="480" w:lineRule="auto"/>
      </w:pPr>
    </w:p>
    <w:p w14:paraId="174425AD">
      <w:pPr>
        <w:spacing w:beforeLines="0" w:afterLines="0"/>
        <w:jc w:val="left"/>
        <w:rPr>
          <w:rFonts w:cs="Times New Roman"/>
          <w:sz w:val="24"/>
          <w:szCs w:val="24"/>
        </w:rPr>
      </w:pPr>
    </w:p>
    <w:p w14:paraId="2E14A3F8"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drawing>
          <wp:inline distT="0" distB="0" distL="114300" distR="114300">
            <wp:extent cx="4942840" cy="2603500"/>
            <wp:effectExtent l="4445" t="4445" r="5715" b="1143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74F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Observed 30-day and 1-year all-cause mortality rates stratified by STEP-HF risk categories.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 30-day mortality, overall 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0.004; High vs. Intermediate (P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0.041), High vs. Low (P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0.001), Intermediate vs. Low (P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0.105). For 1-year mortality, overall 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0.001; High vs. Intermediate and High vs. Low (both 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0.001), Intermediate vs. Low (P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0.054).</w:t>
      </w:r>
    </w:p>
    <w:p w14:paraId="3CD410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1551B"/>
    <w:rsid w:val="22B63192"/>
    <w:rsid w:val="26D2776C"/>
    <w:rsid w:val="2E01435C"/>
    <w:rsid w:val="3850100B"/>
    <w:rsid w:val="4F50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hart" Target="charts/chart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xujia\Desktop\Model_compared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'[Model_compared(2).xlsx]Sheet 1'!$B$70</c:f>
              <c:strCache>
                <c:ptCount val="1"/>
                <c:pt idx="0">
                  <c:v>30-day Mortality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'[Model_compared(2).xlsx]Sheet 1'!$C$69:$E$69</c:f>
              <c:strCache>
                <c:ptCount val="3"/>
                <c:pt idx="0">
                  <c:v>Low（0-3）</c:v>
                </c:pt>
                <c:pt idx="1">
                  <c:v>Intermediate（4-7）</c:v>
                </c:pt>
                <c:pt idx="2">
                  <c:v>High（≥8）</c:v>
                </c:pt>
              </c:strCache>
            </c:strRef>
          </c:cat>
          <c:val>
            <c:numRef>
              <c:f>'[Model_compared(2).xlsx]Sheet 1'!$C$70:$E$70</c:f>
              <c:numCache>
                <c:formatCode>General</c:formatCode>
                <c:ptCount val="3"/>
                <c:pt idx="0">
                  <c:v>0.13</c:v>
                </c:pt>
                <c:pt idx="1">
                  <c:v>0.66</c:v>
                </c:pt>
                <c:pt idx="2">
                  <c:v>1.71</c:v>
                </c:pt>
              </c:numCache>
            </c:numRef>
          </c:val>
        </c:ser>
        <c:ser>
          <c:idx val="1"/>
          <c:order val="1"/>
          <c:tx>
            <c:strRef>
              <c:f>'[Model_compared(2).xlsx]Sheet 1'!$B$71</c:f>
              <c:strCache>
                <c:ptCount val="1"/>
                <c:pt idx="0">
                  <c:v>1-year Mortality</c:v>
                </c:pt>
              </c:strCache>
            </c:strRef>
          </c:tx>
          <c:spPr>
            <a:solidFill>
              <a:srgbClr val="9BBB5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'[Model_compared(2).xlsx]Sheet 1'!$C$69:$E$69</c:f>
              <c:strCache>
                <c:ptCount val="3"/>
                <c:pt idx="0">
                  <c:v>Low（0-3）</c:v>
                </c:pt>
                <c:pt idx="1">
                  <c:v>Intermediate（4-7）</c:v>
                </c:pt>
                <c:pt idx="2">
                  <c:v>High（≥8）</c:v>
                </c:pt>
              </c:strCache>
            </c:strRef>
          </c:cat>
          <c:val>
            <c:numRef>
              <c:f>'[Model_compared(2).xlsx]Sheet 1'!$C$71:$E$71</c:f>
              <c:numCache>
                <c:formatCode>General</c:formatCode>
                <c:ptCount val="3"/>
                <c:pt idx="0">
                  <c:v>0.51</c:v>
                </c:pt>
                <c:pt idx="1">
                  <c:v>1.46</c:v>
                </c:pt>
                <c:pt idx="2">
                  <c:v>4.27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0"/>
        <c:axId val="312276556"/>
        <c:axId val="708384589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'[Model_compared(2).xlsx]Sheet 1'!$B$72</c15:sqref>
                        </c15:formulaRef>
                      </c:ext>
                    </c:extLst>
                    <c:strCache>
                      <c:ptCount val="1"/>
                      <c:pt idx="0">
                        <c:v>2-year Mortality</c:v>
                      </c:pt>
                    </c:strCache>
                  </c:strRef>
                </c:tx>
                <c:spPr>
                  <a:solidFill>
                    <a:srgbClr val="4BACC6"/>
                  </a:solidFill>
                  <a:ln>
                    <a:noFill/>
                  </a:ln>
                  <a:effectLst/>
                </c:spPr>
                <c:invertIfNegative val="0"/>
                <c:dLbls>
                  <c:numFmt formatCode="General" sourceLinked="1"/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900" b="1" i="0" u="none" strike="noStrike" kern="1200" baseline="0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latin typeface="Times New Roman" panose="02020603050405020304" charset="0"/>
                          <a:ea typeface="Times New Roman" panose="02020603050405020304" charset="0"/>
                          <a:cs typeface="Times New Roman" panose="02020603050405020304" charset="0"/>
                          <a:sym typeface="Times New Roman" panose="02020603050405020304" charset="0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layout/>
                      <c15:showLeaderLines val="0"/>
                      <c15:leaderLines>
                        <c:spPr>
                          <a:ln w="9525" cap="flat" cmpd="sng" algn="ctr">
                            <a:solidFill>
                              <a:sysClr val="windowText" lastClr="000000">
                                <a:lumMod val="35000"/>
                                <a:lumOff val="65000"/>
                              </a:sys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'[Model_compared(2).xlsx]Sheet 1'!$C$69:$E$69</c15:sqref>
                        </c15:formulaRef>
                      </c:ext>
                    </c:extLst>
                    <c:strCache>
                      <c:ptCount val="3"/>
                      <c:pt idx="0">
                        <c:v>Low（0-3）</c:v>
                      </c:pt>
                      <c:pt idx="1">
                        <c:v>Intermediate（4-7）</c:v>
                      </c:pt>
                      <c:pt idx="2">
                        <c:v>High（≥8）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{1.03,2.33,6.32}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1.03</c:v>
                      </c:pt>
                      <c:pt idx="1">
                        <c:v>2.33</c:v>
                      </c:pt>
                      <c:pt idx="2">
                        <c:v>6.32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3122765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08384589"/>
        <c:crosses val="autoZero"/>
        <c:auto val="1"/>
        <c:lblAlgn val="ctr"/>
        <c:lblOffset val="100"/>
        <c:noMultiLvlLbl val="0"/>
      </c:catAx>
      <c:valAx>
        <c:axId val="708384589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b="1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All-cause Mortality rates (%)</a:t>
                </a:r>
                <a:endParaRPr lang="en-US" altLang="zh-CN" b="1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272528602648155"/>
              <c:y val="0.036878048780487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mpd="sng">
            <a:solidFill>
              <a:sysClr val="windowText" lastClr="000000"/>
            </a:solidFill>
            <a:prstDash val="solid"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122765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273680555555556"/>
          <c:y val="0.040972222222222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1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504b92e-0d46-4fbc-bb69-0b72bee25ad4}"/>
      </c:ext>
    </c:extLst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 b="1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65000"/>
          <a:lumOff val="35000"/>
        </a:sysClr>
      </a:solidFill>
      <a:ln w="9525">
        <a:solidFill>
          <a:sysClr val="windowText" lastClr="000000">
            <a:lumMod val="65000"/>
            <a:lumOff val="35000"/>
          </a:sysClr>
        </a:solidFill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>
        <a:solidFill>
          <a:sysClr val="windowText" lastClr="000000">
            <a:lumMod val="15000"/>
            <a:lumOff val="85000"/>
          </a:sysClr>
        </a:solidFill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836</Words>
  <Characters>4993</Characters>
  <Lines>0</Lines>
  <Paragraphs>0</Paragraphs>
  <TotalTime>0</TotalTime>
  <ScaleCrop>false</ScaleCrop>
  <LinksUpToDate>false</LinksUpToDate>
  <CharactersWithSpaces>5461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2026-04-02T12:09:00Z</dcterms:created>
  <dc:creator>33751</dc:creator>
  <cp:lastModifiedBy>拾荒人</cp:lastModifiedBy>
  <dcterms:modified xsi:type="dcterms:W3CDTF">2026-04-04T09:02:55Z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eyJoZGlkIjoiMDJkZjExMjExMmZlMTMyM2UyNTI5YjY3YjJmODRhMDIiLCJ1c2VySWQiOiI3MDMxMjgxMDIifQ==</vt:lpwstr>
  </property>
  <property fmtid="{D5CDD505-2E9C-101B-9397-08002B2CF9AE}" pid="4" name="ICV">
    <vt:lpwstr>04680A4F60F74507B24DDDF9702174E5_12</vt:lpwstr>
  </property>
</Properties>
</file>