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7B3E4" w14:textId="77777777" w:rsidR="00927887" w:rsidRPr="005F08E3" w:rsidRDefault="00927887" w:rsidP="00927887">
      <w:pPr>
        <w:spacing w:line="480" w:lineRule="auto"/>
        <w:jc w:val="both"/>
        <w:rPr>
          <w:rFonts w:ascii="Times New Roman" w:hAnsi="Times New Roman" w:cs="Times New Roman"/>
          <w:b/>
          <w:sz w:val="24"/>
          <w:szCs w:val="24"/>
        </w:rPr>
      </w:pPr>
      <w:r w:rsidRPr="005F08E3">
        <w:rPr>
          <w:rFonts w:ascii="Times New Roman" w:hAnsi="Times New Roman" w:cs="Times New Roman"/>
          <w:b/>
          <w:sz w:val="24"/>
          <w:szCs w:val="24"/>
        </w:rPr>
        <w:t>ANNEXE</w:t>
      </w:r>
    </w:p>
    <w:p w14:paraId="32DCF4E4" w14:textId="77777777" w:rsidR="00927887" w:rsidRPr="005F08E3" w:rsidRDefault="00927887" w:rsidP="00927887">
      <w:pPr>
        <w:spacing w:line="480" w:lineRule="auto"/>
        <w:jc w:val="both"/>
        <w:rPr>
          <w:rFonts w:ascii="Times New Roman" w:hAnsi="Times New Roman" w:cs="Times New Roman"/>
          <w:b/>
          <w:bCs/>
          <w:sz w:val="24"/>
          <w:szCs w:val="24"/>
          <w:lang w:val="en-US"/>
        </w:rPr>
      </w:pPr>
      <w:r w:rsidRPr="0011259E">
        <w:rPr>
          <w:rFonts w:ascii="Times New Roman" w:hAnsi="Times New Roman" w:cs="Times New Roman"/>
          <w:b/>
          <w:bCs/>
          <w:noProof/>
          <w:sz w:val="24"/>
          <w:szCs w:val="24"/>
          <w:lang w:eastAsia="es-ES"/>
        </w:rPr>
        <w:drawing>
          <wp:inline distT="0" distB="0" distL="0" distR="0" wp14:anchorId="1E8537DE" wp14:editId="77BD118B">
            <wp:extent cx="9319206" cy="2626995"/>
            <wp:effectExtent l="0" t="0" r="0" b="1905"/>
            <wp:docPr id="1" name="Imagen 1" descr="C:\Users\ccangae\Desktop\Serie de casos TCA varones\7. revista todavía por decidir\Curvas de crecimiento en inglé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cangae\Desktop\Serie de casos TCA varones\7. revista todavía por decidir\Curvas de crecimiento en inglés.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319933" cy="2627200"/>
                    </a:xfrm>
                    <a:prstGeom prst="rect">
                      <a:avLst/>
                    </a:prstGeom>
                    <a:noFill/>
                    <a:ln>
                      <a:noFill/>
                    </a:ln>
                  </pic:spPr>
                </pic:pic>
              </a:graphicData>
            </a:graphic>
          </wp:inline>
        </w:drawing>
      </w:r>
    </w:p>
    <w:p w14:paraId="61AB981B" w14:textId="77777777" w:rsidR="00927887" w:rsidRDefault="00927887" w:rsidP="00927887">
      <w:pPr>
        <w:spacing w:line="480" w:lineRule="auto"/>
        <w:jc w:val="both"/>
        <w:rPr>
          <w:rFonts w:ascii="Times New Roman" w:hAnsi="Times New Roman" w:cs="Times New Roman"/>
          <w:sz w:val="24"/>
          <w:szCs w:val="24"/>
          <w:lang w:val="en-US"/>
        </w:rPr>
      </w:pPr>
      <w:r w:rsidRPr="00F11208">
        <w:rPr>
          <w:rFonts w:ascii="Times New Roman" w:hAnsi="Times New Roman" w:cs="Times New Roman"/>
          <w:b/>
          <w:i/>
          <w:sz w:val="20"/>
          <w:szCs w:val="24"/>
          <w:lang w:val="en-US"/>
        </w:rPr>
        <w:t>Source</w:t>
      </w:r>
      <w:r w:rsidRPr="00F11208">
        <w:rPr>
          <w:rFonts w:ascii="Times New Roman" w:hAnsi="Times New Roman" w:cs="Times New Roman"/>
          <w:sz w:val="20"/>
          <w:szCs w:val="24"/>
          <w:lang w:val="en-US"/>
        </w:rPr>
        <w:t>: Prepared by the authors.</w:t>
      </w:r>
    </w:p>
    <w:p w14:paraId="0EF73661" w14:textId="77777777" w:rsidR="00927887" w:rsidRDefault="00927887" w:rsidP="00927887">
      <w:pPr>
        <w:spacing w:line="480" w:lineRule="auto"/>
        <w:jc w:val="both"/>
        <w:rPr>
          <w:rFonts w:ascii="Times New Roman" w:hAnsi="Times New Roman" w:cs="Times New Roman"/>
          <w:sz w:val="24"/>
          <w:szCs w:val="24"/>
          <w:lang w:val="en-US"/>
        </w:rPr>
      </w:pPr>
      <w:r w:rsidRPr="005F08E3">
        <w:rPr>
          <w:rFonts w:ascii="Times New Roman" w:hAnsi="Times New Roman" w:cs="Times New Roman"/>
          <w:b/>
          <w:bCs/>
          <w:sz w:val="24"/>
          <w:szCs w:val="24"/>
          <w:lang w:val="en-US"/>
        </w:rPr>
        <w:t>Figure 1:</w:t>
      </w:r>
      <w:r w:rsidRPr="005F08E3">
        <w:rPr>
          <w:rFonts w:ascii="Times New Roman" w:hAnsi="Times New Roman" w:cs="Times New Roman"/>
          <w:sz w:val="24"/>
          <w:szCs w:val="24"/>
          <w:lang w:val="en-US"/>
        </w:rPr>
        <w:t xml:space="preserve"> </w:t>
      </w:r>
      <w:r w:rsidRPr="00F11208">
        <w:rPr>
          <w:rFonts w:ascii="Times New Roman" w:hAnsi="Times New Roman" w:cs="Times New Roman"/>
          <w:sz w:val="24"/>
          <w:szCs w:val="24"/>
          <w:lang w:val="en-US"/>
        </w:rPr>
        <w:t>Anthropometric trajectories of the five male eating disorder cases. These standardized growth charts illustrate weight and height progression over time. The red lines trace the specific path of each patient, highlighting the critical BMI drop during the acute illness phase, periods of weight stabilization, and subsequent catch-up growth during the recovery process. The charts visually demonstrate de-canalization from expected percentiles, serving as a powerful clinical indicator of disease severity.</w:t>
      </w:r>
    </w:p>
    <w:tbl>
      <w:tblPr>
        <w:tblStyle w:val="TableGrid"/>
        <w:tblW w:w="0" w:type="auto"/>
        <w:tblLook w:val="04A0" w:firstRow="1" w:lastRow="0" w:firstColumn="1" w:lastColumn="0" w:noHBand="0" w:noVBand="1"/>
      </w:tblPr>
      <w:tblGrid>
        <w:gridCol w:w="4673"/>
        <w:gridCol w:w="4394"/>
        <w:gridCol w:w="4820"/>
      </w:tblGrid>
      <w:tr w:rsidR="00927887" w:rsidRPr="005F08E3" w14:paraId="6816ECFD" w14:textId="77777777" w:rsidTr="00CA2852">
        <w:tc>
          <w:tcPr>
            <w:tcW w:w="4673" w:type="dxa"/>
            <w:shd w:val="clear" w:color="auto" w:fill="D9D9D9" w:themeFill="background1" w:themeFillShade="D9"/>
          </w:tcPr>
          <w:p w14:paraId="3CEDD04D" w14:textId="77777777" w:rsidR="00927887" w:rsidRPr="005F08E3" w:rsidRDefault="00927887" w:rsidP="00CA2852">
            <w:pPr>
              <w:jc w:val="center"/>
              <w:rPr>
                <w:rFonts w:ascii="Times New Roman" w:hAnsi="Times New Roman" w:cs="Times New Roman"/>
                <w:b/>
                <w:sz w:val="24"/>
                <w:szCs w:val="24"/>
                <w:lang w:val="en-US"/>
              </w:rPr>
            </w:pPr>
          </w:p>
        </w:tc>
        <w:tc>
          <w:tcPr>
            <w:tcW w:w="4394" w:type="dxa"/>
            <w:shd w:val="clear" w:color="auto" w:fill="D9D9D9" w:themeFill="background1" w:themeFillShade="D9"/>
          </w:tcPr>
          <w:p w14:paraId="0A5CE222" w14:textId="77777777" w:rsidR="00927887" w:rsidRPr="005F08E3" w:rsidRDefault="00927887" w:rsidP="00CA2852">
            <w:pPr>
              <w:jc w:val="center"/>
              <w:rPr>
                <w:rFonts w:ascii="Times New Roman" w:hAnsi="Times New Roman" w:cs="Times New Roman"/>
                <w:b/>
                <w:sz w:val="24"/>
                <w:szCs w:val="24"/>
              </w:rPr>
            </w:pPr>
            <w:r w:rsidRPr="005F08E3">
              <w:rPr>
                <w:rFonts w:ascii="Times New Roman" w:hAnsi="Times New Roman" w:cs="Times New Roman"/>
                <w:b/>
                <w:sz w:val="24"/>
                <w:szCs w:val="24"/>
              </w:rPr>
              <w:t>MALE SEX</w:t>
            </w:r>
          </w:p>
        </w:tc>
        <w:tc>
          <w:tcPr>
            <w:tcW w:w="4820" w:type="dxa"/>
            <w:shd w:val="clear" w:color="auto" w:fill="D9D9D9" w:themeFill="background1" w:themeFillShade="D9"/>
          </w:tcPr>
          <w:p w14:paraId="285BE2C2" w14:textId="77777777" w:rsidR="00927887" w:rsidRPr="005F08E3" w:rsidRDefault="00927887" w:rsidP="00CA2852">
            <w:pPr>
              <w:jc w:val="center"/>
              <w:rPr>
                <w:rFonts w:ascii="Times New Roman" w:hAnsi="Times New Roman" w:cs="Times New Roman"/>
                <w:b/>
                <w:sz w:val="24"/>
                <w:szCs w:val="24"/>
              </w:rPr>
            </w:pPr>
            <w:r w:rsidRPr="005F08E3">
              <w:rPr>
                <w:rFonts w:ascii="Times New Roman" w:hAnsi="Times New Roman" w:cs="Times New Roman"/>
                <w:b/>
                <w:sz w:val="24"/>
                <w:szCs w:val="24"/>
              </w:rPr>
              <w:t>FEMALE SEX</w:t>
            </w:r>
          </w:p>
        </w:tc>
      </w:tr>
      <w:tr w:rsidR="00927887" w:rsidRPr="005F08E3" w14:paraId="28EEB31C" w14:textId="77777777" w:rsidTr="00CA2852">
        <w:tc>
          <w:tcPr>
            <w:tcW w:w="4673" w:type="dxa"/>
          </w:tcPr>
          <w:p w14:paraId="528E8ECF" w14:textId="77777777" w:rsidR="00927887" w:rsidRPr="005F08E3" w:rsidRDefault="00927887" w:rsidP="00CA2852">
            <w:pPr>
              <w:jc w:val="center"/>
              <w:rPr>
                <w:rFonts w:ascii="Times New Roman" w:hAnsi="Times New Roman" w:cs="Times New Roman"/>
                <w:sz w:val="24"/>
                <w:szCs w:val="24"/>
                <w:lang w:val="en-US"/>
              </w:rPr>
            </w:pPr>
            <w:r w:rsidRPr="00CB2A41">
              <w:rPr>
                <w:rFonts w:ascii="Times New Roman" w:hAnsi="Times New Roman" w:cs="Times New Roman"/>
                <w:b/>
                <w:sz w:val="24"/>
                <w:szCs w:val="24"/>
                <w:lang w:val="en-US"/>
              </w:rPr>
              <w:t>Most frequent diagnosis in clinical population</w:t>
            </w:r>
            <w:r w:rsidRPr="005F08E3">
              <w:rPr>
                <w:rFonts w:ascii="Times New Roman" w:hAnsi="Times New Roman" w:cs="Times New Roman"/>
                <w:sz w:val="24"/>
                <w:szCs w:val="24"/>
                <w:lang w:val="en-US"/>
              </w:rPr>
              <w:t xml:space="preserve"> </w:t>
            </w:r>
            <w:r w:rsidRPr="005F08E3">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DOI":"10.1016/j.ejphar.2021.173895","ISSN":"00142999","author":[{"dropping-particle":"","family":"Franceschini","given":"Anna","non-dropping-particle":"","parse-names":false,"suffix":""},{"dropping-particle":"","family":"Fattore","given":"Liana","non-dropping-particle":"","parse-names":false,"suffix":""}],"container-title":"European Journal of Pharmacology","id":"ITEM-1","issued":{"date-parts":[["2021","4"]]},"page":"173895","title":"Gender-specific approach in psychiatric diseases: Because sex matters","type":"article-journal","volume":"896"},"uris":["http://www.mendeley.com/documents/?uuid=e0004fe9-af3c-470c-be56-b423826a9a8e"]}],"mendeley":{"formattedCitation":"(Franceschini &amp; Fattore, 2021)","plainTextFormattedCitation":"(Franceschini &amp; Fattore, 2021)","previouslyFormattedCitation":"(Franceschini &amp; Fattore, 2021)"},"properties":{"noteIndex":0},"schema":"https://github.com/citation-style-language/schema/raw/master/csl-citation.json"}</w:instrText>
            </w:r>
            <w:r w:rsidRPr="005F08E3">
              <w:rPr>
                <w:rFonts w:ascii="Times New Roman" w:hAnsi="Times New Roman" w:cs="Times New Roman"/>
                <w:sz w:val="24"/>
                <w:szCs w:val="24"/>
                <w:lang w:val="en-US"/>
              </w:rPr>
              <w:fldChar w:fldCharType="separate"/>
            </w:r>
            <w:r w:rsidRPr="00A12671">
              <w:rPr>
                <w:rFonts w:ascii="Times New Roman" w:hAnsi="Times New Roman" w:cs="Times New Roman"/>
                <w:noProof/>
                <w:sz w:val="24"/>
                <w:szCs w:val="24"/>
                <w:lang w:val="en-US"/>
              </w:rPr>
              <w:t>(Franceschini &amp; Fattore, 2021)</w:t>
            </w:r>
            <w:r w:rsidRPr="005F08E3">
              <w:rPr>
                <w:rFonts w:ascii="Times New Roman" w:hAnsi="Times New Roman" w:cs="Times New Roman"/>
                <w:sz w:val="24"/>
                <w:szCs w:val="24"/>
                <w:lang w:val="en-US"/>
              </w:rPr>
              <w:fldChar w:fldCharType="end"/>
            </w:r>
          </w:p>
        </w:tc>
        <w:tc>
          <w:tcPr>
            <w:tcW w:w="4394" w:type="dxa"/>
          </w:tcPr>
          <w:p w14:paraId="4209806D" w14:textId="77777777" w:rsidR="00927887" w:rsidRPr="005F08E3" w:rsidRDefault="00927887" w:rsidP="00CA2852">
            <w:pPr>
              <w:jc w:val="center"/>
              <w:rPr>
                <w:rFonts w:ascii="Times New Roman" w:hAnsi="Times New Roman" w:cs="Times New Roman"/>
                <w:sz w:val="24"/>
                <w:szCs w:val="24"/>
                <w:lang w:val="en-US"/>
              </w:rPr>
            </w:pPr>
            <w:r w:rsidRPr="005F08E3">
              <w:rPr>
                <w:rFonts w:ascii="Times New Roman" w:hAnsi="Times New Roman" w:cs="Times New Roman"/>
                <w:sz w:val="24"/>
                <w:szCs w:val="24"/>
                <w:lang w:val="en-US"/>
              </w:rPr>
              <w:t>Binge Eating Disorder</w:t>
            </w:r>
            <w:r w:rsidRPr="005F08E3">
              <w:rPr>
                <w:rFonts w:ascii="Times New Roman" w:hAnsi="Times New Roman" w:cs="Times New Roman"/>
                <w:b/>
                <w:sz w:val="24"/>
                <w:szCs w:val="24"/>
                <w:lang w:val="en-US"/>
              </w:rPr>
              <w:t xml:space="preserve"> </w:t>
            </w:r>
            <w:r w:rsidRPr="005F08E3">
              <w:rPr>
                <w:rFonts w:ascii="Times New Roman" w:hAnsi="Times New Roman" w:cs="Times New Roman"/>
                <w:sz w:val="24"/>
                <w:szCs w:val="24"/>
                <w:lang w:val="en-US"/>
              </w:rPr>
              <w:t>(ICD-11 6B82)</w:t>
            </w:r>
          </w:p>
        </w:tc>
        <w:tc>
          <w:tcPr>
            <w:tcW w:w="4820" w:type="dxa"/>
          </w:tcPr>
          <w:p w14:paraId="0190BEA7" w14:textId="77777777" w:rsidR="00927887" w:rsidRPr="005F08E3" w:rsidRDefault="00927887" w:rsidP="00CA2852">
            <w:pPr>
              <w:jc w:val="center"/>
              <w:rPr>
                <w:rFonts w:ascii="Times New Roman" w:hAnsi="Times New Roman" w:cs="Times New Roman"/>
                <w:sz w:val="24"/>
                <w:szCs w:val="24"/>
              </w:rPr>
            </w:pPr>
            <w:r w:rsidRPr="005F08E3">
              <w:rPr>
                <w:rFonts w:ascii="Times New Roman" w:hAnsi="Times New Roman" w:cs="Times New Roman"/>
                <w:sz w:val="24"/>
                <w:szCs w:val="24"/>
              </w:rPr>
              <w:t>Anorexia Nervosa</w:t>
            </w:r>
            <w:r w:rsidRPr="005F08E3">
              <w:rPr>
                <w:rFonts w:ascii="Times New Roman" w:hAnsi="Times New Roman" w:cs="Times New Roman"/>
                <w:b/>
                <w:sz w:val="24"/>
                <w:szCs w:val="24"/>
              </w:rPr>
              <w:t xml:space="preserve"> </w:t>
            </w:r>
            <w:r w:rsidRPr="005F08E3">
              <w:rPr>
                <w:rFonts w:ascii="Times New Roman" w:hAnsi="Times New Roman" w:cs="Times New Roman"/>
                <w:sz w:val="24"/>
                <w:szCs w:val="24"/>
              </w:rPr>
              <w:t>(ICD-11 6B80)</w:t>
            </w:r>
            <w:r w:rsidRPr="005F08E3">
              <w:rPr>
                <w:rFonts w:ascii="Times New Roman" w:hAnsi="Times New Roman" w:cs="Times New Roman"/>
                <w:b/>
                <w:sz w:val="24"/>
                <w:szCs w:val="24"/>
              </w:rPr>
              <w:t xml:space="preserve"> </w:t>
            </w:r>
            <w:r w:rsidRPr="005F08E3">
              <w:rPr>
                <w:rFonts w:ascii="Times New Roman" w:hAnsi="Times New Roman" w:cs="Times New Roman"/>
                <w:sz w:val="24"/>
                <w:szCs w:val="24"/>
                <w:lang w:val="en-US"/>
              </w:rPr>
              <w:t>or</w:t>
            </w:r>
            <w:r w:rsidRPr="005F08E3">
              <w:rPr>
                <w:rFonts w:ascii="Times New Roman" w:hAnsi="Times New Roman" w:cs="Times New Roman"/>
                <w:sz w:val="24"/>
                <w:szCs w:val="24"/>
              </w:rPr>
              <w:t xml:space="preserve"> Bulimia Nervosa</w:t>
            </w:r>
            <w:r w:rsidRPr="005F08E3">
              <w:rPr>
                <w:rFonts w:ascii="Times New Roman" w:hAnsi="Times New Roman" w:cs="Times New Roman"/>
                <w:b/>
                <w:sz w:val="24"/>
                <w:szCs w:val="24"/>
              </w:rPr>
              <w:t xml:space="preserve"> </w:t>
            </w:r>
            <w:r w:rsidRPr="005F08E3">
              <w:rPr>
                <w:rFonts w:ascii="Times New Roman" w:hAnsi="Times New Roman" w:cs="Times New Roman"/>
                <w:sz w:val="24"/>
                <w:szCs w:val="24"/>
              </w:rPr>
              <w:t>(ICD-11 6B81)</w:t>
            </w:r>
          </w:p>
        </w:tc>
      </w:tr>
      <w:tr w:rsidR="00927887" w:rsidRPr="005F08E3" w14:paraId="47959BDA" w14:textId="77777777" w:rsidTr="00CA2852">
        <w:tc>
          <w:tcPr>
            <w:tcW w:w="4673" w:type="dxa"/>
          </w:tcPr>
          <w:p w14:paraId="6859F39D" w14:textId="77777777" w:rsidR="00927887" w:rsidRPr="00D41512" w:rsidRDefault="00927887" w:rsidP="00CA2852">
            <w:pPr>
              <w:jc w:val="center"/>
              <w:rPr>
                <w:rFonts w:ascii="Times New Roman" w:hAnsi="Times New Roman" w:cs="Times New Roman"/>
                <w:sz w:val="24"/>
                <w:szCs w:val="24"/>
                <w:lang w:val="en-US"/>
              </w:rPr>
            </w:pPr>
            <w:r w:rsidRPr="00CB2A41">
              <w:rPr>
                <w:rFonts w:ascii="Times New Roman" w:hAnsi="Times New Roman" w:cs="Times New Roman"/>
                <w:b/>
                <w:sz w:val="24"/>
                <w:szCs w:val="24"/>
                <w:lang w:val="en-US"/>
              </w:rPr>
              <w:t>Comorbidities</w:t>
            </w:r>
            <w:r w:rsidRPr="00D41512">
              <w:rPr>
                <w:rFonts w:ascii="Times New Roman" w:hAnsi="Times New Roman" w:cs="Times New Roman"/>
                <w:sz w:val="24"/>
                <w:szCs w:val="24"/>
                <w:lang w:val="en-US"/>
              </w:rPr>
              <w:t xml:space="preserve"> </w:t>
            </w:r>
            <w:r w:rsidRPr="005F08E3">
              <w:rPr>
                <w:rFonts w:ascii="Times New Roman" w:hAnsi="Times New Roman" w:cs="Times New Roman"/>
                <w:sz w:val="24"/>
                <w:szCs w:val="24"/>
              </w:rPr>
              <w:fldChar w:fldCharType="begin" w:fldLock="1"/>
            </w:r>
            <w:r>
              <w:rPr>
                <w:rFonts w:ascii="Times New Roman" w:hAnsi="Times New Roman" w:cs="Times New Roman"/>
                <w:sz w:val="24"/>
                <w:szCs w:val="24"/>
                <w:lang w:val="en-US"/>
              </w:rPr>
              <w:instrText>ADDIN CSL_CITATION {"citationItems":[{"id":"ITEM-1","itemData":{"DOI":"10.1146/annurev-clinpsy-080921-074125","ISSN":"1548-5943","abstract":"While boys and men have historically been underrepresented in eating disorder research, increasing interest and research during the twenty-first century have contributed important knowledge to the field. In this article, we review the epidemiology of eating disorders and muscle dysmorphia (the pathological pursuit of muscularity) in boys and men; specific groups of men at increased risk for eating disorders; sociocultural, psychological, and biological vulnerability factors; and male-specific assessment measures. We also provide an overview of current research on eating disorder and muscle dysmorphia prevention efforts, treatment outcomes, and mortality risk in samples of boys and men. Priorities for future research are including boys and men in epidemiological studies to track changes in incidence, identifying (neuro)biological factors contributing to risk, eliminating barriers to treatment access and utilization, and refining male-specific prevention and treatment efforts.","author":[{"dropping-particle":"","family":"Brown","given":"Tiffany A.","non-dropping-particle":"","parse-names":false,"suffix":""},{"dropping-particle":"","family":"Keel","given":"Pamela K.","non-dropping-particle":"","parse-names":false,"suffix":""}],"container-title":"Annual Review of Clinical Psychology","id":"ITEM-1","issue":"1","issued":{"date-parts":[["2023","5","9"]]},"page":"177-205","title":"Eating Disorders in Boys and Men","type":"article-journal","volume":"19"},"uris":["http://www.mendeley.com/documents/?uuid=9bbb71ae-a3f8-4102-83b6-6d57600326a5"]}],"mendeley":{"formattedCitation":"(Brown &amp; Keel, 2023)","plainTextFormattedCitation":"(Brown &amp; Keel, 2023)","previouslyFormattedCitation":"(Brown &amp; Keel, 2023)"},"properties":{"noteIndex":0},"schema":"https://github.com/citation-style-language/schema/raw/master/csl-citation.json"}</w:instrText>
            </w:r>
            <w:r w:rsidRPr="005F08E3">
              <w:rPr>
                <w:rFonts w:ascii="Times New Roman" w:hAnsi="Times New Roman" w:cs="Times New Roman"/>
                <w:sz w:val="24"/>
                <w:szCs w:val="24"/>
              </w:rPr>
              <w:fldChar w:fldCharType="separate"/>
            </w:r>
            <w:r w:rsidRPr="00D41512">
              <w:rPr>
                <w:rFonts w:ascii="Times New Roman" w:hAnsi="Times New Roman" w:cs="Times New Roman"/>
                <w:noProof/>
                <w:sz w:val="24"/>
                <w:szCs w:val="24"/>
                <w:lang w:val="en-US"/>
              </w:rPr>
              <w:t>(Brown &amp; Keel, 2023)</w:t>
            </w:r>
            <w:r w:rsidRPr="005F08E3">
              <w:rPr>
                <w:rFonts w:ascii="Times New Roman" w:hAnsi="Times New Roman" w:cs="Times New Roman"/>
                <w:sz w:val="24"/>
                <w:szCs w:val="24"/>
              </w:rPr>
              <w:fldChar w:fldCharType="end"/>
            </w:r>
            <w:r w:rsidRPr="00D41512">
              <w:rPr>
                <w:rFonts w:ascii="Times New Roman" w:hAnsi="Times New Roman" w:cs="Times New Roman"/>
                <w:sz w:val="24"/>
                <w:szCs w:val="24"/>
                <w:lang w:val="en-US"/>
              </w:rPr>
              <w:t xml:space="preserve"> </w:t>
            </w:r>
            <w:r w:rsidRPr="005F08E3">
              <w:rPr>
                <w:rFonts w:ascii="Times New Roman" w:hAnsi="Times New Roman" w:cs="Times New Roman"/>
                <w:sz w:val="24"/>
                <w:szCs w:val="24"/>
              </w:rPr>
              <w:fldChar w:fldCharType="begin" w:fldLock="1"/>
            </w:r>
            <w:r>
              <w:rPr>
                <w:rFonts w:ascii="Times New Roman" w:hAnsi="Times New Roman" w:cs="Times New Roman"/>
                <w:sz w:val="24"/>
                <w:szCs w:val="24"/>
                <w:lang w:val="en-US"/>
              </w:rPr>
              <w:instrText>ADDIN CSL_CITATION {"citationItems":[{"id":"ITEM-1","itemData":{"DOI":"10.1016/j.ejphar.2021.173895","ISSN":"00142999","author":[{"dropping-particle":"","family":"Franceschini","given":"Anna","non-dropping-particle":"","parse-names":false,"suffix":""},{"dropping-particle":"","family":"Fattore","given":"Liana","non-dropping-particle":"","parse-names":false,"suffix":""}],"container-title":"European Journal of Pharmacology","id":"ITEM-1","issued":{"date-parts":[["2021","4"]]},"page":"173895","title":"Gender-specific approach in psychiatric diseases: Because sex matters","type":"article-journal","volume":"896"},"uris":["http://www.mendeley.com/documents/?uuid=e0004fe9-af3c-470c-be56-b423826a9a8e"]}],"mendeley":{"formattedCitation":"(Franceschini &amp; Fattore, 2021)","plainTextFormattedCitation":"(Franceschini &amp; Fattore, 2021)","previouslyFormattedCitation":"(Franceschini &amp; Fattore, 2021)"},"properties":{"noteIndex":0},"schema":"https://github.com/citation-style-language/schema/raw/master/csl-citation.json"}</w:instrText>
            </w:r>
            <w:r w:rsidRPr="005F08E3">
              <w:rPr>
                <w:rFonts w:ascii="Times New Roman" w:hAnsi="Times New Roman" w:cs="Times New Roman"/>
                <w:sz w:val="24"/>
                <w:szCs w:val="24"/>
              </w:rPr>
              <w:fldChar w:fldCharType="separate"/>
            </w:r>
            <w:r w:rsidRPr="00D41512">
              <w:rPr>
                <w:rFonts w:ascii="Times New Roman" w:hAnsi="Times New Roman" w:cs="Times New Roman"/>
                <w:noProof/>
                <w:sz w:val="24"/>
                <w:szCs w:val="24"/>
                <w:lang w:val="en-US"/>
              </w:rPr>
              <w:t>(Franceschini &amp; Fattore, 2021)</w:t>
            </w:r>
            <w:r w:rsidRPr="005F08E3">
              <w:rPr>
                <w:rFonts w:ascii="Times New Roman" w:hAnsi="Times New Roman" w:cs="Times New Roman"/>
                <w:sz w:val="24"/>
                <w:szCs w:val="24"/>
              </w:rPr>
              <w:fldChar w:fldCharType="end"/>
            </w:r>
          </w:p>
        </w:tc>
        <w:tc>
          <w:tcPr>
            <w:tcW w:w="4394" w:type="dxa"/>
          </w:tcPr>
          <w:p w14:paraId="5DE3CD73" w14:textId="77777777" w:rsidR="00927887" w:rsidRPr="005F08E3" w:rsidRDefault="00927887" w:rsidP="00CA2852">
            <w:pPr>
              <w:jc w:val="center"/>
              <w:rPr>
                <w:rFonts w:ascii="Times New Roman" w:hAnsi="Times New Roman" w:cs="Times New Roman"/>
                <w:sz w:val="24"/>
                <w:szCs w:val="24"/>
                <w:lang w:val="en-US"/>
              </w:rPr>
            </w:pPr>
            <w:r w:rsidRPr="005F08E3">
              <w:rPr>
                <w:rFonts w:ascii="Times New Roman" w:hAnsi="Times New Roman" w:cs="Times New Roman"/>
                <w:sz w:val="24"/>
                <w:szCs w:val="24"/>
                <w:lang w:val="en-US"/>
              </w:rPr>
              <w:t>Anxiety disorders and psychotic disorders</w:t>
            </w:r>
          </w:p>
        </w:tc>
        <w:tc>
          <w:tcPr>
            <w:tcW w:w="4820" w:type="dxa"/>
          </w:tcPr>
          <w:p w14:paraId="074D9D3B" w14:textId="77777777" w:rsidR="00927887" w:rsidRPr="005F08E3" w:rsidRDefault="00927887" w:rsidP="00CA2852">
            <w:pPr>
              <w:jc w:val="center"/>
              <w:rPr>
                <w:rFonts w:ascii="Times New Roman" w:hAnsi="Times New Roman" w:cs="Times New Roman"/>
                <w:sz w:val="24"/>
                <w:szCs w:val="24"/>
              </w:rPr>
            </w:pPr>
            <w:proofErr w:type="spellStart"/>
            <w:r w:rsidRPr="005F08E3">
              <w:rPr>
                <w:rFonts w:ascii="Times New Roman" w:hAnsi="Times New Roman" w:cs="Times New Roman"/>
                <w:sz w:val="24"/>
                <w:szCs w:val="24"/>
              </w:rPr>
              <w:t>Affective</w:t>
            </w:r>
            <w:proofErr w:type="spellEnd"/>
            <w:r w:rsidRPr="005F08E3">
              <w:rPr>
                <w:rFonts w:ascii="Times New Roman" w:hAnsi="Times New Roman" w:cs="Times New Roman"/>
                <w:sz w:val="24"/>
                <w:szCs w:val="24"/>
              </w:rPr>
              <w:t xml:space="preserve"> </w:t>
            </w:r>
            <w:proofErr w:type="spellStart"/>
            <w:r w:rsidRPr="005F08E3">
              <w:rPr>
                <w:rFonts w:ascii="Times New Roman" w:hAnsi="Times New Roman" w:cs="Times New Roman"/>
                <w:sz w:val="24"/>
                <w:szCs w:val="24"/>
              </w:rPr>
              <w:t>disorders</w:t>
            </w:r>
            <w:proofErr w:type="spellEnd"/>
            <w:r w:rsidRPr="005F08E3">
              <w:rPr>
                <w:rFonts w:ascii="Times New Roman" w:hAnsi="Times New Roman" w:cs="Times New Roman"/>
                <w:sz w:val="24"/>
                <w:szCs w:val="24"/>
              </w:rPr>
              <w:t xml:space="preserve"> (</w:t>
            </w:r>
            <w:proofErr w:type="spellStart"/>
            <w:r w:rsidRPr="005F08E3">
              <w:rPr>
                <w:rFonts w:ascii="Times New Roman" w:hAnsi="Times New Roman" w:cs="Times New Roman"/>
                <w:sz w:val="24"/>
                <w:szCs w:val="24"/>
              </w:rPr>
              <w:t>depression</w:t>
            </w:r>
            <w:proofErr w:type="spellEnd"/>
            <w:r w:rsidRPr="005F08E3">
              <w:rPr>
                <w:rFonts w:ascii="Times New Roman" w:hAnsi="Times New Roman" w:cs="Times New Roman"/>
                <w:sz w:val="24"/>
                <w:szCs w:val="24"/>
              </w:rPr>
              <w:t>)</w:t>
            </w:r>
          </w:p>
        </w:tc>
      </w:tr>
      <w:tr w:rsidR="00927887" w:rsidRPr="00A7684F" w14:paraId="482DFC09" w14:textId="77777777" w:rsidTr="00CA2852">
        <w:tc>
          <w:tcPr>
            <w:tcW w:w="4673" w:type="dxa"/>
          </w:tcPr>
          <w:p w14:paraId="5188D59B" w14:textId="77777777" w:rsidR="00927887" w:rsidRPr="00B56785" w:rsidDel="00B56785" w:rsidRDefault="00927887" w:rsidP="00CA2852">
            <w:pPr>
              <w:jc w:val="center"/>
              <w:rPr>
                <w:rFonts w:ascii="Times New Roman" w:hAnsi="Times New Roman" w:cs="Times New Roman"/>
                <w:sz w:val="24"/>
                <w:szCs w:val="24"/>
                <w:lang w:val="en-US"/>
              </w:rPr>
            </w:pPr>
            <w:r w:rsidRPr="00CB2A41">
              <w:rPr>
                <w:rFonts w:ascii="Times New Roman" w:hAnsi="Times New Roman" w:cs="Times New Roman"/>
                <w:b/>
                <w:sz w:val="24"/>
                <w:szCs w:val="24"/>
                <w:lang w:val="en-US"/>
              </w:rPr>
              <w:t>Core Psychopathology</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DOI":"10.1016/j.chc.2019.05.012","ISSN":"10564993","author":[{"dropping-particle":"","family":"Gorrell","given":"Sasha","non-dropping-particle":"","parse-names":false,"suffix":""},{"dropping-particle":"","family":"Murray","given":"Stuart B.","non-dropping-particle":"","parse-names":false,"suffix":""}],"container-title":"Child and Adolescent Psychiatric Clinics of North America","id":"ITEM-1","issue":"4","issued":{"date-parts":[["2019","10"]]},"page":"641-651","title":"Eating Disorders in Males","type":"article-journal","volume":"28"},"uris":["http://www.mendeley.com/documents/?uuid=a6a23da1-76c3-4c65-ac20-3fb25595407d"]}],"mendeley":{"formattedCitation":"(Gorrell &amp; Murray, 2019)","plainTextFormattedCitation":"(Gorrell &amp; Murray, 2019)","previouslyFormattedCitation":"(Gorrell &amp; Murray, 2019)"},"properties":{"noteIndex":0},"schema":"https://github.com/citation-style-language/schema/raw/master/csl-citation.json"}</w:instrText>
            </w:r>
            <w:r>
              <w:rPr>
                <w:rFonts w:ascii="Times New Roman" w:hAnsi="Times New Roman" w:cs="Times New Roman"/>
                <w:sz w:val="24"/>
                <w:szCs w:val="24"/>
                <w:lang w:val="en-US"/>
              </w:rPr>
              <w:fldChar w:fldCharType="separate"/>
            </w:r>
            <w:r w:rsidRPr="002D62E2">
              <w:rPr>
                <w:rFonts w:ascii="Times New Roman" w:hAnsi="Times New Roman" w:cs="Times New Roman"/>
                <w:noProof/>
                <w:sz w:val="24"/>
                <w:szCs w:val="24"/>
                <w:lang w:val="en-US"/>
              </w:rPr>
              <w:t>(Gorrell &amp; Murray, 2019)</w:t>
            </w:r>
            <w:r>
              <w:rPr>
                <w:rFonts w:ascii="Times New Roman" w:hAnsi="Times New Roman" w:cs="Times New Roman"/>
                <w:sz w:val="24"/>
                <w:szCs w:val="24"/>
                <w:lang w:val="en-US"/>
              </w:rPr>
              <w:fldChar w:fldCharType="end"/>
            </w:r>
          </w:p>
        </w:tc>
        <w:tc>
          <w:tcPr>
            <w:tcW w:w="4394" w:type="dxa"/>
          </w:tcPr>
          <w:p w14:paraId="09778C3B" w14:textId="77777777" w:rsidR="00927887" w:rsidRPr="00B56785" w:rsidRDefault="00927887" w:rsidP="00CA2852">
            <w:pPr>
              <w:jc w:val="center"/>
              <w:rPr>
                <w:rFonts w:ascii="Times New Roman" w:hAnsi="Times New Roman" w:cs="Times New Roman"/>
                <w:sz w:val="24"/>
                <w:szCs w:val="24"/>
                <w:lang w:val="en-US"/>
              </w:rPr>
            </w:pPr>
            <w:r w:rsidRPr="00B56785">
              <w:rPr>
                <w:rFonts w:ascii="Times New Roman" w:hAnsi="Times New Roman" w:cs="Times New Roman"/>
                <w:sz w:val="24"/>
                <w:szCs w:val="24"/>
                <w:lang w:val="en-US"/>
              </w:rPr>
              <w:t>Muscularity-oriented phenotype: Drive for muscularity and leanness</w:t>
            </w:r>
          </w:p>
        </w:tc>
        <w:tc>
          <w:tcPr>
            <w:tcW w:w="4820" w:type="dxa"/>
          </w:tcPr>
          <w:p w14:paraId="4A4B5CA5" w14:textId="77777777" w:rsidR="00927887" w:rsidRPr="00B56785" w:rsidRDefault="00927887" w:rsidP="00CA2852">
            <w:pPr>
              <w:jc w:val="center"/>
              <w:rPr>
                <w:rFonts w:ascii="Times New Roman" w:hAnsi="Times New Roman" w:cs="Times New Roman"/>
                <w:sz w:val="24"/>
                <w:szCs w:val="24"/>
                <w:lang w:val="en-US"/>
              </w:rPr>
            </w:pPr>
            <w:r w:rsidRPr="00B56785">
              <w:rPr>
                <w:rFonts w:ascii="Times New Roman" w:hAnsi="Times New Roman" w:cs="Times New Roman"/>
                <w:sz w:val="24"/>
                <w:szCs w:val="24"/>
                <w:lang w:val="en-US"/>
              </w:rPr>
              <w:t>Thinness-oriented phenotype: Drive for thinness and weight loss</w:t>
            </w:r>
          </w:p>
        </w:tc>
      </w:tr>
      <w:tr w:rsidR="00927887" w:rsidRPr="00EF70EC" w14:paraId="61618887" w14:textId="77777777" w:rsidTr="00CA2852">
        <w:tc>
          <w:tcPr>
            <w:tcW w:w="4673" w:type="dxa"/>
          </w:tcPr>
          <w:p w14:paraId="272AB3CC" w14:textId="77777777" w:rsidR="00927887" w:rsidRPr="00732B6C" w:rsidRDefault="00927887" w:rsidP="00CA2852">
            <w:pPr>
              <w:jc w:val="center"/>
              <w:rPr>
                <w:rFonts w:ascii="Times New Roman" w:hAnsi="Times New Roman" w:cs="Times New Roman"/>
                <w:sz w:val="24"/>
                <w:szCs w:val="24"/>
                <w:lang w:val="en-US"/>
              </w:rPr>
            </w:pPr>
            <w:r w:rsidRPr="00CB2A41">
              <w:rPr>
                <w:rFonts w:ascii="Times New Roman" w:hAnsi="Times New Roman" w:cs="Times New Roman"/>
                <w:b/>
                <w:sz w:val="24"/>
                <w:szCs w:val="24"/>
                <w:lang w:val="en-US"/>
              </w:rPr>
              <w:t>Primary goal of behavior</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{"citationItems":[{"id":"ITEM-1","itemData":{"DOI":"10.1007/s11920-017-0787-5","ISSN":"1523-3812","author":[{"dropping-particle":"","family":"Lavender","given":"Jason M.","non-dropping-particle":"","parse-names":false,"suffix":""},{"dropping-particle":"","family":"Brown","given":"Tiffany A.","non-dropping-particle":"","parse-names":false,"suffix":""},{"dropping-particle":"","family":"Murray","given":"Stuart B.","non-dropping-particle":"","parse-names":false,"suffix":""}],"container-title":"Current Psychiatry Reports","id":"ITEM-1","issue":"6","issued":{"date-parts":[["2017","6","3"]]},"page":"32","title":"Men, Muscles, and Eating Disorders: an Overview of Traditional and Muscularity-Oriented Disordered Eating","type":"article-journal","volume":"19"},"uris":["http://www.mendeley.com/documents/?uuid=9f2c1932-3e75-4651-b69b-d3011ffac27f"]}],"mendeley":{"formattedCitation":"(Lavender et al., 2017)","plainTextFormattedCitation":"(Lavender et al., 2017)","previouslyFormattedCitation":"(Lavender et al., 2017)"},"properties":{"noteIndex":0},"schema":"https://github.com/citation-style-language/schema/raw/master/csl-citation.json"}</w:instrText>
            </w:r>
            <w:r>
              <w:rPr>
                <w:rFonts w:ascii="Times New Roman" w:hAnsi="Times New Roman" w:cs="Times New Roman"/>
                <w:sz w:val="24"/>
                <w:szCs w:val="24"/>
                <w:lang w:val="en-US"/>
              </w:rPr>
              <w:fldChar w:fldCharType="separate"/>
            </w:r>
            <w:r w:rsidRPr="002D62E2">
              <w:rPr>
                <w:rFonts w:ascii="Times New Roman" w:hAnsi="Times New Roman" w:cs="Times New Roman"/>
                <w:noProof/>
                <w:sz w:val="24"/>
                <w:szCs w:val="24"/>
                <w:lang w:val="en-US"/>
              </w:rPr>
              <w:t>(Lavender et al., 2017)</w:t>
            </w:r>
            <w:r>
              <w:rPr>
                <w:rFonts w:ascii="Times New Roman" w:hAnsi="Times New Roman" w:cs="Times New Roman"/>
                <w:sz w:val="24"/>
                <w:szCs w:val="24"/>
                <w:lang w:val="en-US"/>
              </w:rPr>
              <w:fldChar w:fldCharType="end"/>
            </w:r>
            <w:r w:rsidRPr="0011259E">
              <w:rPr>
                <w:rFonts w:ascii="Times New Roman" w:hAnsi="Times New Roman" w:cs="Times New Roman"/>
                <w:sz w:val="24"/>
                <w:szCs w:val="24"/>
                <w:lang w:val="en-US"/>
              </w:rPr>
              <w:t xml:space="preserve"> </w:t>
            </w:r>
            <w:r w:rsidRPr="005F08E3">
              <w:rPr>
                <w:rFonts w:ascii="Times New Roman" w:hAnsi="Times New Roman" w:cs="Times New Roman"/>
                <w:sz w:val="24"/>
                <w:szCs w:val="24"/>
              </w:rPr>
              <w:fldChar w:fldCharType="begin" w:fldLock="1"/>
            </w:r>
            <w:r>
              <w:rPr>
                <w:rFonts w:ascii="Times New Roman" w:hAnsi="Times New Roman" w:cs="Times New Roman"/>
                <w:sz w:val="24"/>
                <w:szCs w:val="24"/>
                <w:lang w:val="en-US"/>
              </w:rPr>
              <w:instrText>ADDIN CSL_CITATION {"citationItems":[{"id":"ITEM-1","itemData":{"DOI":"10.1016/j.chc.2019.05.012","ISSN":"10564993","author":[{"dropping-particle":"","family":"Gorrell","given":"Sasha","non-dropping-particle":"","parse-names":false,"suffix":""},{"dropping-particle":"","family":"Murray","given":"Stuart B.","non-dropping-particle":"","parse-names":false,"suffix":""}],"container-title":"Child and Adolescent Psychiatric Clinics of North America","id":"ITEM-1","issue":"4","issued":{"date-parts":[["2019","10"]]},"page":"641-651","title":"Eating Disorders in Males","type":"article-journal","volume":"28"},"uris":["http://www.mendeley.com/documents/?uuid=a6a23da1-76c3-4c65-ac20-3fb25595407d"]}],"mendeley":{"formattedCitation":"(Gorrell &amp; Murray, 2019)","plainTextFormattedCitation":"(Gorrell &amp; Murray, 2019)","previouslyFormattedCitation":"(Gorrell &amp; Murray, 2019)"},"properties":{"noteIndex":0},"schema":"https://github.com/citation-style-language/schema/raw/master/csl-citation.json"}</w:instrText>
            </w:r>
            <w:r w:rsidRPr="005F08E3">
              <w:rPr>
                <w:rFonts w:ascii="Times New Roman" w:hAnsi="Times New Roman" w:cs="Times New Roman"/>
                <w:sz w:val="24"/>
                <w:szCs w:val="24"/>
              </w:rPr>
              <w:fldChar w:fldCharType="separate"/>
            </w:r>
            <w:r w:rsidRPr="0011259E">
              <w:rPr>
                <w:rFonts w:ascii="Times New Roman" w:hAnsi="Times New Roman" w:cs="Times New Roman"/>
                <w:noProof/>
                <w:sz w:val="24"/>
                <w:szCs w:val="24"/>
                <w:lang w:val="en-US"/>
              </w:rPr>
              <w:t>(Gorrell &amp; Murray, 2019)</w:t>
            </w:r>
            <w:r w:rsidRPr="005F08E3">
              <w:rPr>
                <w:rFonts w:ascii="Times New Roman" w:hAnsi="Times New Roman" w:cs="Times New Roman"/>
                <w:sz w:val="24"/>
                <w:szCs w:val="24"/>
              </w:rPr>
              <w:fldChar w:fldCharType="end"/>
            </w:r>
            <w:r w:rsidRPr="0011259E">
              <w:rPr>
                <w:rFonts w:ascii="Times New Roman" w:hAnsi="Times New Roman" w:cs="Times New Roman"/>
                <w:sz w:val="24"/>
                <w:szCs w:val="24"/>
                <w:lang w:val="en-US"/>
              </w:rPr>
              <w:t xml:space="preserve"> </w:t>
            </w:r>
            <w:r w:rsidRPr="005F08E3">
              <w:rPr>
                <w:rFonts w:ascii="Times New Roman" w:hAnsi="Times New Roman" w:cs="Times New Roman"/>
                <w:sz w:val="24"/>
                <w:szCs w:val="24"/>
              </w:rPr>
              <w:fldChar w:fldCharType="begin" w:fldLock="1"/>
            </w:r>
            <w:r w:rsidRPr="00270A19">
              <w:rPr>
                <w:rFonts w:ascii="Times New Roman" w:hAnsi="Times New Roman" w:cs="Times New Roman"/>
                <w:sz w:val="24"/>
                <w:szCs w:val="24"/>
                <w:lang w:val="en-US"/>
              </w:rPr>
              <w:instrText>ADDIN CSL_CITATION {"citationItems":[{"id":"ITEM-1","itemData":{"DOI":"10.1097/MOP.0000000000000911","ISSN":"1040-8703","author":[{"dropping-particle":"","family":"Nagata","given":"Jason M.","non-dropping-particle":"","parse-names":false,"suffix":""},{"dropping-particle":"","family":"Ganson","given":"Kyle T.","non-dropping-particle":"","parse-names":false,"suffix":""},{"dropping-particle":"","family":"Murray","given":"Stuart B.","non-dropping-particle":"","parse-names":false,"suffix":""}],"container-title":"Current Opinion in Pediatrics","id":"ITEM-1","issue":"4","issued":{"date-parts":[["2020","8"]]},"page":"476-481","title":"Eating disorders in adolescent boys and young men: an update","type":"article-journal","volume":"32"},"uris":["http://www.mendeley.com/docu</w:instrText>
            </w:r>
            <w:r>
              <w:rPr>
                <w:rFonts w:ascii="Times New Roman" w:hAnsi="Times New Roman" w:cs="Times New Roman"/>
                <w:sz w:val="24"/>
                <w:szCs w:val="24"/>
              </w:rPr>
              <w:instrText>ments/?uuid=f328d626-d059-49c7-b05a-b8a3dd24ba69"]}],"mendeley":{"formattedCitation":"(Nagata et al., 2020)","plainTextFormattedCitation":"(Nagata et al., 2020)","previouslyFormattedCitation":"(Nagata et al., 2020)"},"properties":{"noteIndex":0},"schema":"https://github.com/citation-style-language/schema/raw/master/csl-citation.json"}</w:instrText>
            </w:r>
            <w:r w:rsidRPr="005F08E3">
              <w:rPr>
                <w:rFonts w:ascii="Times New Roman" w:hAnsi="Times New Roman" w:cs="Times New Roman"/>
                <w:sz w:val="24"/>
                <w:szCs w:val="24"/>
              </w:rPr>
              <w:fldChar w:fldCharType="separate"/>
            </w:r>
            <w:r w:rsidRPr="00A12671">
              <w:rPr>
                <w:rFonts w:ascii="Times New Roman" w:hAnsi="Times New Roman" w:cs="Times New Roman"/>
                <w:noProof/>
                <w:sz w:val="24"/>
                <w:szCs w:val="24"/>
              </w:rPr>
              <w:t>(Nagata et al., 2020)</w:t>
            </w:r>
            <w:r w:rsidRPr="005F08E3">
              <w:rPr>
                <w:rFonts w:ascii="Times New Roman" w:hAnsi="Times New Roman" w:cs="Times New Roman"/>
                <w:sz w:val="24"/>
                <w:szCs w:val="24"/>
              </w:rPr>
              <w:fldChar w:fldCharType="end"/>
            </w:r>
            <w:r w:rsidRPr="005F08E3">
              <w:rPr>
                <w:rFonts w:ascii="Times New Roman" w:hAnsi="Times New Roman" w:cs="Times New Roman"/>
                <w:sz w:val="24"/>
                <w:szCs w:val="24"/>
              </w:rPr>
              <w:t xml:space="preserve"> </w:t>
            </w:r>
            <w:r w:rsidRPr="005F08E3">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10.1111/jpm.12670","ISSN":"1351-0126","author":[{"dropping-particle":"","family":"Richardson","given":"Candice","non-dropping-particle":"","parse-names":false,"suffix":""},{"dropping-particle":"","family":"Paslakis","given":"Georgios","non-dropping-particle":"","parse-names":false,"suffix":""}],"container-title":"Journal of Psychiatric and Mental Health Nursing","id":"ITEM-1","issue":"2","issued":{"date-parts":[["2021","4","23"]]},"page":"237-250","title":"Men’s experiences of eating disorder treatment: A qualitative systematic review of men‐only studies","type":"article-journal","volume":"28"},"uris":["http://www.mendeley.com/documents/?uuid=f14f15fe-b331-41a3-851b-cc8ed07a123b"]}],"mendeley":{"formattedCitation":"(Richardson &amp; Paslakis, 2021)","plainTextFormattedCitation":"(Richardson &amp; Paslakis, 2021)","previouslyFormattedCitation":"(Richardson &amp; Paslakis, 2021)"},"properties":{"noteIndex":0},"schema":"https://github.com/citation-style-language/schema/raw/master/csl-citation.json"}</w:instrText>
            </w:r>
            <w:r w:rsidRPr="005F08E3">
              <w:rPr>
                <w:rFonts w:ascii="Times New Roman" w:hAnsi="Times New Roman" w:cs="Times New Roman"/>
                <w:sz w:val="24"/>
                <w:szCs w:val="24"/>
              </w:rPr>
              <w:fldChar w:fldCharType="separate"/>
            </w:r>
            <w:r w:rsidRPr="00A12671">
              <w:rPr>
                <w:rFonts w:ascii="Times New Roman" w:hAnsi="Times New Roman" w:cs="Times New Roman"/>
                <w:noProof/>
                <w:sz w:val="24"/>
                <w:szCs w:val="24"/>
              </w:rPr>
              <w:t>(Richardson &amp; Paslakis, 2021)</w:t>
            </w:r>
            <w:r w:rsidRPr="005F08E3">
              <w:rPr>
                <w:rFonts w:ascii="Times New Roman" w:hAnsi="Times New Roman" w:cs="Times New Roman"/>
                <w:sz w:val="24"/>
                <w:szCs w:val="24"/>
              </w:rPr>
              <w:fldChar w:fldCharType="end"/>
            </w:r>
            <w:r w:rsidRPr="005F08E3">
              <w:rPr>
                <w:rFonts w:ascii="Times New Roman" w:hAnsi="Times New Roman" w:cs="Times New Roman"/>
                <w:sz w:val="24"/>
                <w:szCs w:val="24"/>
              </w:rPr>
              <w:t xml:space="preserve"> </w:t>
            </w:r>
            <w:r w:rsidRPr="005F08E3">
              <w:rPr>
                <w:rFonts w:ascii="Times New Roman" w:hAnsi="Times New Roman" w:cs="Times New Roman"/>
                <w:sz w:val="24"/>
                <w:szCs w:val="24"/>
              </w:rPr>
              <w:fldChar w:fldCharType="begin" w:fldLock="1"/>
            </w:r>
            <w:r>
              <w:rPr>
                <w:rFonts w:ascii="Times New Roman" w:hAnsi="Times New Roman" w:cs="Times New Roman"/>
                <w:sz w:val="24"/>
                <w:szCs w:val="24"/>
                <w:lang w:val="en-US"/>
              </w:rPr>
              <w:instrText>ADDIN CSL_CITATION {"citationItems":[{"id":"ITEM-1","itemData":{"DOI":"10.1146/annurev-clinpsy-080921-074125","ISSN":"1548-5943","abstract":"While boys and men have historically been underrepresented in eating disorder research, increasing interest and research during the twenty-first century have contributed important knowledge to the field. In this article, we review the epidemiology of eating disorders and muscle dysmorphia (the pathological pursuit of muscularity) in boys and men; specific groups of men at increased risk for eating disorders; sociocultural, psychological, and biological vulnerability factors; and male-specific assessment measures. We also provide an overview of current research on eating disorder and muscle dysmorphia prevention efforts, treatment outcomes, and mortality risk in samples of boys and men. Priorities for future research are including boys and men in epidemiological studies to track changes in incidence, identifying (neuro)biological factors contributing to risk, eliminating barriers to treatment access and utilization, and refining male-specific prevention and treatment efforts.","author":[{"dropping-particle":"","family":"Brown","given":"Tiffany A.","non-dropping-particle":"","parse-names":false,"suffix":""},{"dropping-particle":"","family":"Keel","given":"Pamela K.","non-dropping-particle":"","parse-names":false,"suffix":""}],"container-title":"Annual Review of Clinical Psychology","id":"ITEM-1","issue":"1","issued":{"date-parts":[["2023","5","9"]]},"page":"177-205","title":"Eating Disorders in Boys and Men","type":"article-journal","volume":"19"},"uris":["http://www.mendeley.com/documents/?uuid=9bbb71ae-a3f8-4102-83b6-6d57600326a5"]}],"mendeley":{"formattedCitation":"(Brown &amp; Keel, 2023)","plainTextFormattedCitation":"(Brown &amp; Keel, 2023)","previouslyFormattedCitation":"(Brown &amp; Keel, 2023)"},"properties":{"noteIndex":0},"schema":"https://github.com/citation-style-language/schema/raw/master/csl-citation.json"}</w:instrText>
            </w:r>
            <w:r w:rsidRPr="005F08E3">
              <w:rPr>
                <w:rFonts w:ascii="Times New Roman" w:hAnsi="Times New Roman" w:cs="Times New Roman"/>
                <w:sz w:val="24"/>
                <w:szCs w:val="24"/>
              </w:rPr>
              <w:fldChar w:fldCharType="separate"/>
            </w:r>
            <w:r w:rsidRPr="0011259E">
              <w:rPr>
                <w:rFonts w:ascii="Times New Roman" w:hAnsi="Times New Roman" w:cs="Times New Roman"/>
                <w:noProof/>
                <w:sz w:val="24"/>
                <w:szCs w:val="24"/>
                <w:lang w:val="en-US"/>
              </w:rPr>
              <w:t xml:space="preserve">(Brown &amp; Keel, </w:t>
            </w:r>
            <w:r w:rsidRPr="00A12671">
              <w:rPr>
                <w:rFonts w:ascii="Times New Roman" w:hAnsi="Times New Roman" w:cs="Times New Roman"/>
                <w:noProof/>
                <w:sz w:val="24"/>
                <w:szCs w:val="24"/>
              </w:rPr>
              <w:t>2023)</w:t>
            </w:r>
            <w:r w:rsidRPr="005F08E3">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{"citationItems":[{"id":"ITEM-1","itemData":{"author":[{"dropping-particle":"","family":"Upchurch","given":"Alyssa","non-dropping-particle":"","parse-names":false,"suffix":""}],"id":"ITEM-1","issued":{"date-parts":[["2024"]]},"publisher":"Adler University","title":"Muscularity oriented disordered eating and exercise in adult male exercisers: A quantitative analysis","type":"thesis"},"uris":["http://www.mendeley.com/documents/?uuid=fdc8206f-a135-49cf-8141-2ab9889d3e1b"]}],"mendeley":{"formattedCitation":"(Upchurch, 2024)","plainTextFormattedCitation":"(Upchurch, 2024)","previouslyFormattedCitation":"(Upchurch, 2024)"},"properties":{"noteIndex":0},"schema":"https://github.com/citation-style-language/schema/raw/master/csl-citation.json"}</w:instrText>
            </w:r>
            <w:r>
              <w:rPr>
                <w:rFonts w:ascii="Times New Roman" w:hAnsi="Times New Roman" w:cs="Times New Roman"/>
                <w:sz w:val="24"/>
                <w:szCs w:val="24"/>
              </w:rPr>
              <w:fldChar w:fldCharType="separate"/>
            </w:r>
            <w:r w:rsidRPr="002D62E2">
              <w:rPr>
                <w:rFonts w:ascii="Times New Roman" w:hAnsi="Times New Roman" w:cs="Times New Roman"/>
                <w:noProof/>
                <w:sz w:val="24"/>
                <w:szCs w:val="24"/>
              </w:rPr>
              <w:t>(Upchurch, 2024)</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{"citationItems":[{"id":"ITEM-1","itemData":{"DOI":"10.1186/s40337-025-01395-8","ISSN":"2050-2974","abstract":"Eating disorders are primarily associated with women and an obsession with thinness. Recent research and social media content show that men are also concerned about their body image, striving for a muscular and athletic physique. To investigate eating disorder tendencies among male content creators with a mesomorphic body type ( N = 26), a social media analysis was conducted on Instagram and TikTok over four weeks. Published content and profiles were screened using ICD-11 diagnostic criteria for anorexia nervosa, which were then adapted to take account of gender differences. A total of 2,985 posts were recorded, of which 69% were classified as relevant to diet, exercise and body content. Six content creators (23%) met the ICD-11 diagnostic criteria for anorexia nervosa, wh</w:instrText>
            </w:r>
            <w:r w:rsidRPr="00732B6C">
              <w:rPr>
                <w:rFonts w:ascii="Times New Roman" w:hAnsi="Times New Roman" w:cs="Times New Roman"/>
                <w:sz w:val="24"/>
                <w:szCs w:val="24"/>
                <w:lang w:val="en-US"/>
              </w:rPr>
              <w:instrText>ile gender-specific adaptations identified 15 individuals (58%) with tendencies toward an eating disorder. The profile analysis shows that gender-specific adaptation of the diagnostic criteria with regard to the pursuit of muscularity can facilitate the additional recognition of eating disorder-related behaviours in males. Male children and adolescents should be educated at an early stage to avoid critical behaviour patterns and the internalisation of utopian beauty ideals.","author":[{"dropping-particle":"","family":"Schmitt","given":"Alina","non-dropping-particle":"","parse-names":false,"suffix":""},{"dropping-particle":"","family":"Frenser","given":"Marius","non-dropping-particle":"","parse-names":false,"suffix":""},{"dropping-particle":"","family":"Fischer","given":"Tobias","non-dropping-particle":"","parse-names":false,"suffix":""}],"container-title":"Journal of Eating Disorders","id":"ITEM-1","issue":"1","issued":{"date-parts":[["2025","9","9"]]},"page":"201","title":"Tendencies of eating disordered behaviours in male content creators: a social media analysis","type":"article-journal","volume":"13"},"uris":["http://www.mendeley.com/documents/?uuid=a2efd24c-9565-4df6-ab57-dcab38eea432"]}],"mendeley":{"formattedCitation":"(Schmitt et al., 2025)","plainTextFormattedCitation":"(Schmitt et al., 2025)","previouslyFormattedCitation":"(Schmitt et al., 2025)"},"properties":{"noteIndex":0},"schema":"https://github.com/citation-style-language/schema/raw/master/csl-citation.json"}</w:instrText>
            </w:r>
            <w:r>
              <w:rPr>
                <w:rFonts w:ascii="Times New Roman" w:hAnsi="Times New Roman" w:cs="Times New Roman"/>
                <w:sz w:val="24"/>
                <w:szCs w:val="24"/>
              </w:rPr>
              <w:fldChar w:fldCharType="separate"/>
            </w:r>
            <w:r w:rsidRPr="00732B6C">
              <w:rPr>
                <w:rFonts w:ascii="Times New Roman" w:hAnsi="Times New Roman" w:cs="Times New Roman"/>
                <w:noProof/>
                <w:sz w:val="24"/>
                <w:szCs w:val="24"/>
                <w:lang w:val="en-US"/>
              </w:rPr>
              <w:t>(Schmitt et al., 2025)</w:t>
            </w:r>
            <w:r>
              <w:rPr>
                <w:rFonts w:ascii="Times New Roman" w:hAnsi="Times New Roman" w:cs="Times New Roman"/>
                <w:sz w:val="24"/>
                <w:szCs w:val="24"/>
              </w:rPr>
              <w:fldChar w:fldCharType="end"/>
            </w:r>
          </w:p>
        </w:tc>
        <w:tc>
          <w:tcPr>
            <w:tcW w:w="4394" w:type="dxa"/>
          </w:tcPr>
          <w:p w14:paraId="2C405A60" w14:textId="77777777" w:rsidR="00927887" w:rsidRPr="00B56785" w:rsidRDefault="00927887" w:rsidP="00CA2852">
            <w:pPr>
              <w:jc w:val="center"/>
              <w:rPr>
                <w:rFonts w:ascii="Times New Roman" w:hAnsi="Times New Roman" w:cs="Times New Roman"/>
                <w:sz w:val="24"/>
                <w:szCs w:val="24"/>
                <w:lang w:val="en-US"/>
              </w:rPr>
            </w:pPr>
            <w:r w:rsidRPr="0011259E">
              <w:rPr>
                <w:lang w:val="en-US"/>
              </w:rPr>
              <w:t xml:space="preserve"> </w:t>
            </w:r>
            <w:r w:rsidRPr="00B56785">
              <w:rPr>
                <w:rFonts w:ascii="Times New Roman" w:hAnsi="Times New Roman" w:cs="Times New Roman"/>
                <w:sz w:val="24"/>
                <w:szCs w:val="24"/>
                <w:lang w:val="en-US"/>
              </w:rPr>
              <w:t>Fat loss combined with muscle gain</w:t>
            </w:r>
          </w:p>
        </w:tc>
        <w:tc>
          <w:tcPr>
            <w:tcW w:w="4820" w:type="dxa"/>
          </w:tcPr>
          <w:p w14:paraId="3BD7D05E" w14:textId="77777777" w:rsidR="00927887" w:rsidRPr="00D41512" w:rsidRDefault="00927887" w:rsidP="00CA2852">
            <w:pPr>
              <w:jc w:val="center"/>
              <w:rPr>
                <w:rFonts w:ascii="Times New Roman" w:hAnsi="Times New Roman" w:cs="Times New Roman"/>
                <w:sz w:val="24"/>
                <w:szCs w:val="24"/>
                <w:lang w:val="en-US"/>
              </w:rPr>
            </w:pPr>
            <w:r w:rsidRPr="00B56785">
              <w:rPr>
                <w:rFonts w:ascii="Times New Roman" w:hAnsi="Times New Roman" w:cs="Times New Roman"/>
                <w:sz w:val="24"/>
                <w:szCs w:val="24"/>
                <w:lang w:val="en-US"/>
              </w:rPr>
              <w:t>Global weight reduction and size decrease</w:t>
            </w:r>
          </w:p>
        </w:tc>
      </w:tr>
      <w:tr w:rsidR="00927887" w:rsidRPr="00EF70EC" w14:paraId="052F5F30" w14:textId="77777777" w:rsidTr="00CA2852">
        <w:tc>
          <w:tcPr>
            <w:tcW w:w="4673" w:type="dxa"/>
          </w:tcPr>
          <w:p w14:paraId="75BF8FD6" w14:textId="77777777" w:rsidR="00927887" w:rsidRPr="00270A19" w:rsidRDefault="00927887" w:rsidP="00CA2852">
            <w:pPr>
              <w:jc w:val="center"/>
              <w:rPr>
                <w:rFonts w:ascii="Times New Roman" w:hAnsi="Times New Roman" w:cs="Times New Roman"/>
                <w:sz w:val="24"/>
                <w:szCs w:val="24"/>
                <w:lang w:val="en-US"/>
              </w:rPr>
            </w:pPr>
            <w:r w:rsidRPr="00CB2A41">
              <w:rPr>
                <w:rFonts w:ascii="Times New Roman" w:hAnsi="Times New Roman" w:cs="Times New Roman"/>
                <w:b/>
                <w:sz w:val="24"/>
                <w:szCs w:val="24"/>
                <w:lang w:val="en-US"/>
              </w:rPr>
              <w:t xml:space="preserve">Warning Signs (Early) </w:t>
            </w:r>
            <w:r>
              <w:rPr>
                <w:rFonts w:ascii="Times New Roman" w:hAnsi="Times New Roman" w:cs="Times New Roman"/>
                <w:sz w:val="24"/>
                <w:szCs w:val="24"/>
              </w:rPr>
              <w:fldChar w:fldCharType="begin" w:fldLock="1"/>
            </w:r>
            <w:r>
              <w:rPr>
                <w:rFonts w:ascii="Times New Roman" w:hAnsi="Times New Roman" w:cs="Times New Roman"/>
                <w:sz w:val="24"/>
                <w:szCs w:val="24"/>
                <w:lang w:val="en-US"/>
              </w:rPr>
              <w:instrText>ADDIN CSL_CITATION {"citationItems":[{"id":"ITEM-1","itemData":{"DOI":"10.1097/MOP.0000000000000911","ISSN":"1040-8703","author":[{"dropping-particle":"","family":"Nagata","given":"Jason M.","non-dropping-particle":"","parse-names":false,"suffix":""},{"dropping-particle":"","family":"Ganson","given":"Kyle T.","non-dropping-particle":"","parse-names":false,"suffix":""},{"dropping-particle":"","family":"Murray","given":"Stuart B.","non-dropping-particle":"","parse-names":false,"suffix":""}],"container-title":"Current Opinion in Pediatrics","id":"ITEM-1","issue":"4","issued":{"date-parts":[["2020","8"]]},"page":"476-481","title":"Eating disorders in adolescent boys and young men: an update","type":"article-journal","volume":"32"},"uris":["http://www.mendeley.com/documents/?uuid=f328d626-d059-49c7-b05a-b8a3dd24ba69"]}],"mendeley":{"formattedCitation":"(Nagata et al., 2020)","plainTextFormattedCitation":"(Nagata et al., 2020)","previouslyFormattedCitation":"(Nagata et al., 2020)"},"properties":{"noteIndex":0},"schema":"https://github.com/citation-style-language/schema/raw/master/csl-citation.json"}</w:instrText>
            </w:r>
            <w:r>
              <w:rPr>
                <w:rFonts w:ascii="Times New Roman" w:hAnsi="Times New Roman" w:cs="Times New Roman"/>
                <w:sz w:val="24"/>
                <w:szCs w:val="24"/>
              </w:rPr>
              <w:fldChar w:fldCharType="separate"/>
            </w:r>
            <w:r w:rsidRPr="00270A19">
              <w:rPr>
                <w:rFonts w:ascii="Times New Roman" w:hAnsi="Times New Roman" w:cs="Times New Roman"/>
                <w:noProof/>
                <w:sz w:val="24"/>
                <w:szCs w:val="24"/>
                <w:lang w:val="en-US"/>
              </w:rPr>
              <w:t>(Nagata et al., 2020)</w:t>
            </w:r>
            <w:r>
              <w:rPr>
                <w:rFonts w:ascii="Times New Roman" w:hAnsi="Times New Roman" w:cs="Times New Roman"/>
                <w:sz w:val="24"/>
                <w:szCs w:val="24"/>
              </w:rPr>
              <w:fldChar w:fldCharType="end"/>
            </w:r>
          </w:p>
        </w:tc>
        <w:tc>
          <w:tcPr>
            <w:tcW w:w="4394" w:type="dxa"/>
          </w:tcPr>
          <w:p w14:paraId="50FDFB0E" w14:textId="77777777" w:rsidR="00927887" w:rsidRPr="0011259E" w:rsidRDefault="00927887" w:rsidP="00CA2852">
            <w:pPr>
              <w:jc w:val="center"/>
              <w:rPr>
                <w:rFonts w:ascii="Times New Roman" w:hAnsi="Times New Roman" w:cs="Times New Roman"/>
                <w:sz w:val="24"/>
                <w:szCs w:val="24"/>
                <w:lang w:val="en-US"/>
              </w:rPr>
            </w:pPr>
            <w:r w:rsidRPr="00B56785">
              <w:rPr>
                <w:rFonts w:ascii="Times New Roman" w:hAnsi="Times New Roman" w:cs="Times New Roman"/>
                <w:sz w:val="24"/>
                <w:szCs w:val="24"/>
                <w:lang w:val="en-US"/>
              </w:rPr>
              <w:t>Compulsive exercise and use of performance-enhancing supplements</w:t>
            </w:r>
          </w:p>
        </w:tc>
        <w:tc>
          <w:tcPr>
            <w:tcW w:w="4820" w:type="dxa"/>
          </w:tcPr>
          <w:p w14:paraId="3A951ABC" w14:textId="77777777" w:rsidR="00927887" w:rsidRPr="00B56785" w:rsidRDefault="00927887" w:rsidP="00CA2852">
            <w:pPr>
              <w:jc w:val="center"/>
              <w:rPr>
                <w:rFonts w:ascii="Times New Roman" w:hAnsi="Times New Roman" w:cs="Times New Roman"/>
                <w:sz w:val="24"/>
                <w:szCs w:val="24"/>
                <w:lang w:val="en-US"/>
              </w:rPr>
            </w:pPr>
            <w:r w:rsidRPr="00B56785">
              <w:rPr>
                <w:rFonts w:ascii="Times New Roman" w:hAnsi="Times New Roman" w:cs="Times New Roman"/>
                <w:sz w:val="24"/>
                <w:szCs w:val="24"/>
                <w:lang w:val="en-US"/>
              </w:rPr>
              <w:t>Caloric restriction and avoidance of specific food groups</w:t>
            </w:r>
          </w:p>
        </w:tc>
      </w:tr>
      <w:tr w:rsidR="00927887" w:rsidRPr="00EF70EC" w14:paraId="34135266" w14:textId="77777777" w:rsidTr="00CA2852">
        <w:tc>
          <w:tcPr>
            <w:tcW w:w="4673" w:type="dxa"/>
          </w:tcPr>
          <w:p w14:paraId="05637375" w14:textId="77777777" w:rsidR="00927887" w:rsidRPr="00805025" w:rsidRDefault="00927887" w:rsidP="00CA2852">
            <w:pPr>
              <w:jc w:val="center"/>
              <w:rPr>
                <w:rFonts w:ascii="Times New Roman" w:hAnsi="Times New Roman" w:cs="Times New Roman"/>
                <w:sz w:val="24"/>
                <w:szCs w:val="24"/>
                <w:lang w:val="en-US"/>
              </w:rPr>
            </w:pPr>
            <w:r w:rsidRPr="00805025">
              <w:rPr>
                <w:rFonts w:ascii="Times New Roman" w:hAnsi="Times New Roman" w:cs="Times New Roman"/>
                <w:b/>
                <w:sz w:val="24"/>
                <w:szCs w:val="24"/>
                <w:lang w:val="en-US"/>
              </w:rPr>
              <w:t>Compensatory Behaviors</w:t>
            </w:r>
            <w:r w:rsidRPr="00805025">
              <w:rPr>
                <w:rFonts w:ascii="Times New Roman" w:hAnsi="Times New Roman" w:cs="Times New Roman"/>
                <w:sz w:val="24"/>
                <w:szCs w:val="24"/>
                <w:lang w:val="en-US"/>
              </w:rPr>
              <w:t xml:space="preserve"> </w:t>
            </w:r>
            <w:r>
              <w:rPr>
                <w:rFonts w:ascii="Times New Roman" w:hAnsi="Times New Roman" w:cs="Times New Roman"/>
                <w:sz w:val="24"/>
                <w:szCs w:val="24"/>
              </w:rPr>
              <w:fldChar w:fldCharType="begin" w:fldLock="1"/>
            </w:r>
            <w:r w:rsidRPr="00805025">
              <w:rPr>
                <w:rFonts w:ascii="Times New Roman" w:hAnsi="Times New Roman" w:cs="Times New Roman"/>
                <w:sz w:val="24"/>
                <w:szCs w:val="24"/>
                <w:lang w:val="en-US"/>
              </w:rPr>
              <w:instrText>ADDIN CSL_CITATION {"citationItems":[{"id":"ITEM-1","itemData":{"DOI":"10.1186/s40337-024-01109-6","ISSN":"2050-2974","abstract":"A lean muscular body of low weight is often associated with performance for cyclists and can be difficult to achieve. Disordered eating for some cyclists may develop in the pursuit of lean muscularity which is perceived to be beneficial to performance. Further, emotion dysregulation may exacerbate negative feelings about body image, increasing the risk of developing disordered eating as a means of controlling weight and shape. While research in athlete populations has been substantial, disordered eating in cyclists is relatively under-explored. The current study examined whether shape and weight concern and drive for leanness were associated with muscularity-oriented disordered eating and whether these relationships were moderated by emotion dysregulation. Interactions between these factors were also investigated. Participants were 139 Australian competitive cyclists (112 males, 27 females, aged 18–68 years) who completed a self-report questionnaire comprised of measures of shape and weight concern, drive for leanness, muscularity-oriented eating and emotion dysregulation variables. Both shape and weight concern and drive for leanness had a unique association with muscularity-oriented disordered eating. Emotion dysregulation was found to have a unique association with muscularity-oriented disordered eating when controlling for drive for leanness, but not when shape and weight concern was controlled. Additionally, emotion dysregulation moderated the association between shape and weight concern and muscularity-oriented disordered eating, whereby the relationship was intensified at higher levels of emotion dysregulation. Our study has extended the literature by indicating that cyclists’ desire to attain a lean body is associated with muscularity-oriented disordered eating. Further, emotion dysregulation moderated this link, suggesting it could be a maintaining factor worth addressing.","author":[{"dropping-particle":"","family":"Mazaraki","given":"Jack","non-dropping-particle":"","parse-names":false,"suffix":""},{"dropping-particle":"","family":"Bussey","given":"Kay","non-dropping-particle":"","parse-names":false,"suffix":""},{"dropping-particle":"","family":"Cunningham","given":"Mitchell","non-dropping-particle":"","parse-names":false,"suffix":""},{"dropping-particle":"","family":"Jewell","given":"Tom","non-dropping-particle":"","parse-names":false,"suffix":""},{"dropping-particle":"","family":"Trompeter","given":"Nora","non-dropping-particle":"","parse-names":false,"suffix":""}],"container-title":"Journal of Eating Disorders","id":"ITEM-1","issue":"1","issued":{"date-parts":[["2024","11","21"]]},"page":"189","title":"Muscularity-oriented disordered eating: investigating body image concerns and the moderating role of emotion dysregulation in cyclists","type":"article-journal","volume":"12"},"uris":["http://www.mendeley.com/documents/?uuid=48ce1a87-43c8-4a93-8f3c-9674f276f36d"]}],"mendeley":{"formattedCitation":"(Mazaraki et al., 2024)","plainTextFormattedCitation":"(Mazaraki et al., 2024)","previouslyFormattedCitation":"(Mazaraki et al., 2024)"},"properties":{"noteIndex":0},"schema":"https://github.com/citation-style-language/schema/raw/master/csl-citation.json"}</w:instrText>
            </w:r>
            <w:r>
              <w:rPr>
                <w:rFonts w:ascii="Times New Roman" w:hAnsi="Times New Roman" w:cs="Times New Roman"/>
                <w:sz w:val="24"/>
                <w:szCs w:val="24"/>
              </w:rPr>
              <w:fldChar w:fldCharType="separate"/>
            </w:r>
            <w:r w:rsidRPr="00805025">
              <w:rPr>
                <w:rFonts w:ascii="Times New Roman" w:hAnsi="Times New Roman" w:cs="Times New Roman"/>
                <w:noProof/>
                <w:sz w:val="24"/>
                <w:szCs w:val="24"/>
                <w:lang w:val="en-US"/>
              </w:rPr>
              <w:t>(Mazaraki et al., 2024)</w:t>
            </w:r>
            <w:r>
              <w:rPr>
                <w:rFonts w:ascii="Times New Roman" w:hAnsi="Times New Roman" w:cs="Times New Roman"/>
                <w:sz w:val="24"/>
                <w:szCs w:val="24"/>
              </w:rPr>
              <w:fldChar w:fldCharType="end"/>
            </w:r>
          </w:p>
        </w:tc>
        <w:tc>
          <w:tcPr>
            <w:tcW w:w="4394" w:type="dxa"/>
          </w:tcPr>
          <w:p w14:paraId="5350F9C3" w14:textId="77777777" w:rsidR="00927887" w:rsidRPr="0011259E" w:rsidRDefault="00927887" w:rsidP="00CA2852">
            <w:pPr>
              <w:jc w:val="center"/>
              <w:rPr>
                <w:rFonts w:ascii="Times New Roman" w:hAnsi="Times New Roman" w:cs="Times New Roman"/>
                <w:sz w:val="24"/>
                <w:szCs w:val="24"/>
                <w:lang w:val="en-US"/>
              </w:rPr>
            </w:pPr>
            <w:r w:rsidRPr="00B56785">
              <w:rPr>
                <w:rFonts w:ascii="Times New Roman" w:hAnsi="Times New Roman" w:cs="Times New Roman"/>
                <w:sz w:val="24"/>
                <w:szCs w:val="24"/>
                <w:lang w:val="en-US"/>
              </w:rPr>
              <w:t>Excessive/Rigid physical activity; less frequent purging</w:t>
            </w:r>
          </w:p>
        </w:tc>
        <w:tc>
          <w:tcPr>
            <w:tcW w:w="4820" w:type="dxa"/>
          </w:tcPr>
          <w:p w14:paraId="648A98C3" w14:textId="77777777" w:rsidR="00927887" w:rsidRPr="00B56785" w:rsidRDefault="00927887" w:rsidP="00CA2852">
            <w:pPr>
              <w:jc w:val="center"/>
              <w:rPr>
                <w:rFonts w:ascii="Times New Roman" w:hAnsi="Times New Roman" w:cs="Times New Roman"/>
                <w:sz w:val="24"/>
                <w:szCs w:val="24"/>
                <w:lang w:val="en-US"/>
              </w:rPr>
            </w:pPr>
            <w:r w:rsidRPr="00B56785">
              <w:rPr>
                <w:rFonts w:ascii="Times New Roman" w:hAnsi="Times New Roman" w:cs="Times New Roman"/>
                <w:sz w:val="24"/>
                <w:szCs w:val="24"/>
                <w:lang w:val="en-US"/>
              </w:rPr>
              <w:t>Self-induced vomiting, laxative, or diuretic misuse</w:t>
            </w:r>
          </w:p>
        </w:tc>
      </w:tr>
      <w:tr w:rsidR="00927887" w:rsidRPr="00EF70EC" w14:paraId="0E96EFD6" w14:textId="77777777" w:rsidTr="00CA2852">
        <w:tc>
          <w:tcPr>
            <w:tcW w:w="4673" w:type="dxa"/>
          </w:tcPr>
          <w:p w14:paraId="644CD98F" w14:textId="77777777" w:rsidR="00927887" w:rsidRPr="0011259E" w:rsidRDefault="00927887" w:rsidP="00CA2852">
            <w:pPr>
              <w:jc w:val="center"/>
              <w:rPr>
                <w:rFonts w:ascii="Times New Roman" w:hAnsi="Times New Roman" w:cs="Times New Roman"/>
                <w:sz w:val="24"/>
                <w:szCs w:val="24"/>
                <w:lang w:val="en-US"/>
              </w:rPr>
            </w:pPr>
            <w:r w:rsidRPr="00CB2A41">
              <w:rPr>
                <w:rFonts w:ascii="Times New Roman" w:hAnsi="Times New Roman" w:cs="Times New Roman"/>
                <w:b/>
                <w:sz w:val="24"/>
                <w:szCs w:val="24"/>
                <w:lang w:val="en-US"/>
              </w:rPr>
              <w:t>Consistent physiological marker of clinical severity</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{"citationItems":[{"id":"ITEM-1","itemData":{"DOI":"10.4158/EP15945.CR","ISSN":"23760605","author":[{"dropping-particle":"","family":"Skolnick","given":"Aren","non-dropping-particle":"","parse-names":false,"suffix":""},{"dropping-particle":"","family":"Schulman","given":"Rifka C.","non-dropping-particle":"","parse-names":false,"suffix":""},{"dropping-particle":"","family":"Galindo","given":"Rodolfo J.","non-dropping-particle":"","parse-names":false,"suffix":""},{"dropping-particle":"","family":"Mechanick","given":"Jeffrey I.","non-dropping-particle":"","parse-names":false,"suffix":""}],"container-title":"AACE Clinical Case Reports","id":"ITEM-1","issue":"4","issued":{"date-parts":[["2016"]]},"page":"e351-e357","title":"The Endocrinopathies of Male Anorexia Nervosa: Case Series","type":"article-journal","volume":"2"},"uris":["http://www.mendeley.com/documents/?uuid=3a326e5e-1222-47d2-9ea4-f800085d37ee"]}],"mendeley":{"formattedCitation":"(Skolnick et al., 2016)","plainTextFormattedCitation":"(Skolnick et al., 2016)","previouslyFormattedCitation":"(Skolnick et al., 2016)"},"properties":{"noteIndex":0},"schema":"https://github.com/citation-style-language/schema/raw/master/csl-citation.json"}</w:instrText>
            </w:r>
            <w:r>
              <w:rPr>
                <w:rFonts w:ascii="Times New Roman" w:hAnsi="Times New Roman" w:cs="Times New Roman"/>
                <w:sz w:val="24"/>
                <w:szCs w:val="24"/>
                <w:lang w:val="en-US"/>
              </w:rPr>
              <w:fldChar w:fldCharType="separate"/>
            </w:r>
            <w:r w:rsidRPr="00C828E0">
              <w:rPr>
                <w:rFonts w:ascii="Times New Roman" w:hAnsi="Times New Roman" w:cs="Times New Roman"/>
                <w:noProof/>
                <w:sz w:val="24"/>
                <w:szCs w:val="24"/>
                <w:lang w:val="en-US"/>
              </w:rPr>
              <w:t>(Skolnick et al., 2016)</w:t>
            </w:r>
            <w:r>
              <w:rPr>
                <w:rFonts w:ascii="Times New Roman" w:hAnsi="Times New Roman" w:cs="Times New Roman"/>
                <w:sz w:val="24"/>
                <w:szCs w:val="24"/>
                <w:lang w:val="en-US"/>
              </w:rPr>
              <w:fldChar w:fldCharType="end"/>
            </w:r>
          </w:p>
        </w:tc>
        <w:tc>
          <w:tcPr>
            <w:tcW w:w="4394" w:type="dxa"/>
          </w:tcPr>
          <w:p w14:paraId="7343403A" w14:textId="77777777" w:rsidR="00927887" w:rsidRPr="0011259E" w:rsidRDefault="00927887" w:rsidP="00CA2852">
            <w:pPr>
              <w:jc w:val="center"/>
              <w:rPr>
                <w:rFonts w:ascii="Times New Roman" w:hAnsi="Times New Roman" w:cs="Times New Roman"/>
                <w:sz w:val="24"/>
                <w:szCs w:val="24"/>
                <w:lang w:val="en-US"/>
              </w:rPr>
            </w:pPr>
            <w:r w:rsidRPr="00F96BCA">
              <w:rPr>
                <w:rFonts w:ascii="Times New Roman" w:hAnsi="Times New Roman" w:cs="Times New Roman"/>
                <w:sz w:val="24"/>
                <w:szCs w:val="24"/>
                <w:lang w:val="en-US"/>
              </w:rPr>
              <w:t>Hypogonadism</w:t>
            </w:r>
            <w:r>
              <w:rPr>
                <w:rFonts w:ascii="Times New Roman" w:hAnsi="Times New Roman" w:cs="Times New Roman"/>
                <w:sz w:val="24"/>
                <w:szCs w:val="24"/>
                <w:lang w:val="en-US"/>
              </w:rPr>
              <w:t>: e</w:t>
            </w:r>
            <w:r w:rsidRPr="004667C6">
              <w:rPr>
                <w:rFonts w:ascii="Times New Roman" w:hAnsi="Times New Roman" w:cs="Times New Roman"/>
                <w:sz w:val="24"/>
                <w:szCs w:val="24"/>
                <w:lang w:val="en-US"/>
              </w:rPr>
              <w:t>rectile dysfunction (adults) / Lack of morning erections (adolescents)</w:t>
            </w:r>
          </w:p>
        </w:tc>
        <w:tc>
          <w:tcPr>
            <w:tcW w:w="4820" w:type="dxa"/>
          </w:tcPr>
          <w:p w14:paraId="7603E5E1" w14:textId="77777777" w:rsidR="00927887" w:rsidRPr="005F08E3" w:rsidRDefault="00927887" w:rsidP="00CA2852">
            <w:pPr>
              <w:jc w:val="center"/>
              <w:rPr>
                <w:rFonts w:ascii="Times New Roman" w:hAnsi="Times New Roman" w:cs="Times New Roman"/>
                <w:sz w:val="24"/>
                <w:szCs w:val="24"/>
                <w:lang w:val="en-US"/>
              </w:rPr>
            </w:pPr>
            <w:r>
              <w:rPr>
                <w:rFonts w:ascii="Times New Roman" w:hAnsi="Times New Roman" w:cs="Times New Roman"/>
                <w:sz w:val="24"/>
                <w:szCs w:val="24"/>
                <w:lang w:val="en-US"/>
              </w:rPr>
              <w:t>A</w:t>
            </w:r>
            <w:r w:rsidRPr="009238A6">
              <w:rPr>
                <w:rFonts w:ascii="Times New Roman" w:hAnsi="Times New Roman" w:cs="Times New Roman"/>
                <w:sz w:val="24"/>
                <w:szCs w:val="24"/>
                <w:lang w:val="en-US"/>
              </w:rPr>
              <w:t>menorrhea</w:t>
            </w:r>
            <w:r>
              <w:rPr>
                <w:rFonts w:ascii="Times New Roman" w:hAnsi="Times New Roman" w:cs="Times New Roman"/>
                <w:sz w:val="24"/>
                <w:szCs w:val="24"/>
                <w:lang w:val="en-US"/>
              </w:rPr>
              <w:t xml:space="preserve"> (primary or secondary): </w:t>
            </w:r>
            <w:proofErr w:type="spellStart"/>
            <w:r>
              <w:rPr>
                <w:rFonts w:ascii="Times New Roman" w:hAnsi="Times New Roman" w:cs="Times New Roman"/>
                <w:sz w:val="24"/>
                <w:szCs w:val="24"/>
                <w:lang w:val="en-US"/>
              </w:rPr>
              <w:t>oss</w:t>
            </w:r>
            <w:proofErr w:type="spellEnd"/>
            <w:r>
              <w:rPr>
                <w:rFonts w:ascii="Times New Roman" w:hAnsi="Times New Roman" w:cs="Times New Roman"/>
                <w:sz w:val="24"/>
                <w:szCs w:val="24"/>
                <w:lang w:val="en-US"/>
              </w:rPr>
              <w:t xml:space="preserve"> of menstrual cycle for </w:t>
            </w:r>
            <w:r w:rsidRPr="00F96BCA">
              <w:rPr>
                <w:rFonts w:ascii="Times New Roman" w:hAnsi="Times New Roman" w:cs="Times New Roman"/>
                <w:sz w:val="24"/>
                <w:szCs w:val="24"/>
                <w:lang w:val="en-US"/>
              </w:rPr>
              <w:t>&gt;3 months</w:t>
            </w:r>
          </w:p>
        </w:tc>
      </w:tr>
      <w:tr w:rsidR="00927887" w:rsidRPr="00EF70EC" w14:paraId="54FB289A" w14:textId="77777777" w:rsidTr="00CA2852">
        <w:tc>
          <w:tcPr>
            <w:tcW w:w="4673" w:type="dxa"/>
          </w:tcPr>
          <w:p w14:paraId="4F7BAB66" w14:textId="77777777" w:rsidR="00927887" w:rsidRPr="002F56C2" w:rsidRDefault="00927887" w:rsidP="00CA2852">
            <w:pPr>
              <w:jc w:val="center"/>
              <w:rPr>
                <w:rFonts w:ascii="Times New Roman" w:hAnsi="Times New Roman" w:cs="Times New Roman"/>
                <w:b/>
                <w:sz w:val="24"/>
                <w:szCs w:val="24"/>
                <w:lang w:val="en-US"/>
              </w:rPr>
            </w:pPr>
            <w:r w:rsidRPr="002F56C2">
              <w:rPr>
                <w:rFonts w:ascii="Times New Roman" w:hAnsi="Times New Roman" w:cs="Times New Roman"/>
                <w:b/>
                <w:sz w:val="24"/>
                <w:szCs w:val="24"/>
                <w:lang w:val="en-US"/>
              </w:rPr>
              <w:t xml:space="preserve">Clinical Perception </w:t>
            </w:r>
            <w:r>
              <w:rPr>
                <w:rFonts w:ascii="Times New Roman" w:hAnsi="Times New Roman" w:cs="Times New Roman"/>
                <w:b/>
                <w:sz w:val="24"/>
                <w:szCs w:val="24"/>
              </w:rPr>
              <w:fldChar w:fldCharType="begin" w:fldLock="1"/>
            </w:r>
            <w:r>
              <w:rPr>
                <w:rFonts w:ascii="Times New Roman" w:hAnsi="Times New Roman" w:cs="Times New Roman"/>
                <w:b/>
                <w:sz w:val="24"/>
                <w:szCs w:val="24"/>
                <w:lang w:val="en-US"/>
              </w:rPr>
              <w:instrText>ADDIN CSL_CITATION {"citationItems":[{"id":"ITEM-1","itemData":{"DOI":"10.1186/s40337-025-01395-8","ISSN":"2050-2974","abstract":"Eating disorders are primarily associated with women and an obsession with thinness. Recent research and social media content show that men are also concerned about their body image, striving for a muscular and athletic physique. To investigate eating disorder tendencies among male content creators with a mesomorphic body type ( N = 26), a social media analysis was conducted on Instagram and TikTok over four weeks. Published content and profiles were screened using ICD-11 diagnostic criteria for anorexia nervosa, which were then adapted to take account of gender differences. A total of 2,985 posts were recorded, of which 69% were classified as relevant to diet, exercise and body content. Six content creators (23%) met the ICD-11 diagnostic criteria for anorexia nervosa, while gender-specific adaptations identified 15 individuals (58%) with tendencies toward an eating disorder. The profile analysis shows that gender-specific adaptation of the diagnostic criteria with regard to the pursuit of muscularity can facilitate the additional recognition of eating disorder-related behaviours in males. Male children and adolescents should be educated at an early stage to avoid critical behaviour patterns and the internalisation of utopian beauty ideals.","author":[{"dropping-particle":"","family":"Schmitt","given":"Alina","non-dropping-particle":"","parse-names":false,"suffix":""},{"dropping-particle":"","family":"Frenser","given":"Marius","non-dropping-particle":"","parse-names":false,"suffix":""},{"dropping-particle":"","family":"Fischer","given":"Tobias","non-dropping-particle":"","parse-names":false,"suffix":""}],"container-title":"Journal of Eating Disorders","id":"ITEM-1","issue":"1","issued":{"date-parts":[["2025","9","9"]]},"page":"201","title":"Tendencies of eating disordered behaviours in male content creators: a social media analysis","type":"article-journal","volume":"13"},"uris":["http://www.mendeley.com/documents/?uuid=a2efd24c-9565-4df6-ab57-dcab38eea432"]}],"mendeley":{"formattedCitation":"(Schmitt et al., 2025)","plainTextFormattedCitation":"(Schmitt et al., 2025)","previouslyFormattedCitation":"(Schmitt et al., 2025)"},"properties":{"noteIndex":0},"schema":"https://github.com/citation-style-language/schema/raw/master/csl-citation.json"}</w:instrText>
            </w:r>
            <w:r>
              <w:rPr>
                <w:rFonts w:ascii="Times New Roman" w:hAnsi="Times New Roman" w:cs="Times New Roman"/>
                <w:b/>
                <w:sz w:val="24"/>
                <w:szCs w:val="24"/>
              </w:rPr>
              <w:fldChar w:fldCharType="separate"/>
            </w:r>
            <w:r w:rsidRPr="002F56C2">
              <w:rPr>
                <w:rFonts w:ascii="Times New Roman" w:hAnsi="Times New Roman" w:cs="Times New Roman"/>
                <w:noProof/>
                <w:sz w:val="24"/>
                <w:szCs w:val="24"/>
                <w:lang w:val="en-US"/>
              </w:rPr>
              <w:t>(Schmitt et al., 2025)</w:t>
            </w:r>
            <w:r>
              <w:rPr>
                <w:rFonts w:ascii="Times New Roman" w:hAnsi="Times New Roman" w:cs="Times New Roman"/>
                <w:b/>
                <w:sz w:val="24"/>
                <w:szCs w:val="24"/>
              </w:rPr>
              <w:fldChar w:fldCharType="end"/>
            </w:r>
          </w:p>
        </w:tc>
        <w:tc>
          <w:tcPr>
            <w:tcW w:w="4394" w:type="dxa"/>
          </w:tcPr>
          <w:p w14:paraId="566B4CE8" w14:textId="77777777" w:rsidR="00927887" w:rsidRPr="0011259E" w:rsidRDefault="00927887" w:rsidP="00CA2852">
            <w:pPr>
              <w:jc w:val="center"/>
              <w:rPr>
                <w:rFonts w:ascii="Times New Roman" w:hAnsi="Times New Roman" w:cs="Times New Roman"/>
                <w:sz w:val="24"/>
                <w:szCs w:val="24"/>
                <w:lang w:val="en-US"/>
              </w:rPr>
            </w:pPr>
            <w:r w:rsidRPr="00F96BCA">
              <w:rPr>
                <w:rFonts w:ascii="Times New Roman" w:hAnsi="Times New Roman" w:cs="Times New Roman"/>
                <w:sz w:val="24"/>
                <w:szCs w:val="24"/>
                <w:lang w:val="en-US"/>
              </w:rPr>
              <w:t>Often masked as "healthy" athletic lifestyle; late diagnosis</w:t>
            </w:r>
          </w:p>
        </w:tc>
        <w:tc>
          <w:tcPr>
            <w:tcW w:w="4820" w:type="dxa"/>
          </w:tcPr>
          <w:p w14:paraId="6D724CDA" w14:textId="77777777" w:rsidR="00927887" w:rsidRPr="00F96BCA" w:rsidRDefault="00927887" w:rsidP="00CA2852">
            <w:pPr>
              <w:jc w:val="center"/>
              <w:rPr>
                <w:rFonts w:ascii="Times New Roman" w:hAnsi="Times New Roman" w:cs="Times New Roman"/>
                <w:sz w:val="24"/>
                <w:szCs w:val="24"/>
                <w:lang w:val="en-US"/>
              </w:rPr>
            </w:pPr>
            <w:r w:rsidRPr="00F96BCA">
              <w:rPr>
                <w:rFonts w:ascii="Times New Roman" w:hAnsi="Times New Roman" w:cs="Times New Roman"/>
                <w:sz w:val="24"/>
                <w:szCs w:val="24"/>
                <w:lang w:val="en-US"/>
              </w:rPr>
              <w:t>More easily recognized as pathological; earlier intervention</w:t>
            </w:r>
          </w:p>
        </w:tc>
      </w:tr>
      <w:tr w:rsidR="00927887" w:rsidRPr="00EF70EC" w14:paraId="26B9DE51" w14:textId="77777777" w:rsidTr="00CA2852">
        <w:tc>
          <w:tcPr>
            <w:tcW w:w="4673" w:type="dxa"/>
          </w:tcPr>
          <w:p w14:paraId="42517AE1" w14:textId="77777777" w:rsidR="00927887" w:rsidRPr="005F08E3" w:rsidRDefault="00927887" w:rsidP="00CA2852">
            <w:pPr>
              <w:jc w:val="center"/>
              <w:rPr>
                <w:rFonts w:ascii="Times New Roman" w:hAnsi="Times New Roman" w:cs="Times New Roman"/>
                <w:sz w:val="24"/>
                <w:szCs w:val="24"/>
              </w:rPr>
            </w:pPr>
            <w:r w:rsidRPr="00CB2A41">
              <w:rPr>
                <w:rFonts w:ascii="Times New Roman" w:hAnsi="Times New Roman" w:cs="Times New Roman"/>
                <w:b/>
                <w:sz w:val="24"/>
                <w:szCs w:val="24"/>
              </w:rPr>
              <w:t xml:space="preserve">Diagnosis </w:t>
            </w:r>
            <w:proofErr w:type="spellStart"/>
            <w:r w:rsidRPr="00CB2A41">
              <w:rPr>
                <w:rFonts w:ascii="Times New Roman" w:hAnsi="Times New Roman" w:cs="Times New Roman"/>
                <w:b/>
                <w:sz w:val="24"/>
                <w:szCs w:val="24"/>
              </w:rPr>
              <w:t>frequency</w:t>
            </w:r>
            <w:proofErr w:type="spellEnd"/>
            <w:r w:rsidRPr="005F08E3">
              <w:rPr>
                <w:rFonts w:ascii="Times New Roman" w:hAnsi="Times New Roman" w:cs="Times New Roman"/>
                <w:sz w:val="24"/>
                <w:szCs w:val="24"/>
              </w:rPr>
              <w:t xml:space="preserve"> </w:t>
            </w:r>
            <w:r w:rsidRPr="005F08E3">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10.1111/jpm.12670","ISSN":"1351-0126","author":[{"dropping-particle":"","family":"Richardson","given":"Candice","non-dropping-particle":"","parse-names":false,"suffix":""},{"dropping-particle":"","family":"Paslakis","given":"Georgios","non-dropping-particle":"","parse-names":false,"suffix":""}],"container-title":"Journal of Psychiatric and Mental Health Nursing","id":"ITEM-1","issue":"2","issued":{"date-parts":[["2021","4","23"]]},"page":"237-250","title":"Men’s experiences of eating disorder treatment: A qualitative systematic review of men‐only studies","type":"article-journal","volume":"28"},"uris":["http://www.mendeley.com/documents/?uuid=f14f15fe-b331-41a3-851b-cc8ed07a123b"]}],"mendeley":{"formattedCitation":"(Richardson &amp; Paslakis, 2021)","plainTextFormattedCitation":"(Richardson &amp; Paslakis, 2021)","previouslyFormattedCitation":"(Richardson &amp; Paslakis, 2021)"},"properties":{"noteIndex":0},"schema":"https://github.com/citation-style-language/schema/raw/master/csl-citation.json"}</w:instrText>
            </w:r>
            <w:r w:rsidRPr="005F08E3">
              <w:rPr>
                <w:rFonts w:ascii="Times New Roman" w:hAnsi="Times New Roman" w:cs="Times New Roman"/>
                <w:sz w:val="24"/>
                <w:szCs w:val="24"/>
              </w:rPr>
              <w:fldChar w:fldCharType="separate"/>
            </w:r>
            <w:r w:rsidRPr="00A12671">
              <w:rPr>
                <w:rFonts w:ascii="Times New Roman" w:hAnsi="Times New Roman" w:cs="Times New Roman"/>
                <w:noProof/>
                <w:sz w:val="24"/>
                <w:szCs w:val="24"/>
              </w:rPr>
              <w:t>(Richardson &amp; Paslakis, 2021)</w:t>
            </w:r>
            <w:r w:rsidRPr="005F08E3">
              <w:rPr>
                <w:rFonts w:ascii="Times New Roman" w:hAnsi="Times New Roman" w:cs="Times New Roman"/>
                <w:sz w:val="24"/>
                <w:szCs w:val="24"/>
              </w:rPr>
              <w:fldChar w:fldCharType="end"/>
            </w:r>
          </w:p>
        </w:tc>
        <w:tc>
          <w:tcPr>
            <w:tcW w:w="4394" w:type="dxa"/>
          </w:tcPr>
          <w:p w14:paraId="4AE3E8E6" w14:textId="77777777" w:rsidR="00927887" w:rsidRPr="005F08E3" w:rsidRDefault="00927887" w:rsidP="00CA2852">
            <w:pPr>
              <w:jc w:val="center"/>
              <w:rPr>
                <w:rFonts w:ascii="Times New Roman" w:hAnsi="Times New Roman" w:cs="Times New Roman"/>
                <w:sz w:val="24"/>
                <w:szCs w:val="24"/>
              </w:rPr>
            </w:pPr>
            <w:r w:rsidRPr="005F08E3">
              <w:rPr>
                <w:rFonts w:ascii="Times New Roman" w:hAnsi="Times New Roman" w:cs="Times New Roman"/>
                <w:sz w:val="24"/>
                <w:szCs w:val="24"/>
              </w:rPr>
              <w:t xml:space="preserve">Late and </w:t>
            </w:r>
            <w:proofErr w:type="spellStart"/>
            <w:r w:rsidRPr="005F08E3">
              <w:rPr>
                <w:rFonts w:ascii="Times New Roman" w:hAnsi="Times New Roman" w:cs="Times New Roman"/>
                <w:sz w:val="24"/>
                <w:szCs w:val="24"/>
              </w:rPr>
              <w:t>underdiagnosed</w:t>
            </w:r>
            <w:proofErr w:type="spellEnd"/>
          </w:p>
        </w:tc>
        <w:tc>
          <w:tcPr>
            <w:tcW w:w="4820" w:type="dxa"/>
          </w:tcPr>
          <w:p w14:paraId="246A8D42" w14:textId="77777777" w:rsidR="00927887" w:rsidRPr="005F08E3" w:rsidRDefault="00927887" w:rsidP="00CA2852">
            <w:pPr>
              <w:jc w:val="center"/>
              <w:rPr>
                <w:rFonts w:ascii="Times New Roman" w:hAnsi="Times New Roman" w:cs="Times New Roman"/>
                <w:sz w:val="24"/>
                <w:szCs w:val="24"/>
                <w:lang w:val="en-US"/>
              </w:rPr>
            </w:pPr>
            <w:r w:rsidRPr="005F08E3">
              <w:rPr>
                <w:rFonts w:ascii="Times New Roman" w:hAnsi="Times New Roman" w:cs="Times New Roman"/>
                <w:sz w:val="24"/>
                <w:szCs w:val="24"/>
                <w:lang w:val="en-US"/>
              </w:rPr>
              <w:t>Earlier diagnosis, not always underdiagnosed</w:t>
            </w:r>
          </w:p>
        </w:tc>
      </w:tr>
      <w:tr w:rsidR="00927887" w:rsidRPr="00EF70EC" w14:paraId="646AE360" w14:textId="77777777" w:rsidTr="00CA2852">
        <w:tc>
          <w:tcPr>
            <w:tcW w:w="4673" w:type="dxa"/>
          </w:tcPr>
          <w:p w14:paraId="43928BE3" w14:textId="77777777" w:rsidR="00927887" w:rsidRPr="005F08E3" w:rsidRDefault="00927887" w:rsidP="00CA2852">
            <w:pPr>
              <w:jc w:val="center"/>
              <w:rPr>
                <w:rFonts w:ascii="Times New Roman" w:hAnsi="Times New Roman" w:cs="Times New Roman"/>
                <w:sz w:val="24"/>
                <w:szCs w:val="24"/>
              </w:rPr>
            </w:pPr>
            <w:proofErr w:type="spellStart"/>
            <w:r w:rsidRPr="00CB2A41">
              <w:rPr>
                <w:rFonts w:ascii="Times New Roman" w:hAnsi="Times New Roman" w:cs="Times New Roman"/>
                <w:b/>
                <w:sz w:val="24"/>
                <w:szCs w:val="24"/>
              </w:rPr>
              <w:t>Temperament</w:t>
            </w:r>
            <w:proofErr w:type="spellEnd"/>
            <w:r w:rsidRPr="00CB2A41">
              <w:rPr>
                <w:rFonts w:ascii="Times New Roman" w:hAnsi="Times New Roman" w:cs="Times New Roman"/>
                <w:b/>
                <w:sz w:val="24"/>
                <w:szCs w:val="24"/>
              </w:rPr>
              <w:t xml:space="preserve"> </w:t>
            </w:r>
            <w:proofErr w:type="spellStart"/>
            <w:r w:rsidRPr="00CB2A41">
              <w:rPr>
                <w:rFonts w:ascii="Times New Roman" w:hAnsi="Times New Roman" w:cs="Times New Roman"/>
                <w:b/>
                <w:sz w:val="24"/>
                <w:szCs w:val="24"/>
              </w:rPr>
              <w:t>traits</w:t>
            </w:r>
            <w:proofErr w:type="spellEnd"/>
            <w:r w:rsidRPr="005F08E3">
              <w:rPr>
                <w:rFonts w:ascii="Times New Roman" w:hAnsi="Times New Roman" w:cs="Times New Roman"/>
                <w:sz w:val="24"/>
                <w:szCs w:val="24"/>
              </w:rPr>
              <w:t xml:space="preserve"> </w:t>
            </w:r>
            <w:r w:rsidRPr="005F08E3">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{"citationItems":[{"id":"ITEM-1","itemData":{"ISBN":"9788449311734","author":[{"dropping-particle":"","family":"Bruch","given":"H.","non-dropping-particle":"","parse-names":false,"suffix":""}],"id":"ITEM-1","issued":{"date-parts":[["2001"]]},"number-of-pages":"176","title":"La jaula dorada: el enigma de la anorexia nerviosa","type":"book"},"uris":["http://www.mendeley.com/documents/?uuid=fe2d3335-45ab-45cc-b369-123afa3eeb9f"]}],"mendeley":{"formattedCitation":"(Bruch, 2001)","plainTextFormattedCitation":"(Bruch, 2001)","previouslyFormattedCitation":"(Bruch, 2001)"},"properties":{"noteIndex":0},"schema":"https://github.com/citation-style-language/schema/raw/master/csl-citation.json"}</w:instrText>
            </w:r>
            <w:r w:rsidRPr="005F08E3">
              <w:rPr>
                <w:rFonts w:ascii="Times New Roman" w:hAnsi="Times New Roman" w:cs="Times New Roman"/>
                <w:sz w:val="24"/>
                <w:szCs w:val="24"/>
              </w:rPr>
              <w:fldChar w:fldCharType="separate"/>
            </w:r>
            <w:r w:rsidRPr="00A12671">
              <w:rPr>
                <w:rFonts w:ascii="Times New Roman" w:hAnsi="Times New Roman" w:cs="Times New Roman"/>
                <w:noProof/>
                <w:sz w:val="24"/>
                <w:szCs w:val="24"/>
              </w:rPr>
              <w:t>(Bruch, 2001)</w:t>
            </w:r>
            <w:r w:rsidRPr="005F08E3">
              <w:rPr>
                <w:rFonts w:ascii="Times New Roman" w:hAnsi="Times New Roman" w:cs="Times New Roman"/>
                <w:sz w:val="24"/>
                <w:szCs w:val="24"/>
              </w:rPr>
              <w:fldChar w:fldCharType="end"/>
            </w:r>
          </w:p>
        </w:tc>
        <w:tc>
          <w:tcPr>
            <w:tcW w:w="9214" w:type="dxa"/>
            <w:gridSpan w:val="2"/>
          </w:tcPr>
          <w:p w14:paraId="680D61B9" w14:textId="77777777" w:rsidR="00927887" w:rsidRPr="005F08E3" w:rsidRDefault="00927887" w:rsidP="00CA2852">
            <w:pPr>
              <w:jc w:val="center"/>
              <w:rPr>
                <w:rFonts w:ascii="Times New Roman" w:hAnsi="Times New Roman" w:cs="Times New Roman"/>
                <w:sz w:val="24"/>
                <w:szCs w:val="24"/>
                <w:lang w:val="en-US"/>
              </w:rPr>
            </w:pPr>
            <w:r w:rsidRPr="005F08E3">
              <w:rPr>
                <w:rFonts w:ascii="Times New Roman" w:hAnsi="Times New Roman" w:cs="Times New Roman"/>
                <w:sz w:val="24"/>
                <w:szCs w:val="24"/>
                <w:lang w:val="en-US"/>
              </w:rPr>
              <w:tab/>
              <w:t>Perfectionism, high self-demand, need for control, poor adaptability</w:t>
            </w:r>
          </w:p>
        </w:tc>
      </w:tr>
    </w:tbl>
    <w:p w14:paraId="73A1CCAA" w14:textId="77777777" w:rsidR="00927887" w:rsidRPr="0011259E" w:rsidRDefault="00927887" w:rsidP="00927887">
      <w:pPr>
        <w:spacing w:line="240" w:lineRule="auto"/>
        <w:jc w:val="both"/>
        <w:rPr>
          <w:rFonts w:ascii="Times New Roman" w:hAnsi="Times New Roman" w:cs="Times New Roman"/>
          <w:sz w:val="20"/>
          <w:szCs w:val="24"/>
          <w:lang w:val="en-US"/>
        </w:rPr>
      </w:pPr>
      <w:r w:rsidRPr="0011259E">
        <w:rPr>
          <w:rFonts w:ascii="Times New Roman" w:hAnsi="Times New Roman" w:cs="Times New Roman"/>
          <w:b/>
          <w:i/>
          <w:sz w:val="20"/>
          <w:szCs w:val="24"/>
          <w:lang w:val="en-US"/>
        </w:rPr>
        <w:t>BMI</w:t>
      </w:r>
      <w:r>
        <w:rPr>
          <w:rFonts w:ascii="Times New Roman" w:hAnsi="Times New Roman" w:cs="Times New Roman"/>
          <w:sz w:val="20"/>
          <w:szCs w:val="24"/>
          <w:lang w:val="en-US"/>
        </w:rPr>
        <w:t xml:space="preserve">: Body Mass Index; </w:t>
      </w:r>
      <w:r w:rsidRPr="0011259E">
        <w:rPr>
          <w:rFonts w:ascii="Times New Roman" w:hAnsi="Times New Roman" w:cs="Times New Roman"/>
          <w:b/>
          <w:i/>
          <w:sz w:val="20"/>
          <w:szCs w:val="24"/>
          <w:lang w:val="en-US"/>
        </w:rPr>
        <w:t>ED</w:t>
      </w:r>
      <w:r w:rsidRPr="0011259E">
        <w:rPr>
          <w:rFonts w:ascii="Times New Roman" w:hAnsi="Times New Roman" w:cs="Times New Roman"/>
          <w:sz w:val="20"/>
          <w:szCs w:val="24"/>
          <w:lang w:val="en-US"/>
        </w:rPr>
        <w:t>: Eating Disorder.</w:t>
      </w:r>
    </w:p>
    <w:p w14:paraId="21357A17" w14:textId="77777777" w:rsidR="00927887" w:rsidRDefault="00927887" w:rsidP="00927887">
      <w:pPr>
        <w:spacing w:line="240" w:lineRule="auto"/>
        <w:jc w:val="both"/>
        <w:rPr>
          <w:rFonts w:ascii="Times New Roman" w:hAnsi="Times New Roman" w:cs="Times New Roman"/>
          <w:sz w:val="20"/>
          <w:szCs w:val="24"/>
          <w:lang w:val="en-US"/>
        </w:rPr>
      </w:pPr>
      <w:r w:rsidRPr="0011259E">
        <w:rPr>
          <w:rFonts w:ascii="Times New Roman" w:hAnsi="Times New Roman" w:cs="Times New Roman"/>
          <w:b/>
          <w:i/>
          <w:sz w:val="20"/>
          <w:szCs w:val="24"/>
          <w:lang w:val="en-US"/>
        </w:rPr>
        <w:t>Note</w:t>
      </w:r>
      <w:r w:rsidRPr="0011259E">
        <w:rPr>
          <w:rFonts w:ascii="Times New Roman" w:hAnsi="Times New Roman" w:cs="Times New Roman"/>
          <w:sz w:val="20"/>
          <w:szCs w:val="24"/>
          <w:lang w:val="en-US"/>
        </w:rPr>
        <w:t>: While clinical presentations overlap, the drive for muscularity in males often results in a "normal" BMI that masks severe underlying malnutrition and endocrine disruption.</w:t>
      </w:r>
    </w:p>
    <w:p w14:paraId="1B99803A" w14:textId="77777777" w:rsidR="00927887" w:rsidRPr="0011259E" w:rsidRDefault="00927887" w:rsidP="00927887">
      <w:pPr>
        <w:spacing w:line="240" w:lineRule="auto"/>
        <w:jc w:val="both"/>
        <w:rPr>
          <w:rFonts w:ascii="Times New Roman" w:hAnsi="Times New Roman" w:cs="Times New Roman"/>
          <w:sz w:val="20"/>
          <w:szCs w:val="24"/>
          <w:lang w:val="en-US"/>
        </w:rPr>
      </w:pPr>
      <w:r w:rsidRPr="0011259E">
        <w:rPr>
          <w:rFonts w:ascii="Times New Roman" w:hAnsi="Times New Roman" w:cs="Times New Roman"/>
          <w:b/>
          <w:i/>
          <w:sz w:val="20"/>
          <w:szCs w:val="24"/>
          <w:lang w:val="en-US"/>
        </w:rPr>
        <w:t>Source</w:t>
      </w:r>
      <w:r w:rsidRPr="00B63F11">
        <w:rPr>
          <w:rFonts w:ascii="Times New Roman" w:hAnsi="Times New Roman" w:cs="Times New Roman"/>
          <w:sz w:val="20"/>
          <w:szCs w:val="24"/>
          <w:lang w:val="en-US"/>
        </w:rPr>
        <w:t>: Compiled by the authors based on cited literature and clinical observations.</w:t>
      </w:r>
    </w:p>
    <w:p w14:paraId="6AD8E990" w14:textId="77777777" w:rsidR="00927887" w:rsidRPr="005F08E3" w:rsidRDefault="00927887" w:rsidP="00927887">
      <w:pPr>
        <w:spacing w:line="480" w:lineRule="auto"/>
        <w:jc w:val="both"/>
        <w:rPr>
          <w:rFonts w:ascii="Times New Roman" w:hAnsi="Times New Roman" w:cs="Times New Roman"/>
          <w:sz w:val="24"/>
          <w:szCs w:val="24"/>
          <w:lang w:val="en-US"/>
        </w:rPr>
      </w:pPr>
      <w:r w:rsidRPr="005F08E3">
        <w:rPr>
          <w:rFonts w:ascii="Times New Roman" w:hAnsi="Times New Roman" w:cs="Times New Roman"/>
          <w:b/>
          <w:sz w:val="24"/>
          <w:szCs w:val="24"/>
          <w:lang w:val="en-US"/>
        </w:rPr>
        <w:lastRenderedPageBreak/>
        <w:t>Table 1:</w:t>
      </w:r>
      <w:r w:rsidRPr="005F08E3">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clinical  and</w:t>
      </w:r>
      <w:proofErr w:type="gramEnd"/>
      <w:r>
        <w:rPr>
          <w:rFonts w:ascii="Times New Roman" w:hAnsi="Times New Roman" w:cs="Times New Roman"/>
          <w:sz w:val="24"/>
          <w:szCs w:val="24"/>
          <w:lang w:val="en-US"/>
        </w:rPr>
        <w:t xml:space="preserve"> Pathophysiological differences in EDs by gender</w:t>
      </w:r>
      <w:r w:rsidRPr="005F08E3">
        <w:rPr>
          <w:rFonts w:ascii="Times New Roman" w:hAnsi="Times New Roman" w:cs="Times New Roman"/>
          <w:sz w:val="24"/>
          <w:szCs w:val="24"/>
          <w:lang w:val="en-US"/>
        </w:rPr>
        <w:t>.</w:t>
      </w:r>
    </w:p>
    <w:p w14:paraId="266FBAAC" w14:textId="77777777" w:rsidR="00A91650" w:rsidRDefault="00A91650"/>
    <w:sectPr w:rsidR="00A91650" w:rsidSect="00927887">
      <w:pgSz w:w="16838" w:h="11906" w:orient="landscape"/>
      <w:pgMar w:top="1701" w:right="1418" w:bottom="1701" w:left="1418" w:header="709" w:footer="709"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887"/>
    <w:rsid w:val="000E2EDD"/>
    <w:rsid w:val="003F39E0"/>
    <w:rsid w:val="00927887"/>
    <w:rsid w:val="00A91650"/>
    <w:rsid w:val="00E559FE"/>
    <w:rsid w:val="00E633F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D6D14"/>
  <w15:chartTrackingRefBased/>
  <w15:docId w15:val="{24DF058A-9BE3-49E6-A6FB-5B484C29B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7887"/>
    <w:pPr>
      <w:spacing w:line="259" w:lineRule="auto"/>
    </w:pPr>
    <w:rPr>
      <w:kern w:val="0"/>
      <w:sz w:val="22"/>
      <w:szCs w:val="22"/>
      <w:lang w:val="es-ES"/>
      <w14:ligatures w14:val="none"/>
    </w:rPr>
  </w:style>
  <w:style w:type="paragraph" w:styleId="Heading1">
    <w:name w:val="heading 1"/>
    <w:basedOn w:val="Normal"/>
    <w:next w:val="Normal"/>
    <w:link w:val="Heading1Char"/>
    <w:uiPriority w:val="9"/>
    <w:qFormat/>
    <w:rsid w:val="0092788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IN"/>
      <w14:ligatures w14:val="standardContextual"/>
    </w:rPr>
  </w:style>
  <w:style w:type="paragraph" w:styleId="Heading2">
    <w:name w:val="heading 2"/>
    <w:basedOn w:val="Normal"/>
    <w:next w:val="Normal"/>
    <w:link w:val="Heading2Char"/>
    <w:uiPriority w:val="9"/>
    <w:semiHidden/>
    <w:unhideWhenUsed/>
    <w:qFormat/>
    <w:rsid w:val="0092788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IN"/>
      <w14:ligatures w14:val="standardContextual"/>
    </w:rPr>
  </w:style>
  <w:style w:type="paragraph" w:styleId="Heading3">
    <w:name w:val="heading 3"/>
    <w:basedOn w:val="Normal"/>
    <w:next w:val="Normal"/>
    <w:link w:val="Heading3Char"/>
    <w:uiPriority w:val="9"/>
    <w:semiHidden/>
    <w:unhideWhenUsed/>
    <w:qFormat/>
    <w:rsid w:val="00927887"/>
    <w:pPr>
      <w:keepNext/>
      <w:keepLines/>
      <w:spacing w:before="160" w:after="80" w:line="278" w:lineRule="auto"/>
      <w:outlineLvl w:val="2"/>
    </w:pPr>
    <w:rPr>
      <w:rFonts w:eastAsiaTheme="majorEastAsia" w:cstheme="majorBidi"/>
      <w:color w:val="0F4761" w:themeColor="accent1" w:themeShade="BF"/>
      <w:kern w:val="2"/>
      <w:sz w:val="28"/>
      <w:szCs w:val="28"/>
      <w:lang w:val="en-IN"/>
      <w14:ligatures w14:val="standardContextual"/>
    </w:rPr>
  </w:style>
  <w:style w:type="paragraph" w:styleId="Heading4">
    <w:name w:val="heading 4"/>
    <w:basedOn w:val="Normal"/>
    <w:next w:val="Normal"/>
    <w:link w:val="Heading4Char"/>
    <w:uiPriority w:val="9"/>
    <w:semiHidden/>
    <w:unhideWhenUsed/>
    <w:qFormat/>
    <w:rsid w:val="00927887"/>
    <w:pPr>
      <w:keepNext/>
      <w:keepLines/>
      <w:spacing w:before="80" w:after="40" w:line="278" w:lineRule="auto"/>
      <w:outlineLvl w:val="3"/>
    </w:pPr>
    <w:rPr>
      <w:rFonts w:eastAsiaTheme="majorEastAsia" w:cstheme="majorBidi"/>
      <w:i/>
      <w:iCs/>
      <w:color w:val="0F4761" w:themeColor="accent1" w:themeShade="BF"/>
      <w:kern w:val="2"/>
      <w:sz w:val="24"/>
      <w:szCs w:val="24"/>
      <w:lang w:val="en-IN"/>
      <w14:ligatures w14:val="standardContextual"/>
    </w:rPr>
  </w:style>
  <w:style w:type="paragraph" w:styleId="Heading5">
    <w:name w:val="heading 5"/>
    <w:basedOn w:val="Normal"/>
    <w:next w:val="Normal"/>
    <w:link w:val="Heading5Char"/>
    <w:uiPriority w:val="9"/>
    <w:semiHidden/>
    <w:unhideWhenUsed/>
    <w:qFormat/>
    <w:rsid w:val="00927887"/>
    <w:pPr>
      <w:keepNext/>
      <w:keepLines/>
      <w:spacing w:before="80" w:after="40" w:line="278" w:lineRule="auto"/>
      <w:outlineLvl w:val="4"/>
    </w:pPr>
    <w:rPr>
      <w:rFonts w:eastAsiaTheme="majorEastAsia" w:cstheme="majorBidi"/>
      <w:color w:val="0F4761" w:themeColor="accent1" w:themeShade="BF"/>
      <w:kern w:val="2"/>
      <w:sz w:val="24"/>
      <w:szCs w:val="24"/>
      <w:lang w:val="en-IN"/>
      <w14:ligatures w14:val="standardContextual"/>
    </w:rPr>
  </w:style>
  <w:style w:type="paragraph" w:styleId="Heading6">
    <w:name w:val="heading 6"/>
    <w:basedOn w:val="Normal"/>
    <w:next w:val="Normal"/>
    <w:link w:val="Heading6Char"/>
    <w:uiPriority w:val="9"/>
    <w:semiHidden/>
    <w:unhideWhenUsed/>
    <w:qFormat/>
    <w:rsid w:val="00927887"/>
    <w:pPr>
      <w:keepNext/>
      <w:keepLines/>
      <w:spacing w:before="40" w:after="0" w:line="278" w:lineRule="auto"/>
      <w:outlineLvl w:val="5"/>
    </w:pPr>
    <w:rPr>
      <w:rFonts w:eastAsiaTheme="majorEastAsia" w:cstheme="majorBidi"/>
      <w:i/>
      <w:iCs/>
      <w:color w:val="595959" w:themeColor="text1" w:themeTint="A6"/>
      <w:kern w:val="2"/>
      <w:sz w:val="24"/>
      <w:szCs w:val="24"/>
      <w:lang w:val="en-IN"/>
      <w14:ligatures w14:val="standardContextual"/>
    </w:rPr>
  </w:style>
  <w:style w:type="paragraph" w:styleId="Heading7">
    <w:name w:val="heading 7"/>
    <w:basedOn w:val="Normal"/>
    <w:next w:val="Normal"/>
    <w:link w:val="Heading7Char"/>
    <w:uiPriority w:val="9"/>
    <w:semiHidden/>
    <w:unhideWhenUsed/>
    <w:qFormat/>
    <w:rsid w:val="00927887"/>
    <w:pPr>
      <w:keepNext/>
      <w:keepLines/>
      <w:spacing w:before="40" w:after="0" w:line="278" w:lineRule="auto"/>
      <w:outlineLvl w:val="6"/>
    </w:pPr>
    <w:rPr>
      <w:rFonts w:eastAsiaTheme="majorEastAsia" w:cstheme="majorBidi"/>
      <w:color w:val="595959" w:themeColor="text1" w:themeTint="A6"/>
      <w:kern w:val="2"/>
      <w:sz w:val="24"/>
      <w:szCs w:val="24"/>
      <w:lang w:val="en-IN"/>
      <w14:ligatures w14:val="standardContextual"/>
    </w:rPr>
  </w:style>
  <w:style w:type="paragraph" w:styleId="Heading8">
    <w:name w:val="heading 8"/>
    <w:basedOn w:val="Normal"/>
    <w:next w:val="Normal"/>
    <w:link w:val="Heading8Char"/>
    <w:uiPriority w:val="9"/>
    <w:semiHidden/>
    <w:unhideWhenUsed/>
    <w:qFormat/>
    <w:rsid w:val="00927887"/>
    <w:pPr>
      <w:keepNext/>
      <w:keepLines/>
      <w:spacing w:after="0" w:line="278" w:lineRule="auto"/>
      <w:outlineLvl w:val="7"/>
    </w:pPr>
    <w:rPr>
      <w:rFonts w:eastAsiaTheme="majorEastAsia" w:cstheme="majorBidi"/>
      <w:i/>
      <w:iCs/>
      <w:color w:val="272727" w:themeColor="text1" w:themeTint="D8"/>
      <w:kern w:val="2"/>
      <w:sz w:val="24"/>
      <w:szCs w:val="24"/>
      <w:lang w:val="en-IN"/>
      <w14:ligatures w14:val="standardContextual"/>
    </w:rPr>
  </w:style>
  <w:style w:type="paragraph" w:styleId="Heading9">
    <w:name w:val="heading 9"/>
    <w:basedOn w:val="Normal"/>
    <w:next w:val="Normal"/>
    <w:link w:val="Heading9Char"/>
    <w:uiPriority w:val="9"/>
    <w:semiHidden/>
    <w:unhideWhenUsed/>
    <w:qFormat/>
    <w:rsid w:val="00927887"/>
    <w:pPr>
      <w:keepNext/>
      <w:keepLines/>
      <w:spacing w:after="0" w:line="278" w:lineRule="auto"/>
      <w:outlineLvl w:val="8"/>
    </w:pPr>
    <w:rPr>
      <w:rFonts w:eastAsiaTheme="majorEastAsia" w:cstheme="majorBidi"/>
      <w:color w:val="272727" w:themeColor="text1" w:themeTint="D8"/>
      <w:kern w:val="2"/>
      <w:sz w:val="24"/>
      <w:szCs w:val="24"/>
      <w:lang w:val="en-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78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78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78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78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78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78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78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78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7887"/>
    <w:rPr>
      <w:rFonts w:eastAsiaTheme="majorEastAsia" w:cstheme="majorBidi"/>
      <w:color w:val="272727" w:themeColor="text1" w:themeTint="D8"/>
    </w:rPr>
  </w:style>
  <w:style w:type="paragraph" w:styleId="Title">
    <w:name w:val="Title"/>
    <w:basedOn w:val="Normal"/>
    <w:next w:val="Normal"/>
    <w:link w:val="TitleChar"/>
    <w:uiPriority w:val="10"/>
    <w:qFormat/>
    <w:rsid w:val="00927887"/>
    <w:pPr>
      <w:spacing w:after="80" w:line="240" w:lineRule="auto"/>
      <w:contextualSpacing/>
    </w:pPr>
    <w:rPr>
      <w:rFonts w:asciiTheme="majorHAnsi" w:eastAsiaTheme="majorEastAsia" w:hAnsiTheme="majorHAnsi" w:cstheme="majorBidi"/>
      <w:spacing w:val="-10"/>
      <w:kern w:val="28"/>
      <w:sz w:val="56"/>
      <w:szCs w:val="56"/>
      <w:lang w:val="en-IN"/>
      <w14:ligatures w14:val="standardContextual"/>
    </w:rPr>
  </w:style>
  <w:style w:type="character" w:customStyle="1" w:styleId="TitleChar">
    <w:name w:val="Title Char"/>
    <w:basedOn w:val="DefaultParagraphFont"/>
    <w:link w:val="Title"/>
    <w:uiPriority w:val="10"/>
    <w:rsid w:val="009278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7887"/>
    <w:pPr>
      <w:numPr>
        <w:ilvl w:val="1"/>
      </w:numPr>
      <w:spacing w:line="278" w:lineRule="auto"/>
    </w:pPr>
    <w:rPr>
      <w:rFonts w:eastAsiaTheme="majorEastAsia" w:cstheme="majorBidi"/>
      <w:color w:val="595959" w:themeColor="text1" w:themeTint="A6"/>
      <w:spacing w:val="15"/>
      <w:kern w:val="2"/>
      <w:sz w:val="28"/>
      <w:szCs w:val="28"/>
      <w:lang w:val="en-IN"/>
      <w14:ligatures w14:val="standardContextual"/>
    </w:rPr>
  </w:style>
  <w:style w:type="character" w:customStyle="1" w:styleId="SubtitleChar">
    <w:name w:val="Subtitle Char"/>
    <w:basedOn w:val="DefaultParagraphFont"/>
    <w:link w:val="Subtitle"/>
    <w:uiPriority w:val="11"/>
    <w:rsid w:val="009278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7887"/>
    <w:pPr>
      <w:spacing w:before="160" w:line="278" w:lineRule="auto"/>
      <w:jc w:val="center"/>
    </w:pPr>
    <w:rPr>
      <w:i/>
      <w:iCs/>
      <w:color w:val="404040" w:themeColor="text1" w:themeTint="BF"/>
      <w:kern w:val="2"/>
      <w:sz w:val="24"/>
      <w:szCs w:val="24"/>
      <w:lang w:val="en-IN"/>
      <w14:ligatures w14:val="standardContextual"/>
    </w:rPr>
  </w:style>
  <w:style w:type="character" w:customStyle="1" w:styleId="QuoteChar">
    <w:name w:val="Quote Char"/>
    <w:basedOn w:val="DefaultParagraphFont"/>
    <w:link w:val="Quote"/>
    <w:uiPriority w:val="29"/>
    <w:rsid w:val="00927887"/>
    <w:rPr>
      <w:i/>
      <w:iCs/>
      <w:color w:val="404040" w:themeColor="text1" w:themeTint="BF"/>
    </w:rPr>
  </w:style>
  <w:style w:type="paragraph" w:styleId="ListParagraph">
    <w:name w:val="List Paragraph"/>
    <w:basedOn w:val="Normal"/>
    <w:uiPriority w:val="34"/>
    <w:qFormat/>
    <w:rsid w:val="00927887"/>
    <w:pPr>
      <w:spacing w:line="278" w:lineRule="auto"/>
      <w:ind w:left="720"/>
      <w:contextualSpacing/>
    </w:pPr>
    <w:rPr>
      <w:kern w:val="2"/>
      <w:sz w:val="24"/>
      <w:szCs w:val="24"/>
      <w:lang w:val="en-IN"/>
      <w14:ligatures w14:val="standardContextual"/>
    </w:rPr>
  </w:style>
  <w:style w:type="character" w:styleId="IntenseEmphasis">
    <w:name w:val="Intense Emphasis"/>
    <w:basedOn w:val="DefaultParagraphFont"/>
    <w:uiPriority w:val="21"/>
    <w:qFormat/>
    <w:rsid w:val="00927887"/>
    <w:rPr>
      <w:i/>
      <w:iCs/>
      <w:color w:val="0F4761" w:themeColor="accent1" w:themeShade="BF"/>
    </w:rPr>
  </w:style>
  <w:style w:type="paragraph" w:styleId="IntenseQuote">
    <w:name w:val="Intense Quote"/>
    <w:basedOn w:val="Normal"/>
    <w:next w:val="Normal"/>
    <w:link w:val="IntenseQuoteChar"/>
    <w:uiPriority w:val="30"/>
    <w:qFormat/>
    <w:rsid w:val="0092788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en-IN"/>
      <w14:ligatures w14:val="standardContextual"/>
    </w:rPr>
  </w:style>
  <w:style w:type="character" w:customStyle="1" w:styleId="IntenseQuoteChar">
    <w:name w:val="Intense Quote Char"/>
    <w:basedOn w:val="DefaultParagraphFont"/>
    <w:link w:val="IntenseQuote"/>
    <w:uiPriority w:val="30"/>
    <w:rsid w:val="00927887"/>
    <w:rPr>
      <w:i/>
      <w:iCs/>
      <w:color w:val="0F4761" w:themeColor="accent1" w:themeShade="BF"/>
    </w:rPr>
  </w:style>
  <w:style w:type="character" w:styleId="IntenseReference">
    <w:name w:val="Intense Reference"/>
    <w:basedOn w:val="DefaultParagraphFont"/>
    <w:uiPriority w:val="32"/>
    <w:qFormat/>
    <w:rsid w:val="00927887"/>
    <w:rPr>
      <w:b/>
      <w:bCs/>
      <w:smallCaps/>
      <w:color w:val="0F4761" w:themeColor="accent1" w:themeShade="BF"/>
      <w:spacing w:val="5"/>
    </w:rPr>
  </w:style>
  <w:style w:type="table" w:styleId="TableGrid">
    <w:name w:val="Table Grid"/>
    <w:basedOn w:val="TableNormal"/>
    <w:uiPriority w:val="39"/>
    <w:rsid w:val="00927887"/>
    <w:pPr>
      <w:spacing w:after="0" w:line="240" w:lineRule="auto"/>
    </w:pPr>
    <w:rPr>
      <w:kern w:val="0"/>
      <w:sz w:val="22"/>
      <w:szCs w:val="22"/>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9278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4042</Words>
  <Characters>23040</Characters>
  <Application>Microsoft Office Word</Application>
  <DocSecurity>0</DocSecurity>
  <Lines>192</Lines>
  <Paragraphs>54</Paragraphs>
  <ScaleCrop>false</ScaleCrop>
  <Company/>
  <LinksUpToDate>false</LinksUpToDate>
  <CharactersWithSpaces>27028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Amruta Dange</dc:creator>
  <cp:keywords/>
  <dc:description/>
  <cp:lastModifiedBy>Amruta Dange</cp:lastModifiedBy>
  <cp:revision>1</cp:revision>
  <dcterms:created xsi:type="dcterms:W3CDTF">2026-04-27T13:59:00Z</dcterms:created>
  <dcterms:modified xsi:type="dcterms:W3CDTF">2026-04-27T13:59:00Z</dcterms:modified>
</cp:coreProperties>
</file>