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410D" w14:textId="0E400A22" w:rsidR="00D46DB6" w:rsidRDefault="00D46DB6" w:rsidP="007503FF">
      <w:pPr>
        <w:keepNext/>
        <w:jc w:val="both"/>
        <w:rPr>
          <w:noProof/>
        </w:rPr>
      </w:pPr>
      <w:r>
        <w:rPr>
          <w:noProof/>
        </w:rPr>
        <w:drawing>
          <wp:inline distT="0" distB="0" distL="0" distR="0" wp14:anchorId="1BAA8A5D" wp14:editId="048B9761">
            <wp:extent cx="5943600" cy="366141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1ECF6" w14:textId="25458E3A" w:rsidR="006E3B60" w:rsidRDefault="00CC6E06" w:rsidP="007503FF">
      <w:pPr>
        <w:pStyle w:val="Beschriftung"/>
        <w:rPr>
          <w:i/>
          <w:color w:val="auto"/>
        </w:rPr>
      </w:pPr>
      <w:r w:rsidRPr="00564179">
        <w:rPr>
          <w:bCs/>
          <w:iCs w:val="0"/>
          <w:color w:val="auto"/>
        </w:rPr>
        <w:t xml:space="preserve">Supplementary </w:t>
      </w:r>
      <w:r w:rsidR="002555BD" w:rsidRPr="00564179">
        <w:rPr>
          <w:bCs/>
          <w:iCs w:val="0"/>
          <w:color w:val="auto"/>
        </w:rPr>
        <w:t xml:space="preserve">Figure </w:t>
      </w:r>
      <w:r w:rsidRPr="00564179">
        <w:rPr>
          <w:bCs/>
          <w:iCs w:val="0"/>
          <w:color w:val="auto"/>
        </w:rPr>
        <w:t>S</w:t>
      </w:r>
      <w:r w:rsidR="002555BD" w:rsidRPr="00564179">
        <w:rPr>
          <w:bCs/>
          <w:iCs w:val="0"/>
          <w:color w:val="auto"/>
        </w:rPr>
        <w:fldChar w:fldCharType="begin"/>
      </w:r>
      <w:r w:rsidR="002555BD" w:rsidRPr="00564179">
        <w:rPr>
          <w:bCs/>
          <w:iCs w:val="0"/>
          <w:color w:val="auto"/>
        </w:rPr>
        <w:instrText xml:space="preserve"> SEQ Figure \* ARABIC </w:instrText>
      </w:r>
      <w:r w:rsidR="002555BD" w:rsidRPr="00564179">
        <w:rPr>
          <w:bCs/>
          <w:iCs w:val="0"/>
          <w:color w:val="auto"/>
        </w:rPr>
        <w:fldChar w:fldCharType="separate"/>
      </w:r>
      <w:r w:rsidR="00222EE4">
        <w:rPr>
          <w:bCs/>
          <w:iCs w:val="0"/>
          <w:noProof/>
          <w:color w:val="auto"/>
        </w:rPr>
        <w:t>1</w:t>
      </w:r>
      <w:r w:rsidR="002555BD" w:rsidRPr="00564179">
        <w:rPr>
          <w:bCs/>
          <w:iCs w:val="0"/>
          <w:color w:val="auto"/>
        </w:rPr>
        <w:fldChar w:fldCharType="end"/>
      </w:r>
      <w:r w:rsidR="002555BD" w:rsidRPr="002555BD">
        <w:rPr>
          <w:bCs/>
          <w:iCs w:val="0"/>
          <w:color w:val="auto"/>
        </w:rPr>
        <w:t>:</w:t>
      </w:r>
      <w:r>
        <w:rPr>
          <w:b w:val="0"/>
          <w:bCs/>
          <w:i/>
          <w:iCs w:val="0"/>
          <w:color w:val="auto"/>
        </w:rPr>
        <w:t xml:space="preserve"> </w:t>
      </w:r>
      <w:r w:rsidR="002555BD" w:rsidRPr="002555BD">
        <w:rPr>
          <w:bCs/>
          <w:iCs w:val="0"/>
          <w:color w:val="auto"/>
        </w:rPr>
        <w:t>Survival of Escherichia coli</w:t>
      </w:r>
      <w:r w:rsidR="002555BD">
        <w:rPr>
          <w:bCs/>
          <w:iCs w:val="0"/>
          <w:color w:val="auto"/>
        </w:rPr>
        <w:t xml:space="preserve"> (Ec1, Ec2) and </w:t>
      </w:r>
      <w:r w:rsidR="002555BD" w:rsidRPr="002555BD">
        <w:rPr>
          <w:bCs/>
          <w:iCs w:val="0"/>
          <w:color w:val="auto"/>
        </w:rPr>
        <w:t>Klebsiella pneumoniae</w:t>
      </w:r>
      <w:r w:rsidR="002555BD">
        <w:rPr>
          <w:bCs/>
          <w:iCs w:val="0"/>
          <w:color w:val="auto"/>
        </w:rPr>
        <w:t xml:space="preserve"> (</w:t>
      </w:r>
      <w:proofErr w:type="spellStart"/>
      <w:r w:rsidR="002555BD">
        <w:rPr>
          <w:bCs/>
          <w:iCs w:val="0"/>
          <w:color w:val="auto"/>
        </w:rPr>
        <w:t>Kp</w:t>
      </w:r>
      <w:proofErr w:type="spellEnd"/>
      <w:r w:rsidR="002555BD">
        <w:rPr>
          <w:bCs/>
          <w:iCs w:val="0"/>
          <w:color w:val="auto"/>
        </w:rPr>
        <w:t>), along with their plasmid-cured variants (PCV-Ec2, PCV-</w:t>
      </w:r>
      <w:proofErr w:type="spellStart"/>
      <w:r w:rsidR="002555BD">
        <w:rPr>
          <w:bCs/>
          <w:iCs w:val="0"/>
          <w:color w:val="auto"/>
        </w:rPr>
        <w:t>Kp</w:t>
      </w:r>
      <w:proofErr w:type="spellEnd"/>
      <w:r w:rsidR="002555BD">
        <w:rPr>
          <w:bCs/>
          <w:iCs w:val="0"/>
          <w:color w:val="auto"/>
        </w:rPr>
        <w:t>), in river water and tap water adjusted to OD 0.1</w:t>
      </w:r>
      <w:r w:rsidR="003E329B">
        <w:rPr>
          <w:bCs/>
          <w:iCs w:val="0"/>
          <w:color w:val="auto"/>
        </w:rPr>
        <w:t xml:space="preserve"> (approximately 4.84 </w:t>
      </w:r>
      <w:r w:rsidR="003E329B" w:rsidRPr="00606800">
        <w:rPr>
          <w:rFonts w:cstheme="minorHAnsi"/>
          <w:color w:val="auto"/>
        </w:rPr>
        <w:t xml:space="preserve">× </w:t>
      </w:r>
      <w:r w:rsidR="003E329B" w:rsidRPr="00606800">
        <w:rPr>
          <w:color w:val="auto"/>
        </w:rPr>
        <w:t>10</w:t>
      </w:r>
      <w:r w:rsidR="003E329B">
        <w:rPr>
          <w:color w:val="auto"/>
          <w:vertAlign w:val="superscript"/>
        </w:rPr>
        <w:t>7</w:t>
      </w:r>
      <w:r w:rsidR="003E329B" w:rsidRPr="00606800">
        <w:rPr>
          <w:color w:val="auto"/>
        </w:rPr>
        <w:t xml:space="preserve"> cells/mL</w:t>
      </w:r>
      <w:r w:rsidR="003E329B" w:rsidRPr="00606800">
        <w:rPr>
          <w:color w:val="auto"/>
          <w:vertAlign w:val="superscript"/>
        </w:rPr>
        <w:t>-1</w:t>
      </w:r>
      <w:r w:rsidR="003E329B">
        <w:rPr>
          <w:bCs/>
          <w:iCs w:val="0"/>
          <w:color w:val="auto"/>
        </w:rPr>
        <w:t>)</w:t>
      </w:r>
      <w:r w:rsidR="002555BD">
        <w:rPr>
          <w:bCs/>
          <w:iCs w:val="0"/>
          <w:color w:val="auto"/>
        </w:rPr>
        <w:t xml:space="preserve"> and OD 0.01</w:t>
      </w:r>
      <w:r w:rsidR="003E329B">
        <w:rPr>
          <w:bCs/>
          <w:iCs w:val="0"/>
          <w:color w:val="auto"/>
        </w:rPr>
        <w:t xml:space="preserve"> (approximately 4.21 </w:t>
      </w:r>
      <w:r w:rsidR="003E329B" w:rsidRPr="00606800">
        <w:rPr>
          <w:rFonts w:cstheme="minorHAnsi"/>
          <w:color w:val="auto"/>
        </w:rPr>
        <w:t xml:space="preserve">× </w:t>
      </w:r>
      <w:r w:rsidR="003E329B" w:rsidRPr="00606800">
        <w:rPr>
          <w:color w:val="auto"/>
        </w:rPr>
        <w:t>10</w:t>
      </w:r>
      <w:r w:rsidR="003E329B">
        <w:rPr>
          <w:color w:val="auto"/>
          <w:vertAlign w:val="superscript"/>
        </w:rPr>
        <w:t>6</w:t>
      </w:r>
      <w:r w:rsidR="003E329B" w:rsidRPr="00606800">
        <w:rPr>
          <w:color w:val="auto"/>
        </w:rPr>
        <w:t xml:space="preserve"> cells/mL</w:t>
      </w:r>
      <w:r w:rsidR="003E329B" w:rsidRPr="00606800">
        <w:rPr>
          <w:color w:val="auto"/>
          <w:vertAlign w:val="superscript"/>
        </w:rPr>
        <w:t>-1</w:t>
      </w:r>
      <w:r w:rsidR="003E329B">
        <w:rPr>
          <w:bCs/>
          <w:iCs w:val="0"/>
          <w:color w:val="auto"/>
        </w:rPr>
        <w:t>)</w:t>
      </w:r>
      <w:r w:rsidR="002555BD">
        <w:rPr>
          <w:bCs/>
          <w:iCs w:val="0"/>
          <w:color w:val="auto"/>
        </w:rPr>
        <w:t xml:space="preserve">. </w:t>
      </w:r>
      <w:r w:rsidR="002555BD" w:rsidRPr="007503FF">
        <w:rPr>
          <w:b w:val="0"/>
          <w:color w:val="auto"/>
        </w:rPr>
        <w:t>The results represent mean values and standard errors across replicates (n = 3) and are displayed as time course diagrams illustrating overall survival trends. Lines between data points are shown to aid visual orientation.</w:t>
      </w:r>
    </w:p>
    <w:p w14:paraId="22948D48" w14:textId="77777777" w:rsidR="00EB19D0" w:rsidRDefault="00EB19D0" w:rsidP="00EB19D0">
      <w:pPr>
        <w:keepNext/>
        <w:jc w:val="both"/>
      </w:pPr>
      <w:r>
        <w:rPr>
          <w:noProof/>
        </w:rPr>
        <w:lastRenderedPageBreak/>
        <w:drawing>
          <wp:inline distT="0" distB="0" distL="0" distR="0" wp14:anchorId="28871613" wp14:editId="3248C996">
            <wp:extent cx="5924550" cy="3309938"/>
            <wp:effectExtent l="0" t="0" r="0" b="508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0" b="21141"/>
                    <a:stretch/>
                  </pic:blipFill>
                  <pic:spPr bwMode="auto">
                    <a:xfrm>
                      <a:off x="0" y="0"/>
                      <a:ext cx="5924550" cy="330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CB79B" w14:textId="52A5AA60" w:rsidR="00EB19D0" w:rsidRDefault="00EB19D0" w:rsidP="00EB19D0">
      <w:pPr>
        <w:pStyle w:val="Beschriftung"/>
      </w:pPr>
      <w:r>
        <w:t>Supplementary 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22EE4">
        <w:rPr>
          <w:noProof/>
        </w:rPr>
        <w:t>2</w:t>
      </w:r>
      <w:r>
        <w:fldChar w:fldCharType="end"/>
      </w:r>
      <w:r>
        <w:t>:</w:t>
      </w:r>
      <w:r w:rsidR="00C2495D">
        <w:t xml:space="preserve"> Principal component analysis (PCA) of the transcriptomic sequencing output in the wild</w:t>
      </w:r>
      <w:r w:rsidR="00C2495D">
        <w:noBreakHyphen/>
        <w:t xml:space="preserve">type </w:t>
      </w:r>
      <w:r w:rsidR="00C2495D" w:rsidRPr="00C2495D">
        <w:rPr>
          <w:i/>
        </w:rPr>
        <w:t>Escherichia coli</w:t>
      </w:r>
      <w:r w:rsidR="00C2495D">
        <w:t xml:space="preserve"> (Ec1) after incubation in river water (RW) and tap water (TW).</w:t>
      </w:r>
      <w:r w:rsidR="00C2495D">
        <w:rPr>
          <w:b w:val="0"/>
        </w:rPr>
        <w:t xml:space="preserve"> The investigated time points included the inoculation (t0), as well as subsequent 2-day and 14-day periods of incubation.</w:t>
      </w:r>
      <w:r>
        <w:t xml:space="preserve"> </w:t>
      </w:r>
    </w:p>
    <w:p w14:paraId="5090CD50" w14:textId="77777777" w:rsidR="00C51F21" w:rsidRDefault="00C51F21" w:rsidP="00C51F21">
      <w:pPr>
        <w:keepNext/>
        <w:jc w:val="both"/>
      </w:pPr>
      <w:r>
        <w:rPr>
          <w:noProof/>
        </w:rPr>
        <w:lastRenderedPageBreak/>
        <w:drawing>
          <wp:inline distT="0" distB="0" distL="0" distR="0" wp14:anchorId="0D7A38F1" wp14:editId="60754CAE">
            <wp:extent cx="5939155" cy="3981450"/>
            <wp:effectExtent l="0" t="0" r="4445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22" b="15642"/>
                    <a:stretch/>
                  </pic:blipFill>
                  <pic:spPr bwMode="auto">
                    <a:xfrm>
                      <a:off x="0" y="0"/>
                      <a:ext cx="593915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044B39" w14:textId="387847B5" w:rsidR="009810DF" w:rsidRDefault="00C51F21" w:rsidP="00C51F21">
      <w:pPr>
        <w:pStyle w:val="Beschriftung"/>
      </w:pPr>
      <w:r>
        <w:t>Supplementary 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22EE4">
        <w:rPr>
          <w:noProof/>
        </w:rPr>
        <w:t>3</w:t>
      </w:r>
      <w:r>
        <w:fldChar w:fldCharType="end"/>
      </w:r>
      <w:r>
        <w:t>:</w:t>
      </w:r>
      <w:r w:rsidR="00C2495D" w:rsidRPr="00C2495D">
        <w:t xml:space="preserve"> </w:t>
      </w:r>
      <w:r w:rsidR="00C2495D">
        <w:t>Principal component analysis (PCA) of the transcriptomic sequencing output in the wild</w:t>
      </w:r>
      <w:r w:rsidR="00C2495D">
        <w:noBreakHyphen/>
        <w:t xml:space="preserve">type </w:t>
      </w:r>
      <w:r w:rsidR="00C2495D" w:rsidRPr="00C2495D">
        <w:rPr>
          <w:i/>
        </w:rPr>
        <w:t>Escherichia coli</w:t>
      </w:r>
      <w:r w:rsidR="00C2495D">
        <w:t xml:space="preserve"> (Ec2) after incubation in river water (RW) and tap water (TW).</w:t>
      </w:r>
      <w:r w:rsidR="00C2495D">
        <w:rPr>
          <w:b w:val="0"/>
        </w:rPr>
        <w:t xml:space="preserve"> The investigated time points included the inoculation (t0), as well as subsequent 2-day and 14-day periods of incubation.</w:t>
      </w:r>
    </w:p>
    <w:p w14:paraId="5CE87684" w14:textId="77777777" w:rsidR="002D6CFE" w:rsidRDefault="002D6CFE" w:rsidP="002D6CFE">
      <w:pPr>
        <w:keepNext/>
      </w:pPr>
      <w:r>
        <w:rPr>
          <w:noProof/>
        </w:rPr>
        <w:lastRenderedPageBreak/>
        <w:drawing>
          <wp:inline distT="0" distB="0" distL="0" distR="0" wp14:anchorId="44A1F26F" wp14:editId="26B0BF86">
            <wp:extent cx="5938812" cy="5072063"/>
            <wp:effectExtent l="0" t="0" r="508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8" b="6977"/>
                    <a:stretch/>
                  </pic:blipFill>
                  <pic:spPr bwMode="auto">
                    <a:xfrm>
                      <a:off x="0" y="0"/>
                      <a:ext cx="5939155" cy="507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83735" w14:textId="5D09C180" w:rsidR="002D6CFE" w:rsidRDefault="002D6CFE" w:rsidP="002D6CFE">
      <w:pPr>
        <w:pStyle w:val="Beschriftung"/>
        <w:jc w:val="left"/>
      </w:pPr>
      <w:r>
        <w:t>Supplementary 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22EE4">
        <w:rPr>
          <w:noProof/>
        </w:rPr>
        <w:t>4</w:t>
      </w:r>
      <w:r>
        <w:fldChar w:fldCharType="end"/>
      </w:r>
      <w:r>
        <w:t xml:space="preserve">: </w:t>
      </w:r>
      <w:r w:rsidR="00C2495D">
        <w:t>Principal component analysis (PCA) of the transcriptomic sequencing output in the plasmid</w:t>
      </w:r>
      <w:r w:rsidR="00C2495D">
        <w:noBreakHyphen/>
        <w:t xml:space="preserve">cured </w:t>
      </w:r>
      <w:r w:rsidR="00C2495D" w:rsidRPr="00C2495D">
        <w:rPr>
          <w:i/>
        </w:rPr>
        <w:t>Escherichia coli</w:t>
      </w:r>
      <w:r w:rsidR="00C2495D">
        <w:t xml:space="preserve"> (</w:t>
      </w:r>
      <w:r w:rsidR="00B13D17">
        <w:t>PCV-</w:t>
      </w:r>
      <w:r w:rsidR="00C2495D">
        <w:t>Ec2) after incubation in river water (RW) and tap water (TW).</w:t>
      </w:r>
      <w:r w:rsidR="00C2495D">
        <w:rPr>
          <w:b w:val="0"/>
        </w:rPr>
        <w:t xml:space="preserve"> The investigated time points included the inoculation (t0), as well as subsequent 2-day and 14-day periods of incubation.</w:t>
      </w:r>
    </w:p>
    <w:p w14:paraId="23567445" w14:textId="77777777" w:rsidR="002D6CFE" w:rsidRDefault="002D6CFE" w:rsidP="002D6CFE">
      <w:pPr>
        <w:keepNext/>
      </w:pPr>
      <w:r>
        <w:rPr>
          <w:noProof/>
        </w:rPr>
        <w:lastRenderedPageBreak/>
        <w:drawing>
          <wp:inline distT="0" distB="0" distL="0" distR="0" wp14:anchorId="003A8225" wp14:editId="6176D405">
            <wp:extent cx="5939155" cy="3224213"/>
            <wp:effectExtent l="0" t="0" r="4445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56" b="21656"/>
                    <a:stretch/>
                  </pic:blipFill>
                  <pic:spPr bwMode="auto">
                    <a:xfrm>
                      <a:off x="0" y="0"/>
                      <a:ext cx="5939155" cy="322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5790B" w14:textId="16204A3C" w:rsidR="002D6CFE" w:rsidRDefault="002D6CFE" w:rsidP="002D6CFE">
      <w:pPr>
        <w:pStyle w:val="Beschriftung"/>
        <w:jc w:val="left"/>
      </w:pPr>
      <w:r>
        <w:t>Supplementary 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22EE4">
        <w:rPr>
          <w:noProof/>
        </w:rPr>
        <w:t>5</w:t>
      </w:r>
      <w:r>
        <w:fldChar w:fldCharType="end"/>
      </w:r>
      <w:r>
        <w:t>:</w:t>
      </w:r>
      <w:r w:rsidR="00433350" w:rsidRPr="00433350">
        <w:t xml:space="preserve"> </w:t>
      </w:r>
      <w:r w:rsidR="00433350">
        <w:t>Principal component analysis (PCA) of the transcriptomic sequencing output in the wild</w:t>
      </w:r>
      <w:r w:rsidR="00433350">
        <w:noBreakHyphen/>
        <w:t xml:space="preserve">type </w:t>
      </w:r>
      <w:r w:rsidR="00433350">
        <w:rPr>
          <w:i/>
        </w:rPr>
        <w:t>Klebsiella pneumoniae</w:t>
      </w:r>
      <w:r w:rsidR="00433350">
        <w:t xml:space="preserve"> (</w:t>
      </w:r>
      <w:proofErr w:type="spellStart"/>
      <w:r w:rsidR="00433350">
        <w:t>Kp</w:t>
      </w:r>
      <w:proofErr w:type="spellEnd"/>
      <w:r w:rsidR="00433350">
        <w:t>) after incubation in river water (RW) and tap water (TW).</w:t>
      </w:r>
      <w:r w:rsidR="00433350">
        <w:rPr>
          <w:b w:val="0"/>
        </w:rPr>
        <w:t xml:space="preserve"> The investigated time points included the inoculation (t0), as well as subsequent 2-day and 14-day periods of incubation.</w:t>
      </w:r>
    </w:p>
    <w:p w14:paraId="3720F868" w14:textId="77777777" w:rsidR="00222EE4" w:rsidRDefault="00222EE4" w:rsidP="00211E66">
      <w:pPr>
        <w:keepNext/>
        <w:spacing w:before="240"/>
      </w:pPr>
      <w:r>
        <w:rPr>
          <w:noProof/>
        </w:rPr>
        <w:drawing>
          <wp:inline distT="0" distB="0" distL="0" distR="0" wp14:anchorId="295B79D6" wp14:editId="4C3344BA">
            <wp:extent cx="5938723" cy="2957512"/>
            <wp:effectExtent l="0" t="0" r="508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03" b="23496"/>
                    <a:stretch/>
                  </pic:blipFill>
                  <pic:spPr bwMode="auto">
                    <a:xfrm>
                      <a:off x="0" y="0"/>
                      <a:ext cx="5939155" cy="295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48FC19" w14:textId="415CB85F" w:rsidR="00222EE4" w:rsidRPr="00222EE4" w:rsidRDefault="00222EE4" w:rsidP="00222EE4">
      <w:pPr>
        <w:pStyle w:val="Beschriftung"/>
        <w:jc w:val="left"/>
      </w:pPr>
      <w:r>
        <w:t>Supplementary 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>:</w:t>
      </w:r>
      <w:r w:rsidR="00A46C91" w:rsidRPr="00A46C91">
        <w:t xml:space="preserve"> </w:t>
      </w:r>
      <w:r w:rsidR="00A46C91">
        <w:t>Principal component analysis (PCA) of the transcriptomic sequencing output in the plasmid</w:t>
      </w:r>
      <w:r w:rsidR="00A46C91">
        <w:noBreakHyphen/>
        <w:t xml:space="preserve">cured </w:t>
      </w:r>
      <w:r w:rsidR="00A46C91">
        <w:rPr>
          <w:i/>
        </w:rPr>
        <w:t>Klebsiella pneumoniae</w:t>
      </w:r>
      <w:r w:rsidR="00A46C91">
        <w:t xml:space="preserve"> (PCV-</w:t>
      </w:r>
      <w:proofErr w:type="spellStart"/>
      <w:r w:rsidR="00A46C91">
        <w:t>Kp</w:t>
      </w:r>
      <w:proofErr w:type="spellEnd"/>
      <w:r w:rsidR="00A46C91">
        <w:t>) after incubation in river water (RW) and tap water (TW).</w:t>
      </w:r>
      <w:r w:rsidR="00A46C91">
        <w:rPr>
          <w:b w:val="0"/>
        </w:rPr>
        <w:t xml:space="preserve"> The investigated time points included the inoculation (t0), as well as subsequent 2-day and 14-day periods of incubation.</w:t>
      </w:r>
    </w:p>
    <w:p w14:paraId="139919EE" w14:textId="5F68EE10" w:rsidR="00C41844" w:rsidRDefault="00C41844" w:rsidP="007503FF">
      <w:pPr>
        <w:keepNext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564EFE52" wp14:editId="697F9AF7">
            <wp:extent cx="5943600" cy="427990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BE5FC" w14:textId="1542304D" w:rsidR="00B87DA7" w:rsidRPr="00E96CEE" w:rsidRDefault="00B87DA7" w:rsidP="007503FF">
      <w:pPr>
        <w:pStyle w:val="Beschriftung"/>
        <w:rPr>
          <w:b w:val="0"/>
        </w:rPr>
      </w:pPr>
      <w:r>
        <w:t>Supplementary 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22EE4">
        <w:rPr>
          <w:noProof/>
        </w:rPr>
        <w:t>7</w:t>
      </w:r>
      <w:r>
        <w:fldChar w:fldCharType="end"/>
      </w:r>
      <w:r>
        <w:t>:</w:t>
      </w:r>
      <w:r w:rsidR="00AB6BBE">
        <w:t xml:space="preserve"> Upset Plot depicting the abundance of differentially expressed genes</w:t>
      </w:r>
      <w:r w:rsidR="00E96CEE">
        <w:t xml:space="preserve"> (DEGs)</w:t>
      </w:r>
      <w:r w:rsidR="00AB6BBE">
        <w:t xml:space="preserve"> in</w:t>
      </w:r>
      <w:r w:rsidR="00B04D45">
        <w:t xml:space="preserve"> the wild-type</w:t>
      </w:r>
      <w:r w:rsidR="00AB6BBE">
        <w:t xml:space="preserve"> </w:t>
      </w:r>
      <w:r w:rsidR="00AB6BBE" w:rsidRPr="00AB6BBE">
        <w:rPr>
          <w:i/>
        </w:rPr>
        <w:t>Escherichia coli</w:t>
      </w:r>
      <w:r w:rsidR="00AB6BBE">
        <w:t xml:space="preserve"> (Ec1) after incubation in river water (R</w:t>
      </w:r>
      <w:r w:rsidR="00E96CEE">
        <w:t>yck</w:t>
      </w:r>
      <w:r w:rsidR="00AB6BBE">
        <w:t>) and tap water (TW).</w:t>
      </w:r>
      <w:r w:rsidR="00E96CEE">
        <w:rPr>
          <w:b w:val="0"/>
        </w:rPr>
        <w:t xml:space="preserve"> The intersection matrix (bottom)</w:t>
      </w:r>
      <w:r w:rsidR="00AB6BBE">
        <w:t xml:space="preserve"> </w:t>
      </w:r>
      <w:r w:rsidR="00E96CEE" w:rsidRPr="00E96CEE">
        <w:rPr>
          <w:b w:val="0"/>
        </w:rPr>
        <w:t>shows</w:t>
      </w:r>
      <w:r w:rsidR="00E96CEE">
        <w:rPr>
          <w:b w:val="0"/>
        </w:rPr>
        <w:t xml:space="preserve"> overlapping DEGs between the different water types after incubation for 2 days (t00-t02), 14 days</w:t>
      </w:r>
      <w:r w:rsidR="00E96CEE">
        <w:t xml:space="preserve"> </w:t>
      </w:r>
      <w:r w:rsidR="00E96CEE" w:rsidRPr="00E96CEE">
        <w:rPr>
          <w:b w:val="0"/>
        </w:rPr>
        <w:t>(</w:t>
      </w:r>
      <w:r w:rsidR="00E96CEE">
        <w:rPr>
          <w:b w:val="0"/>
        </w:rPr>
        <w:t>t00-t14</w:t>
      </w:r>
      <w:r w:rsidR="00E96CEE" w:rsidRPr="00E96CEE">
        <w:rPr>
          <w:b w:val="0"/>
        </w:rPr>
        <w:t>)</w:t>
      </w:r>
      <w:r w:rsidR="00E96CEE">
        <w:rPr>
          <w:b w:val="0"/>
        </w:rPr>
        <w:t>, and between day 2 and 14 (t02-t14).</w:t>
      </w:r>
      <w:r w:rsidR="00822C83">
        <w:rPr>
          <w:b w:val="0"/>
        </w:rPr>
        <w:t xml:space="preserve"> Differential expression is divided into down- (↓</w:t>
      </w:r>
      <w:r w:rsidR="00CC1648">
        <w:rPr>
          <w:b w:val="0"/>
        </w:rPr>
        <w:t>; red</w:t>
      </w:r>
      <w:r w:rsidR="00822C83">
        <w:rPr>
          <w:b w:val="0"/>
        </w:rPr>
        <w:t>) and upregulation (↑</w:t>
      </w:r>
      <w:r w:rsidR="00CC1648">
        <w:rPr>
          <w:b w:val="0"/>
        </w:rPr>
        <w:t>; blue</w:t>
      </w:r>
      <w:r w:rsidR="00822C83">
        <w:rPr>
          <w:b w:val="0"/>
        </w:rPr>
        <w:t>).</w:t>
      </w:r>
      <w:r w:rsidR="00803549">
        <w:rPr>
          <w:b w:val="0"/>
        </w:rPr>
        <w:t xml:space="preserve"> Overlaps between down- and upregulated genes are marked with purple.</w:t>
      </w:r>
    </w:p>
    <w:p w14:paraId="15C56199" w14:textId="50C6959E" w:rsidR="009810DF" w:rsidRDefault="009810DF" w:rsidP="007503FF">
      <w:pPr>
        <w:jc w:val="both"/>
      </w:pPr>
    </w:p>
    <w:p w14:paraId="74899BF5" w14:textId="1B3BCC99" w:rsidR="00B639F1" w:rsidRDefault="00B639F1" w:rsidP="007503FF">
      <w:pPr>
        <w:keepNext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2C5557AF" wp14:editId="041E58A8">
            <wp:extent cx="5937250" cy="3733800"/>
            <wp:effectExtent l="0" t="0" r="635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AAED7" w14:textId="6E4AB787" w:rsidR="00564179" w:rsidRPr="00B639F1" w:rsidRDefault="00564179" w:rsidP="00B639F1">
      <w:pPr>
        <w:keepNext/>
        <w:jc w:val="both"/>
        <w:rPr>
          <w:sz w:val="18"/>
          <w:szCs w:val="18"/>
        </w:rPr>
      </w:pPr>
      <w:r w:rsidRPr="00B639F1">
        <w:rPr>
          <w:b/>
          <w:bCs/>
          <w:sz w:val="18"/>
          <w:szCs w:val="18"/>
        </w:rPr>
        <w:t>Supplementary Figure S</w:t>
      </w:r>
      <w:r w:rsidRPr="00B639F1">
        <w:rPr>
          <w:b/>
          <w:bCs/>
          <w:sz w:val="18"/>
          <w:szCs w:val="18"/>
        </w:rPr>
        <w:fldChar w:fldCharType="begin"/>
      </w:r>
      <w:r w:rsidRPr="00B639F1">
        <w:rPr>
          <w:b/>
          <w:bCs/>
          <w:sz w:val="18"/>
          <w:szCs w:val="18"/>
        </w:rPr>
        <w:instrText xml:space="preserve"> SEQ Figure \* ARABIC </w:instrText>
      </w:r>
      <w:r w:rsidRPr="00B639F1">
        <w:rPr>
          <w:b/>
          <w:bCs/>
          <w:sz w:val="18"/>
          <w:szCs w:val="18"/>
        </w:rPr>
        <w:fldChar w:fldCharType="separate"/>
      </w:r>
      <w:r w:rsidR="00222EE4" w:rsidRPr="00B639F1">
        <w:rPr>
          <w:b/>
          <w:bCs/>
          <w:noProof/>
          <w:sz w:val="18"/>
          <w:szCs w:val="18"/>
        </w:rPr>
        <w:t>8</w:t>
      </w:r>
      <w:r w:rsidRPr="00B639F1">
        <w:rPr>
          <w:b/>
          <w:bCs/>
          <w:sz w:val="18"/>
          <w:szCs w:val="18"/>
        </w:rPr>
        <w:fldChar w:fldCharType="end"/>
      </w:r>
      <w:r w:rsidRPr="00B639F1">
        <w:rPr>
          <w:b/>
          <w:bCs/>
          <w:sz w:val="18"/>
          <w:szCs w:val="18"/>
        </w:rPr>
        <w:t xml:space="preserve">: </w:t>
      </w:r>
      <w:r w:rsidR="00B04D45" w:rsidRPr="00B639F1">
        <w:rPr>
          <w:b/>
          <w:bCs/>
          <w:sz w:val="18"/>
          <w:szCs w:val="18"/>
        </w:rPr>
        <w:t>Upset Plot depicting the abundance of differentially expressed genes (DEGs) in</w:t>
      </w:r>
      <w:r w:rsidR="00BC4003" w:rsidRPr="00B639F1">
        <w:rPr>
          <w:b/>
          <w:bCs/>
          <w:sz w:val="18"/>
          <w:szCs w:val="18"/>
        </w:rPr>
        <w:t xml:space="preserve"> wild-type</w:t>
      </w:r>
      <w:r w:rsidR="00B04D45" w:rsidRPr="00B639F1">
        <w:rPr>
          <w:b/>
          <w:bCs/>
          <w:sz w:val="18"/>
          <w:szCs w:val="18"/>
        </w:rPr>
        <w:t xml:space="preserve"> </w:t>
      </w:r>
      <w:r w:rsidR="00B04D45" w:rsidRPr="00B639F1">
        <w:rPr>
          <w:b/>
          <w:bCs/>
          <w:i/>
          <w:sz w:val="18"/>
          <w:szCs w:val="18"/>
        </w:rPr>
        <w:t>Escherichia coli</w:t>
      </w:r>
      <w:r w:rsidR="00B04D45" w:rsidRPr="00B639F1">
        <w:rPr>
          <w:b/>
          <w:bCs/>
          <w:sz w:val="18"/>
          <w:szCs w:val="18"/>
        </w:rPr>
        <w:t xml:space="preserve"> (Ec2) after incubation in river water (Ryck) and tap water (TW).</w:t>
      </w:r>
      <w:r w:rsidR="00B04D45" w:rsidRPr="00B639F1">
        <w:rPr>
          <w:sz w:val="18"/>
          <w:szCs w:val="18"/>
        </w:rPr>
        <w:t xml:space="preserve"> The intersection matrix (bottom) shows overlapping DEGs between the different water types after incubation for 2 days (t00-t02), 14 days (t00-t14), and between day 2 and 14 (t02-t14). Differential expression is divided into down- (↓; red) and upregulation (↑; blue). Overlaps between down- and upregulated genes are marked with purple.</w:t>
      </w:r>
    </w:p>
    <w:p w14:paraId="7436E548" w14:textId="7C249024" w:rsidR="009810DF" w:rsidRDefault="009810DF" w:rsidP="007503FF">
      <w:pPr>
        <w:jc w:val="both"/>
      </w:pPr>
    </w:p>
    <w:p w14:paraId="46A7E99C" w14:textId="27053E54" w:rsidR="00886609" w:rsidRDefault="00886609" w:rsidP="007503FF">
      <w:pPr>
        <w:keepNext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20FC6975" wp14:editId="5B3F50A2">
            <wp:extent cx="5937250" cy="37465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677" w14:textId="6047B61D" w:rsidR="00564179" w:rsidRDefault="00564179" w:rsidP="007503FF">
      <w:pPr>
        <w:pStyle w:val="Beschriftung"/>
      </w:pPr>
      <w:r>
        <w:t>Supplementary 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22EE4">
        <w:rPr>
          <w:noProof/>
        </w:rPr>
        <w:t>9</w:t>
      </w:r>
      <w:r>
        <w:fldChar w:fldCharType="end"/>
      </w:r>
      <w:r>
        <w:t xml:space="preserve">: </w:t>
      </w:r>
      <w:r w:rsidR="00B04D45">
        <w:t xml:space="preserve">Upset Plot depicting the abundance of differentially expressed genes (DEGs) in </w:t>
      </w:r>
      <w:r w:rsidR="00A52B26">
        <w:t>plasmid-cured</w:t>
      </w:r>
      <w:r w:rsidR="00B04D45">
        <w:t xml:space="preserve"> </w:t>
      </w:r>
      <w:r w:rsidR="00B04D45" w:rsidRPr="00AB6BBE">
        <w:rPr>
          <w:i/>
        </w:rPr>
        <w:t>Escherichia coli</w:t>
      </w:r>
      <w:r w:rsidR="00B04D45">
        <w:t xml:space="preserve"> (</w:t>
      </w:r>
      <w:r w:rsidR="00BB7A90">
        <w:t>PCV-</w:t>
      </w:r>
      <w:r w:rsidR="00B04D45">
        <w:t>Ec</w:t>
      </w:r>
      <w:r w:rsidR="00BB7A90">
        <w:t>2</w:t>
      </w:r>
      <w:r w:rsidR="00B04D45">
        <w:t>) after incubation in river water (Ryck) and tap water (TW).</w:t>
      </w:r>
      <w:r w:rsidR="00B04D45">
        <w:rPr>
          <w:b w:val="0"/>
        </w:rPr>
        <w:t xml:space="preserve"> The intersection matrix (bottom)</w:t>
      </w:r>
      <w:r w:rsidR="00B04D45">
        <w:t xml:space="preserve"> </w:t>
      </w:r>
      <w:r w:rsidR="00B04D45" w:rsidRPr="00E96CEE">
        <w:rPr>
          <w:b w:val="0"/>
        </w:rPr>
        <w:t>shows</w:t>
      </w:r>
      <w:r w:rsidR="00B04D45">
        <w:rPr>
          <w:b w:val="0"/>
        </w:rPr>
        <w:t xml:space="preserve"> overlapping DEGs between the different water types after incubation for 2 days (t00-t02), 14 days</w:t>
      </w:r>
      <w:r w:rsidR="00B04D45">
        <w:t xml:space="preserve"> </w:t>
      </w:r>
      <w:r w:rsidR="00B04D45" w:rsidRPr="00E96CEE">
        <w:rPr>
          <w:b w:val="0"/>
        </w:rPr>
        <w:t>(</w:t>
      </w:r>
      <w:r w:rsidR="00B04D45">
        <w:rPr>
          <w:b w:val="0"/>
        </w:rPr>
        <w:t>t00-t14</w:t>
      </w:r>
      <w:r w:rsidR="00B04D45" w:rsidRPr="00E96CEE">
        <w:rPr>
          <w:b w:val="0"/>
        </w:rPr>
        <w:t>)</w:t>
      </w:r>
      <w:r w:rsidR="00B04D45">
        <w:rPr>
          <w:b w:val="0"/>
        </w:rPr>
        <w:t>, and between day 2 and 14 (t02-t14). Differential expression is divided into down- (↓; red) and upregulation (↑; blue). Overlaps between down- and upregulated genes are marked with purple.</w:t>
      </w:r>
    </w:p>
    <w:p w14:paraId="1DB65BCB" w14:textId="04BDA7A8" w:rsidR="009810DF" w:rsidRDefault="009810DF" w:rsidP="007503FF">
      <w:pPr>
        <w:jc w:val="both"/>
      </w:pPr>
    </w:p>
    <w:p w14:paraId="53619130" w14:textId="76FBE615" w:rsidR="00A33214" w:rsidRDefault="00A33214" w:rsidP="0011751B">
      <w:pPr>
        <w:keepNext/>
        <w:keepLines/>
        <w:pageBreakBefore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3A38672A" wp14:editId="466049CC">
            <wp:extent cx="5930900" cy="259715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40A12" w14:textId="454288AA" w:rsidR="00564179" w:rsidRDefault="00564179" w:rsidP="007503FF">
      <w:pPr>
        <w:pStyle w:val="Beschriftung"/>
      </w:pPr>
      <w:r>
        <w:t>Supplementary 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22EE4">
        <w:rPr>
          <w:noProof/>
        </w:rPr>
        <w:t>10</w:t>
      </w:r>
      <w:r>
        <w:fldChar w:fldCharType="end"/>
      </w:r>
      <w:r>
        <w:t>:</w:t>
      </w:r>
      <w:r w:rsidR="00E30905">
        <w:t xml:space="preserve"> Upset Plot depicting the abundance of differentially expressed genes (DEGs) in </w:t>
      </w:r>
      <w:r w:rsidR="007503FF">
        <w:t xml:space="preserve">wild-type </w:t>
      </w:r>
      <w:r w:rsidR="00E30905">
        <w:rPr>
          <w:i/>
        </w:rPr>
        <w:t>Klebsiella</w:t>
      </w:r>
      <w:r w:rsidR="00E30905" w:rsidRPr="00AB6BBE">
        <w:rPr>
          <w:i/>
        </w:rPr>
        <w:t> </w:t>
      </w:r>
      <w:r w:rsidR="00E30905">
        <w:rPr>
          <w:i/>
        </w:rPr>
        <w:t>pneumoniae</w:t>
      </w:r>
      <w:r w:rsidR="00E30905">
        <w:t xml:space="preserve"> (</w:t>
      </w:r>
      <w:proofErr w:type="spellStart"/>
      <w:r w:rsidR="00E30905">
        <w:t>Kp</w:t>
      </w:r>
      <w:proofErr w:type="spellEnd"/>
      <w:r w:rsidR="00E30905">
        <w:t>) after incubation in river water (Ryck) and tap water (TW).</w:t>
      </w:r>
      <w:r w:rsidR="00E30905">
        <w:rPr>
          <w:b w:val="0"/>
        </w:rPr>
        <w:t xml:space="preserve"> The intersection matrix (bottom)</w:t>
      </w:r>
      <w:r w:rsidR="00E30905">
        <w:t xml:space="preserve"> </w:t>
      </w:r>
      <w:r w:rsidR="00E30905" w:rsidRPr="00E96CEE">
        <w:rPr>
          <w:b w:val="0"/>
        </w:rPr>
        <w:t>shows</w:t>
      </w:r>
      <w:r w:rsidR="00E30905">
        <w:rPr>
          <w:b w:val="0"/>
        </w:rPr>
        <w:t xml:space="preserve"> overlapping DEGs between the different water types after incubation for 2 days (t00-t02), 14 days</w:t>
      </w:r>
      <w:r w:rsidR="00E30905">
        <w:t xml:space="preserve"> </w:t>
      </w:r>
      <w:r w:rsidR="00E30905" w:rsidRPr="00E96CEE">
        <w:rPr>
          <w:b w:val="0"/>
        </w:rPr>
        <w:t>(</w:t>
      </w:r>
      <w:r w:rsidR="00E30905">
        <w:rPr>
          <w:b w:val="0"/>
        </w:rPr>
        <w:t>t00-t14</w:t>
      </w:r>
      <w:r w:rsidR="00E30905" w:rsidRPr="00E96CEE">
        <w:rPr>
          <w:b w:val="0"/>
        </w:rPr>
        <w:t>)</w:t>
      </w:r>
      <w:r w:rsidR="00E30905">
        <w:rPr>
          <w:b w:val="0"/>
        </w:rPr>
        <w:t>, and between day 2 and 14 (t02-t14). Differential expression is divided into down- (↓; red) and upregulation (↑; blue). Overlaps between down- and upregulated genes are marked with purple.</w:t>
      </w:r>
    </w:p>
    <w:p w14:paraId="3DA5194F" w14:textId="6B1346F1" w:rsidR="009810DF" w:rsidRDefault="009810DF" w:rsidP="007503FF">
      <w:pPr>
        <w:jc w:val="both"/>
      </w:pPr>
    </w:p>
    <w:p w14:paraId="2D1EBC66" w14:textId="50D7D7E9" w:rsidR="00564179" w:rsidRDefault="00F40858" w:rsidP="00F01860">
      <w:pPr>
        <w:keepNext/>
        <w:keepLines/>
        <w:jc w:val="both"/>
      </w:pPr>
      <w:r>
        <w:rPr>
          <w:noProof/>
        </w:rPr>
        <w:lastRenderedPageBreak/>
        <w:drawing>
          <wp:inline distT="0" distB="0" distL="0" distR="0" wp14:anchorId="50B38AA5" wp14:editId="0382DDFD">
            <wp:extent cx="5935345" cy="3730625"/>
            <wp:effectExtent l="0" t="0" r="8255" b="317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9050A" w14:textId="399945E7" w:rsidR="009810DF" w:rsidRPr="009810DF" w:rsidRDefault="00564179" w:rsidP="00F01860">
      <w:pPr>
        <w:pStyle w:val="Beschriftung"/>
        <w:keepNext/>
        <w:keepLines/>
      </w:pPr>
      <w:r>
        <w:t>Supplementary 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22EE4">
        <w:rPr>
          <w:noProof/>
        </w:rPr>
        <w:t>11</w:t>
      </w:r>
      <w:r>
        <w:fldChar w:fldCharType="end"/>
      </w:r>
      <w:r>
        <w:t>:</w:t>
      </w:r>
      <w:r w:rsidR="007503FF">
        <w:t xml:space="preserve"> Upset Plot depicting the abundance of differentially expressed genes (DEGs) in plasmid-cured </w:t>
      </w:r>
      <w:r w:rsidR="007503FF">
        <w:rPr>
          <w:i/>
        </w:rPr>
        <w:t>Klebsiella</w:t>
      </w:r>
      <w:r w:rsidR="007503FF" w:rsidRPr="00AB6BBE">
        <w:rPr>
          <w:i/>
        </w:rPr>
        <w:t> </w:t>
      </w:r>
      <w:r w:rsidR="007503FF">
        <w:rPr>
          <w:i/>
        </w:rPr>
        <w:t>pneumoniae</w:t>
      </w:r>
      <w:r w:rsidR="007503FF">
        <w:t xml:space="preserve"> (PCV-</w:t>
      </w:r>
      <w:proofErr w:type="spellStart"/>
      <w:r w:rsidR="007503FF">
        <w:t>Kp</w:t>
      </w:r>
      <w:proofErr w:type="spellEnd"/>
      <w:r w:rsidR="007503FF">
        <w:t>) after incubation in river water (Ryck) and tap water (TW).</w:t>
      </w:r>
      <w:r w:rsidR="007503FF">
        <w:rPr>
          <w:b w:val="0"/>
        </w:rPr>
        <w:t xml:space="preserve"> The intersection matrix (bottom)</w:t>
      </w:r>
      <w:r w:rsidR="007503FF">
        <w:t xml:space="preserve"> </w:t>
      </w:r>
      <w:r w:rsidR="007503FF" w:rsidRPr="00E96CEE">
        <w:rPr>
          <w:b w:val="0"/>
        </w:rPr>
        <w:t>shows</w:t>
      </w:r>
      <w:r w:rsidR="007503FF">
        <w:rPr>
          <w:b w:val="0"/>
        </w:rPr>
        <w:t xml:space="preserve"> overlapping DEGs between the different water types after incubation for 2 days (t00-t02), 14 days</w:t>
      </w:r>
      <w:r w:rsidR="007503FF">
        <w:t xml:space="preserve"> </w:t>
      </w:r>
      <w:r w:rsidR="007503FF" w:rsidRPr="00E96CEE">
        <w:rPr>
          <w:b w:val="0"/>
        </w:rPr>
        <w:t>(</w:t>
      </w:r>
      <w:r w:rsidR="007503FF">
        <w:rPr>
          <w:b w:val="0"/>
        </w:rPr>
        <w:t>t00-t14</w:t>
      </w:r>
      <w:r w:rsidR="007503FF" w:rsidRPr="00E96CEE">
        <w:rPr>
          <w:b w:val="0"/>
        </w:rPr>
        <w:t>)</w:t>
      </w:r>
      <w:r w:rsidR="007503FF">
        <w:rPr>
          <w:b w:val="0"/>
        </w:rPr>
        <w:t>, and between day 2 and 14 (t02-t14). Differential expression is divided into down- (↓; red) and upregulation (↑; blue). Overlaps between down- and upregulated genes are marked with purple.</w:t>
      </w:r>
    </w:p>
    <w:sectPr w:rsidR="009810DF" w:rsidRPr="00981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4DF6"/>
    <w:multiLevelType w:val="multilevel"/>
    <w:tmpl w:val="35ECFB64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357631206">
    <w:abstractNumId w:val="0"/>
  </w:num>
  <w:num w:numId="2" w16cid:durableId="2110810667">
    <w:abstractNumId w:val="0"/>
  </w:num>
  <w:num w:numId="3" w16cid:durableId="90164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4"/>
    <w:rsid w:val="000B5F14"/>
    <w:rsid w:val="0011751B"/>
    <w:rsid w:val="0014106E"/>
    <w:rsid w:val="00160760"/>
    <w:rsid w:val="001C7C6E"/>
    <w:rsid w:val="00211E66"/>
    <w:rsid w:val="00222EE4"/>
    <w:rsid w:val="002555BD"/>
    <w:rsid w:val="002D6CFE"/>
    <w:rsid w:val="00306EEA"/>
    <w:rsid w:val="003D090E"/>
    <w:rsid w:val="003E329B"/>
    <w:rsid w:val="004206AB"/>
    <w:rsid w:val="00433350"/>
    <w:rsid w:val="0044293A"/>
    <w:rsid w:val="0044449C"/>
    <w:rsid w:val="0048513F"/>
    <w:rsid w:val="00536413"/>
    <w:rsid w:val="00540572"/>
    <w:rsid w:val="00564179"/>
    <w:rsid w:val="006E3B60"/>
    <w:rsid w:val="006F59DB"/>
    <w:rsid w:val="007503FF"/>
    <w:rsid w:val="00803549"/>
    <w:rsid w:val="00811E8B"/>
    <w:rsid w:val="00822C83"/>
    <w:rsid w:val="00886609"/>
    <w:rsid w:val="009810DF"/>
    <w:rsid w:val="009B2AE6"/>
    <w:rsid w:val="009B70B6"/>
    <w:rsid w:val="009E3798"/>
    <w:rsid w:val="00A33214"/>
    <w:rsid w:val="00A46C91"/>
    <w:rsid w:val="00A52B26"/>
    <w:rsid w:val="00AB6BBE"/>
    <w:rsid w:val="00B04D45"/>
    <w:rsid w:val="00B13D17"/>
    <w:rsid w:val="00B639F1"/>
    <w:rsid w:val="00B87DA7"/>
    <w:rsid w:val="00BB7A90"/>
    <w:rsid w:val="00BC4003"/>
    <w:rsid w:val="00BF4200"/>
    <w:rsid w:val="00C2495D"/>
    <w:rsid w:val="00C41844"/>
    <w:rsid w:val="00C47300"/>
    <w:rsid w:val="00C51F21"/>
    <w:rsid w:val="00CC1648"/>
    <w:rsid w:val="00CC6E06"/>
    <w:rsid w:val="00D46DB6"/>
    <w:rsid w:val="00E22C8A"/>
    <w:rsid w:val="00E30905"/>
    <w:rsid w:val="00E96CEE"/>
    <w:rsid w:val="00EA782F"/>
    <w:rsid w:val="00EB19D0"/>
    <w:rsid w:val="00EE2E9A"/>
    <w:rsid w:val="00F01860"/>
    <w:rsid w:val="00F1191A"/>
    <w:rsid w:val="00F40858"/>
    <w:rsid w:val="00F62C3B"/>
    <w:rsid w:val="00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92D5"/>
  <w15:chartTrackingRefBased/>
  <w15:docId w15:val="{CF92D45F-0E8A-480A-9461-7FAA66CA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379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379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379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5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5F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5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5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5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5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ssberschrift1">
    <w:name w:val="Diss Überschrift 1"/>
    <w:basedOn w:val="berschrift1"/>
    <w:link w:val="Dissberschrift1Zchn"/>
    <w:qFormat/>
    <w:rsid w:val="009E3798"/>
    <w:pPr>
      <w:spacing w:after="120"/>
      <w:jc w:val="both"/>
    </w:pPr>
    <w:rPr>
      <w:rFonts w:cs="Arial"/>
      <w:b/>
      <w:sz w:val="28"/>
      <w:lang w:val="de-DE"/>
    </w:rPr>
  </w:style>
  <w:style w:type="character" w:customStyle="1" w:styleId="Dissberschrift1Zchn">
    <w:name w:val="Diss Überschrift 1 Zchn"/>
    <w:basedOn w:val="berschrift1Zchn"/>
    <w:link w:val="Dissberschrift1"/>
    <w:rsid w:val="009E3798"/>
    <w:rPr>
      <w:rFonts w:asciiTheme="majorHAnsi" w:eastAsiaTheme="majorEastAsia" w:hAnsiTheme="majorHAnsi" w:cs="Arial"/>
      <w:b/>
      <w:color w:val="2E74B5" w:themeColor="accent1" w:themeShade="BF"/>
      <w:sz w:val="28"/>
      <w:szCs w:val="32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3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issberschrift2">
    <w:name w:val="Diss Überschrift 2"/>
    <w:basedOn w:val="berschrift2"/>
    <w:link w:val="Dissberschrift2Zchn"/>
    <w:qFormat/>
    <w:rsid w:val="009E3798"/>
    <w:pPr>
      <w:ind w:left="567" w:hanging="567"/>
      <w:jc w:val="both"/>
    </w:pPr>
    <w:rPr>
      <w:rFonts w:cs="Arial"/>
      <w:b/>
    </w:rPr>
  </w:style>
  <w:style w:type="character" w:customStyle="1" w:styleId="Dissberschrift2Zchn">
    <w:name w:val="Diss Überschrift 2 Zchn"/>
    <w:basedOn w:val="berschrift2Zchn"/>
    <w:link w:val="Dissberschrift2"/>
    <w:rsid w:val="009E3798"/>
    <w:rPr>
      <w:rFonts w:asciiTheme="majorHAnsi" w:eastAsiaTheme="majorEastAsia" w:hAnsiTheme="majorHAnsi" w:cs="Arial"/>
      <w:b/>
      <w:color w:val="2E74B5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37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issberschrift3">
    <w:name w:val="Diss Überschrift 3"/>
    <w:basedOn w:val="berschrift3"/>
    <w:link w:val="Dissberschrift3Zchn"/>
    <w:qFormat/>
    <w:rsid w:val="009E3798"/>
    <w:pPr>
      <w:numPr>
        <w:ilvl w:val="0"/>
        <w:numId w:val="0"/>
      </w:numPr>
      <w:ind w:left="357" w:hanging="357"/>
      <w:jc w:val="both"/>
    </w:pPr>
    <w:rPr>
      <w:b/>
    </w:rPr>
  </w:style>
  <w:style w:type="character" w:customStyle="1" w:styleId="Dissberschrift3Zchn">
    <w:name w:val="Diss Überschrift 3 Zchn"/>
    <w:basedOn w:val="berschrift3Zchn"/>
    <w:link w:val="Dissberschrift3"/>
    <w:rsid w:val="009E3798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37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5F1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5F1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5F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5F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5F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5F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5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5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5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5F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5F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5F1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5F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5F1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5F14"/>
    <w:rPr>
      <w:b/>
      <w:bCs/>
      <w:smallCaps/>
      <w:color w:val="2E74B5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7503FF"/>
    <w:pPr>
      <w:spacing w:after="200" w:line="240" w:lineRule="auto"/>
      <w:jc w:val="both"/>
    </w:pPr>
    <w:rPr>
      <w:b/>
      <w:iCs/>
      <w:color w:val="000000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10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10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10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10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1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467FB-D88A-465D-B18F-D54A41B8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HZI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Lübcke</dc:creator>
  <cp:keywords/>
  <dc:description/>
  <cp:lastModifiedBy>Phillip Lübcke</cp:lastModifiedBy>
  <cp:revision>42</cp:revision>
  <dcterms:created xsi:type="dcterms:W3CDTF">2025-10-15T12:59:00Z</dcterms:created>
  <dcterms:modified xsi:type="dcterms:W3CDTF">2026-03-26T12:23:00Z</dcterms:modified>
</cp:coreProperties>
</file>