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968C" w14:textId="3D5E5F75" w:rsidR="009234F1" w:rsidRDefault="009234F1" w:rsidP="00F16B20">
      <w:pPr>
        <w:pStyle w:val="Heading1"/>
      </w:pPr>
      <w:r>
        <w:t>Variable construction for the analysis</w:t>
      </w:r>
    </w:p>
    <w:p w14:paraId="3776BE15" w14:textId="17F9D483" w:rsidR="008D3E89" w:rsidRDefault="008D3E89" w:rsidP="000D5469">
      <w:pPr>
        <w:jc w:val="both"/>
      </w:pPr>
      <w:r>
        <w:t xml:space="preserve">Gender was recoded into Female/Male and a third category “Other” was recoded as NA due to its very small sample size </w:t>
      </w:r>
      <w:r w:rsidR="39A33143">
        <w:t>.</w:t>
      </w:r>
      <w:r>
        <w:t xml:space="preserve"> </w:t>
      </w:r>
      <w:r w:rsidR="39A33143">
        <w:t>A</w:t>
      </w:r>
      <w:r>
        <w:t>ge was recoded into four categories (45-54; 55-64; 65-74; 75 and over)</w:t>
      </w:r>
      <w:r w:rsidR="53784C4D">
        <w:t>.</w:t>
      </w:r>
      <w:r>
        <w:t xml:space="preserve"> </w:t>
      </w:r>
      <w:r w:rsidR="227E6831">
        <w:t>E</w:t>
      </w:r>
      <w:r>
        <w:t xml:space="preserve">ducation was recoded into three categories as Low/Middle/High. The number of chronic conditions were </w:t>
      </w:r>
      <w:r w:rsidR="003F20D5">
        <w:t>included as numeric variable</w:t>
      </w:r>
      <w:r>
        <w:t>. Post</w:t>
      </w:r>
      <w:r w:rsidRPr="7523CB98">
        <w:rPr>
          <w:rFonts w:ascii="Cambria Math" w:hAnsi="Cambria Math" w:cs="Cambria Math"/>
        </w:rPr>
        <w:t>‑</w:t>
      </w:r>
      <w:r>
        <w:t>construction quality checks were run to confirm coding, mutual exclusivity of gender, age and education level dummies among non</w:t>
      </w:r>
      <w:r w:rsidRPr="7523CB98">
        <w:rPr>
          <w:rFonts w:ascii="Cambria Math" w:hAnsi="Cambria Math" w:cs="Cambria Math"/>
        </w:rPr>
        <w:t>‑</w:t>
      </w:r>
      <w:r>
        <w:t>missing cases, and alignment between dummy totals and non</w:t>
      </w:r>
      <w:r w:rsidRPr="7523CB98">
        <w:rPr>
          <w:rFonts w:ascii="Cambria Math" w:hAnsi="Cambria Math" w:cs="Cambria Math"/>
        </w:rPr>
        <w:t>‑</w:t>
      </w:r>
      <w:r>
        <w:t>missing counts from age, gender and education level.</w:t>
      </w:r>
    </w:p>
    <w:p w14:paraId="31AD5B80" w14:textId="7B684021" w:rsidR="009345B1" w:rsidRDefault="009345B1" w:rsidP="000D5469">
      <w:pPr>
        <w:jc w:val="both"/>
      </w:pPr>
      <w:r>
        <w:t>The Person</w:t>
      </w:r>
      <w:r w:rsidRPr="7523CB98">
        <w:rPr>
          <w:rFonts w:ascii="Cambria Math" w:hAnsi="Cambria Math" w:cs="Cambria Math"/>
        </w:rPr>
        <w:t>‑</w:t>
      </w:r>
      <w:r>
        <w:t>Centred Care variable (</w:t>
      </w:r>
      <w:r w:rsidR="00CA4661">
        <w:t>P3CEQ_PC_TOT</w:t>
      </w:r>
      <w:r>
        <w:t>) was constructed by summing the responses to eight items from the P3CEQ instrument (Rp3ceq1, Rp3ceq2, Rp3ceq3, Rp3ceq4, Rp3ceq5, Rp3ceq8, Rp3ceq9, and Rp3ceq10). Higher scores reflect a more positive patient</w:t>
      </w:r>
      <w:r w:rsidRPr="7523CB98">
        <w:rPr>
          <w:rFonts w:ascii="Cambria Math" w:hAnsi="Cambria Math" w:cs="Cambria Math"/>
        </w:rPr>
        <w:t>‑</w:t>
      </w:r>
      <w:r>
        <w:t>reported experience of person</w:t>
      </w:r>
      <w:r w:rsidRPr="7523CB98">
        <w:rPr>
          <w:rFonts w:ascii="Cambria Math" w:hAnsi="Cambria Math" w:cs="Cambria Math"/>
        </w:rPr>
        <w:t>‑</w:t>
      </w:r>
      <w:r>
        <w:t>centred care.</w:t>
      </w:r>
    </w:p>
    <w:p w14:paraId="11DB118E" w14:textId="260BBDAE" w:rsidR="00C670AE" w:rsidRDefault="00C670AE" w:rsidP="000D5469">
      <w:pPr>
        <w:jc w:val="both"/>
      </w:pPr>
      <w:r>
        <w:t xml:space="preserve">The Usual Provider variable was derived from item Q_CWF1130. Respondents selecting codes 1 or 2—indicating they usually see the same primary care professional—were coded as </w:t>
      </w:r>
      <w:proofErr w:type="spellStart"/>
      <w:r>
        <w:t>usual_provider</w:t>
      </w:r>
      <w:proofErr w:type="spellEnd"/>
      <w:r>
        <w:t xml:space="preserve"> = 1. Respondents selecting code 3, indicating they do not usually see the same provider, were coded as </w:t>
      </w:r>
      <w:proofErr w:type="spellStart"/>
      <w:r>
        <w:t>usual_provider</w:t>
      </w:r>
      <w:proofErr w:type="spellEnd"/>
      <w:r>
        <w:t xml:space="preserve"> = 0. This created a binary measure of relational continuity in primary care.</w:t>
      </w:r>
    </w:p>
    <w:p w14:paraId="39C678B7" w14:textId="21A90EA2" w:rsidR="007B45F4" w:rsidRPr="00AD4A4B" w:rsidRDefault="007B45F4" w:rsidP="00AD4A4B">
      <w:pPr>
        <w:pStyle w:val="Para"/>
        <w:rPr>
          <w:b/>
          <w:bCs/>
          <w:lang w:val="en-US"/>
        </w:rPr>
      </w:pPr>
      <w:r w:rsidRPr="00AD4A4B">
        <w:rPr>
          <w:b/>
          <w:bCs/>
          <w:lang w:val="en-US"/>
        </w:rPr>
        <w:t>Multimorbidity Profiles</w:t>
      </w:r>
    </w:p>
    <w:p w14:paraId="7721E978" w14:textId="6050F134" w:rsidR="00EA05F7" w:rsidRPr="00165596" w:rsidRDefault="00EA05F7" w:rsidP="7523CB98">
      <w:pPr>
        <w:pStyle w:val="Para"/>
        <w:rPr>
          <w:color w:val="auto"/>
          <w:sz w:val="22"/>
          <w14:ligatures w14:val="standardContextual"/>
        </w:rPr>
      </w:pPr>
      <w:r w:rsidRPr="7523CB98">
        <w:rPr>
          <w:color w:val="auto"/>
          <w:sz w:val="22"/>
          <w14:ligatures w14:val="standardContextual"/>
        </w:rPr>
        <w:t xml:space="preserve">Chronic conditions were counted based on the response categories and coded as NA when all condition items were missing (n= 4223). Respondents selecting ‘no chronic condition’ were classified as having zero chronic conditions. In the development of multimorbidity profiles, for each domain (i.e., </w:t>
      </w:r>
      <w:r w:rsidR="095E33D8" w:rsidRPr="7523CB98">
        <w:rPr>
          <w:color w:val="auto"/>
          <w:sz w:val="22"/>
          <w14:ligatures w14:val="standardContextual"/>
        </w:rPr>
        <w:t>“</w:t>
      </w:r>
      <w:r w:rsidRPr="7523CB98">
        <w:rPr>
          <w:color w:val="auto"/>
          <w:sz w:val="22"/>
          <w14:ligatures w14:val="standardContextual"/>
        </w:rPr>
        <w:t>cardio</w:t>
      </w:r>
      <w:r w:rsidR="6CAAF067" w:rsidRPr="7523CB98">
        <w:rPr>
          <w:color w:val="auto"/>
          <w:sz w:val="22"/>
          <w14:ligatures w14:val="standardContextual"/>
        </w:rPr>
        <w:t>metabolic</w:t>
      </w:r>
      <w:r w:rsidR="36D58591" w:rsidRPr="7523CB98">
        <w:rPr>
          <w:color w:val="auto"/>
          <w:sz w:val="22"/>
          <w14:ligatures w14:val="standardContextual"/>
        </w:rPr>
        <w:t>”</w:t>
      </w:r>
      <w:r w:rsidRPr="7523CB98">
        <w:rPr>
          <w:color w:val="auto"/>
          <w:sz w:val="22"/>
          <w14:ligatures w14:val="standardContextual"/>
        </w:rPr>
        <w:t xml:space="preserve">, </w:t>
      </w:r>
      <w:r w:rsidR="40D84C3A" w:rsidRPr="7523CB98">
        <w:rPr>
          <w:color w:val="auto"/>
          <w:sz w:val="22"/>
          <w14:ligatures w14:val="standardContextual"/>
        </w:rPr>
        <w:t>“</w:t>
      </w:r>
      <w:r w:rsidRPr="7523CB98">
        <w:rPr>
          <w:color w:val="auto"/>
          <w:sz w:val="22"/>
          <w14:ligatures w14:val="standardContextual"/>
        </w:rPr>
        <w:t xml:space="preserve">mental </w:t>
      </w:r>
      <w:r w:rsidR="54CB228B" w:rsidRPr="7523CB98">
        <w:rPr>
          <w:color w:val="auto"/>
          <w:sz w:val="22"/>
          <w14:ligatures w14:val="standardContextual"/>
        </w:rPr>
        <w:t>health</w:t>
      </w:r>
      <w:r w:rsidR="245AA372" w:rsidRPr="7523CB98">
        <w:rPr>
          <w:color w:val="auto"/>
          <w:sz w:val="22"/>
          <w14:ligatures w14:val="standardContextual"/>
        </w:rPr>
        <w:t>”</w:t>
      </w:r>
      <w:r w:rsidR="54CB228B" w:rsidRPr="7523CB98">
        <w:rPr>
          <w:color w:val="auto"/>
          <w:sz w:val="22"/>
          <w14:ligatures w14:val="standardContextual"/>
        </w:rPr>
        <w:t xml:space="preserve"> </w:t>
      </w:r>
      <w:r w:rsidRPr="7523CB98">
        <w:rPr>
          <w:color w:val="auto"/>
          <w:sz w:val="22"/>
          <w14:ligatures w14:val="standardContextual"/>
        </w:rPr>
        <w:t xml:space="preserve">and </w:t>
      </w:r>
      <w:r w:rsidR="2BF40959" w:rsidRPr="7523CB98">
        <w:rPr>
          <w:color w:val="auto"/>
          <w:sz w:val="22"/>
          <w14:ligatures w14:val="standardContextual"/>
        </w:rPr>
        <w:t>“</w:t>
      </w:r>
      <w:r w:rsidRPr="7523CB98">
        <w:rPr>
          <w:color w:val="auto"/>
          <w:sz w:val="22"/>
          <w14:ligatures w14:val="standardContextual"/>
        </w:rPr>
        <w:t>other</w:t>
      </w:r>
      <w:r w:rsidR="0D3EA75F" w:rsidRPr="7523CB98">
        <w:rPr>
          <w:color w:val="auto"/>
          <w:sz w:val="22"/>
          <w14:ligatures w14:val="standardContextual"/>
        </w:rPr>
        <w:t xml:space="preserve"> conditions”</w:t>
      </w:r>
      <w:r w:rsidRPr="7523CB98">
        <w:rPr>
          <w:color w:val="auto"/>
          <w:sz w:val="22"/>
          <w14:ligatures w14:val="standardContextual"/>
        </w:rPr>
        <w:t>), we created (i) a count of present conditions and (ii) a binary “any” flag. Counts were computed row</w:t>
      </w:r>
      <w:r w:rsidRPr="7523CB98">
        <w:rPr>
          <w:rFonts w:ascii="Cambria Math" w:hAnsi="Cambria Math" w:cs="Cambria Math"/>
          <w:color w:val="auto"/>
          <w:sz w:val="22"/>
          <w14:ligatures w14:val="standardContextual"/>
        </w:rPr>
        <w:t>‑</w:t>
      </w:r>
      <w:r w:rsidRPr="7523CB98">
        <w:rPr>
          <w:color w:val="auto"/>
          <w:sz w:val="22"/>
          <w14:ligatures w14:val="standardContextual"/>
        </w:rPr>
        <w:t>wise as the number of domain indicators equal to 1.  If all indicators in a domain were missing for an individual, the corresponding domain count and “any” flag were set to NA. For profile construction, NA values in any domain were recoded as 0 only when at least one other domain indicated the presence of a condition. This affected 1 individual in the cardiometabolic domain, 40 in the mental health domain, and 0 in the ‘other conditions’ domain (40 individuals in total). A total of 4223 individuals had all three domains missing. These records were excluded from domain-specific prevalence estimates but retained as ‘unknown’ for multimorbidity profiles.</w:t>
      </w:r>
    </w:p>
    <w:p w14:paraId="74F175D0" w14:textId="2EEFF902" w:rsidR="00D80F3E" w:rsidRDefault="00D80F3E" w:rsidP="00F16B20">
      <w:pPr>
        <w:pStyle w:val="Heading1"/>
      </w:pPr>
      <w:r>
        <w:t>Development of the multilevel model for analysis</w:t>
      </w:r>
    </w:p>
    <w:p w14:paraId="6E419BAE" w14:textId="73C97D6F" w:rsidR="00D80F3E" w:rsidRPr="00EC1CF9" w:rsidRDefault="00D80F3E" w:rsidP="00EC1CF9">
      <w:pPr>
        <w:pStyle w:val="Para"/>
      </w:pPr>
      <w:r w:rsidRPr="00EC1CF9">
        <w:t>Following the data analysis plan</w:t>
      </w:r>
      <w:sdt>
        <w:sdtPr>
          <w:id w:val="-1743325799"/>
          <w:citation/>
        </w:sdtPr>
        <w:sdtEndPr/>
        <w:sdtContent>
          <w:r w:rsidRPr="00EC1CF9">
            <w:fldChar w:fldCharType="begin"/>
          </w:r>
          <w:r w:rsidRPr="00EC1CF9">
            <w:instrText xml:space="preserve"> CITATION XRef_JEOLAbAMzzCeZg9h_XRMTg \l 2057 </w:instrText>
          </w:r>
          <w:r w:rsidRPr="00EC1CF9">
            <w:fldChar w:fldCharType="separate"/>
          </w:r>
          <w:r w:rsidRPr="00EC1CF9">
            <w:t xml:space="preserve"> (</w:t>
          </w:r>
          <w:bookmarkStart w:id="0" w:name="XRef_JEOLAbAMzzCeZg9h_XRMTg_28"/>
          <w:r w:rsidRPr="00EC1CF9">
            <w:t>Groenewegen et al., 2024[28])</w:t>
          </w:r>
          <w:bookmarkEnd w:id="0"/>
          <w:r w:rsidRPr="00EC1CF9">
            <w:fldChar w:fldCharType="end"/>
          </w:r>
        </w:sdtContent>
      </w:sdt>
      <w:r w:rsidRPr="00EC1CF9">
        <w:t xml:space="preserve"> and Chapter 7 of the PaRIS flagship report</w:t>
      </w:r>
      <w:sdt>
        <w:sdtPr>
          <w:id w:val="1911414271"/>
          <w:citation/>
        </w:sdtPr>
        <w:sdtEndPr/>
        <w:sdtContent>
          <w:r w:rsidRPr="00EC1CF9">
            <w:fldChar w:fldCharType="begin"/>
          </w:r>
          <w:r w:rsidRPr="00EC1CF9">
            <w:instrText xml:space="preserve"> CITATION Kapp_c8af05a5 \l 1036 </w:instrText>
          </w:r>
          <w:r w:rsidRPr="00EC1CF9">
            <w:fldChar w:fldCharType="separate"/>
          </w:r>
          <w:r w:rsidRPr="00EC1CF9">
            <w:t xml:space="preserve"> (</w:t>
          </w:r>
          <w:bookmarkStart w:id="1" w:name="Kapp_c8af05a5_9"/>
          <w:r w:rsidRPr="00EC1CF9">
            <w:t>OECD, 2025[9])</w:t>
          </w:r>
          <w:bookmarkEnd w:id="1"/>
          <w:r w:rsidRPr="00EC1CF9">
            <w:fldChar w:fldCharType="end"/>
          </w:r>
        </w:sdtContent>
      </w:sdt>
      <w:r w:rsidRPr="00EC1CF9">
        <w:t>, the models are developed step-by-step:</w:t>
      </w:r>
    </w:p>
    <w:p w14:paraId="65FE4A6F" w14:textId="77777777" w:rsidR="00D80F3E" w:rsidRPr="00F811E4" w:rsidRDefault="00D80F3E" w:rsidP="00D80F3E">
      <w:pPr>
        <w:pStyle w:val="Heading4"/>
      </w:pPr>
      <w:r w:rsidRPr="00F811E4">
        <w:t>Model 0</w:t>
      </w:r>
      <w:r>
        <w:t>a</w:t>
      </w:r>
      <w:r w:rsidRPr="00F811E4">
        <w:t>: Null Model (Variance Components Only)</w:t>
      </w:r>
    </w:p>
    <w:p w14:paraId="677A77A3" w14:textId="77777777" w:rsidR="00D80F3E" w:rsidRPr="00F811E4" w:rsidRDefault="00D80F3E" w:rsidP="00D80F3E">
      <w:pPr>
        <w:pStyle w:val="Para"/>
      </w:pPr>
      <w:r w:rsidRPr="00F811E4">
        <w:t>This model is the baseline model estimating variance across countries (</w:t>
      </w:r>
      <w:proofErr w:type="spellStart"/>
      <w:r w:rsidRPr="00F811E4">
        <w:t>uk</w:t>
      </w:r>
      <w:proofErr w:type="spellEnd"/>
      <w:r w:rsidRPr="00F811E4">
        <w:t>) and practices (</w:t>
      </w:r>
      <w:proofErr w:type="spellStart"/>
      <w:r w:rsidRPr="00F811E4">
        <w:t>vjk</w:t>
      </w:r>
      <w:proofErr w:type="spellEnd"/>
      <w:r w:rsidRPr="00F811E4">
        <w:t>). The model estimates the extent to which variation in scores can be attributed to differences between countries (</w:t>
      </w:r>
      <m:oMath>
        <m:sSub>
          <m:sSubPr>
            <m:ctrlPr>
              <w:rPr>
                <w:rFonts w:ascii="Cambria Math" w:hAnsi="Cambria Math"/>
                <w:i/>
              </w:rPr>
            </m:ctrlPr>
          </m:sSubPr>
          <m:e>
            <m:r>
              <w:rPr>
                <w:rFonts w:ascii="Cambria Math" w:hAnsi="Cambria Math"/>
              </w:rPr>
              <m:t>u</m:t>
            </m:r>
          </m:e>
          <m:sub>
            <m:r>
              <w:rPr>
                <w:rFonts w:ascii="Cambria Math" w:hAnsi="Cambria Math"/>
              </w:rPr>
              <m:t>0k</m:t>
            </m:r>
          </m:sub>
        </m:sSub>
        <m:r>
          <w:rPr>
            <w:rFonts w:ascii="Cambria Math" w:hAnsi="Cambria Math"/>
          </w:rPr>
          <m:t>)</m:t>
        </m:r>
      </m:oMath>
      <w:r w:rsidRPr="00F811E4">
        <w:t>, practices within countries (</w:t>
      </w:r>
      <m:oMath>
        <m:sSub>
          <m:sSubPr>
            <m:ctrlPr>
              <w:rPr>
                <w:rFonts w:ascii="Cambria Math" w:hAnsi="Cambria Math"/>
                <w:i/>
              </w:rPr>
            </m:ctrlPr>
          </m:sSubPr>
          <m:e>
            <m:r>
              <w:rPr>
                <w:rFonts w:ascii="Cambria Math" w:hAnsi="Cambria Math"/>
              </w:rPr>
              <m:t>v</m:t>
            </m:r>
          </m:e>
          <m:sub>
            <m:r>
              <w:rPr>
                <w:rFonts w:ascii="Cambria Math" w:hAnsi="Cambria Math"/>
              </w:rPr>
              <m:t>0jk</m:t>
            </m:r>
          </m:sub>
        </m:sSub>
      </m:oMath>
      <w:r w:rsidRPr="00F811E4">
        <w:t>), and individual patients (</w:t>
      </w:r>
      <m:oMath>
        <m:sSub>
          <m:sSubPr>
            <m:ctrlPr>
              <w:rPr>
                <w:rFonts w:ascii="Cambria Math" w:hAnsi="Cambria Math"/>
                <w:i/>
              </w:rPr>
            </m:ctrlPr>
          </m:sSubPr>
          <m:e>
            <m:r>
              <w:rPr>
                <w:rFonts w:ascii="Cambria Math" w:hAnsi="Cambria Math"/>
              </w:rPr>
              <m:t>ε</m:t>
            </m:r>
          </m:e>
          <m:sub>
            <m:r>
              <w:rPr>
                <w:rFonts w:ascii="Cambria Math" w:hAnsi="Cambria Math"/>
              </w:rPr>
              <m:t>ijk</m:t>
            </m:r>
          </m:sub>
        </m:sSub>
      </m:oMath>
      <w:r w:rsidRPr="00F811E4">
        <w:t>). By including only random intercepts and no predictors, this model provides a reference point for assessing the relative contribution of each level to the total variance.</w:t>
      </w:r>
    </w:p>
    <w:p w14:paraId="604C96F5" w14:textId="77777777" w:rsidR="00D80F3E" w:rsidRPr="00F811E4" w:rsidRDefault="00502A12" w:rsidP="00D80F3E">
      <w:pPr>
        <w:pStyle w:val="Para"/>
      </w:pPr>
      <m:oMathPara>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ijk</m:t>
              </m:r>
            </m:sub>
          </m:sSub>
        </m:oMath>
      </m:oMathPara>
    </w:p>
    <w:p w14:paraId="754820AC" w14:textId="77777777" w:rsidR="00D80F3E" w:rsidRDefault="00D80F3E" w:rsidP="00D80F3E">
      <w:pPr>
        <w:pStyle w:val="Para"/>
      </w:pPr>
      <w:r w:rsidRPr="00F811E4">
        <w:rPr>
          <w:rFonts w:ascii="Cambria Math" w:hAnsi="Cambria Math" w:cs="Cambria Math"/>
        </w:rPr>
        <w:lastRenderedPageBreak/>
        <w:t>𝑌𝑖𝑗𝑘</w:t>
      </w:r>
      <w:r w:rsidRPr="00F811E4">
        <w:t xml:space="preserve"> is the outcome for patient i in country k, related to practice j. </w:t>
      </w:r>
      <w:r w:rsidRPr="00F811E4">
        <w:rPr>
          <w:rFonts w:ascii="Cambria Math" w:hAnsi="Cambria Math" w:cs="Cambria Math"/>
        </w:rPr>
        <w:t>𝛽</w:t>
      </w:r>
      <w:r w:rsidRPr="00F811E4">
        <w:t xml:space="preserve">0 is the fixed intercept. </w:t>
      </w:r>
      <w:r w:rsidRPr="00F811E4">
        <w:rPr>
          <w:rFonts w:ascii="Cambria Math" w:hAnsi="Cambria Math" w:cs="Cambria Math"/>
        </w:rPr>
        <w:t>𝑢</w:t>
      </w:r>
      <w:r w:rsidRPr="00F811E4">
        <w:t>0</w:t>
      </w:r>
      <w:r w:rsidRPr="00F811E4">
        <w:rPr>
          <w:rFonts w:ascii="Cambria Math" w:hAnsi="Cambria Math" w:cs="Cambria Math"/>
        </w:rPr>
        <w:t>𝑘</w:t>
      </w:r>
      <w:r w:rsidRPr="00F811E4">
        <w:t xml:space="preserve"> is the random intercept for country k. </w:t>
      </w:r>
      <w:r w:rsidRPr="00F811E4">
        <w:rPr>
          <w:rFonts w:ascii="Cambria Math" w:hAnsi="Cambria Math" w:cs="Cambria Math"/>
        </w:rPr>
        <w:t>𝑣</w:t>
      </w:r>
      <w:r w:rsidRPr="00F811E4">
        <w:t>0</w:t>
      </w:r>
      <w:r w:rsidRPr="00F811E4">
        <w:rPr>
          <w:rFonts w:ascii="Cambria Math" w:hAnsi="Cambria Math" w:cs="Cambria Math"/>
        </w:rPr>
        <w:t>𝑗𝑘</w:t>
      </w:r>
      <w:r w:rsidRPr="00F811E4">
        <w:t xml:space="preserve"> is the random intercept for practice j within country k. </w:t>
      </w:r>
      <w:r w:rsidRPr="00F811E4">
        <w:rPr>
          <w:rFonts w:ascii="Cambria Math" w:hAnsi="Cambria Math" w:cs="Cambria Math"/>
        </w:rPr>
        <w:t>𝜖𝑖𝑗𝑘</w:t>
      </w:r>
      <w:r w:rsidRPr="00F811E4">
        <w:t xml:space="preserve"> is the residual error term.</w:t>
      </w:r>
    </w:p>
    <w:p w14:paraId="6B1A675C" w14:textId="77777777" w:rsidR="00D80F3E" w:rsidRPr="00EC308A" w:rsidRDefault="00D80F3E" w:rsidP="00D80F3E">
      <w:pPr>
        <w:pStyle w:val="Heading4"/>
      </w:pPr>
      <w:r w:rsidRPr="00EC308A">
        <w:t>Model 0</w:t>
      </w:r>
      <w:r>
        <w:t>b</w:t>
      </w:r>
      <w:r w:rsidRPr="00EC308A">
        <w:t>: Null Model</w:t>
      </w:r>
      <w:r>
        <w:t xml:space="preserve"> - people with two or more chronic conditions</w:t>
      </w:r>
      <w:r w:rsidRPr="00EC308A">
        <w:t xml:space="preserve"> (Variance Components Only)</w:t>
      </w:r>
    </w:p>
    <w:p w14:paraId="6EFC1E71" w14:textId="77777777" w:rsidR="00D80F3E" w:rsidRPr="00EC308A" w:rsidRDefault="00D80F3E" w:rsidP="00D80F3E">
      <w:pPr>
        <w:pStyle w:val="Para"/>
      </w:pPr>
      <w:r w:rsidRPr="00EC308A">
        <w:t>This model is the baseline model estimating variance across countries (</w:t>
      </w:r>
      <w:proofErr w:type="spellStart"/>
      <w:r w:rsidRPr="00EC308A">
        <w:t>uk</w:t>
      </w:r>
      <w:proofErr w:type="spellEnd"/>
      <w:r w:rsidRPr="00EC308A">
        <w:t>) and practices (</w:t>
      </w:r>
      <w:proofErr w:type="spellStart"/>
      <w:r w:rsidRPr="00EC308A">
        <w:t>vjk</w:t>
      </w:r>
      <w:proofErr w:type="spellEnd"/>
      <w:r w:rsidRPr="00EC308A">
        <w:t>)</w:t>
      </w:r>
      <w:r>
        <w:t>, only including people with two or more chronic conditions</w:t>
      </w:r>
      <w:r w:rsidRPr="00EC308A">
        <w:t>. The model estimates the extent to which variation in scores can be attributed to differences between countries (</w:t>
      </w:r>
      <m:oMath>
        <m:sSub>
          <m:sSubPr>
            <m:ctrlPr>
              <w:rPr>
                <w:rFonts w:ascii="Cambria Math" w:hAnsi="Cambria Math"/>
                <w:i/>
              </w:rPr>
            </m:ctrlPr>
          </m:sSubPr>
          <m:e>
            <m:r>
              <w:rPr>
                <w:rFonts w:ascii="Cambria Math" w:hAnsi="Cambria Math"/>
              </w:rPr>
              <m:t>u</m:t>
            </m:r>
          </m:e>
          <m:sub>
            <m:r>
              <w:rPr>
                <w:rFonts w:ascii="Cambria Math" w:hAnsi="Cambria Math"/>
              </w:rPr>
              <m:t>0k</m:t>
            </m:r>
          </m:sub>
        </m:sSub>
        <m:r>
          <w:rPr>
            <w:rFonts w:ascii="Cambria Math" w:hAnsi="Cambria Math"/>
          </w:rPr>
          <m:t>)</m:t>
        </m:r>
      </m:oMath>
      <w:r w:rsidRPr="00EC308A">
        <w:t>, practices within countries (</w:t>
      </w:r>
      <m:oMath>
        <m:sSub>
          <m:sSubPr>
            <m:ctrlPr>
              <w:rPr>
                <w:rFonts w:ascii="Cambria Math" w:hAnsi="Cambria Math"/>
                <w:i/>
              </w:rPr>
            </m:ctrlPr>
          </m:sSubPr>
          <m:e>
            <m:r>
              <w:rPr>
                <w:rFonts w:ascii="Cambria Math" w:hAnsi="Cambria Math"/>
              </w:rPr>
              <m:t>v</m:t>
            </m:r>
          </m:e>
          <m:sub>
            <m:r>
              <w:rPr>
                <w:rFonts w:ascii="Cambria Math" w:hAnsi="Cambria Math"/>
              </w:rPr>
              <m:t>0jk</m:t>
            </m:r>
          </m:sub>
        </m:sSub>
      </m:oMath>
      <w:r w:rsidRPr="00EC308A">
        <w:t>), and individual patients (</w:t>
      </w:r>
      <m:oMath>
        <m:sSub>
          <m:sSubPr>
            <m:ctrlPr>
              <w:rPr>
                <w:rFonts w:ascii="Cambria Math" w:hAnsi="Cambria Math"/>
                <w:i/>
              </w:rPr>
            </m:ctrlPr>
          </m:sSubPr>
          <m:e>
            <m:r>
              <w:rPr>
                <w:rFonts w:ascii="Cambria Math" w:hAnsi="Cambria Math"/>
              </w:rPr>
              <m:t>ε</m:t>
            </m:r>
          </m:e>
          <m:sub>
            <m:r>
              <w:rPr>
                <w:rFonts w:ascii="Cambria Math" w:hAnsi="Cambria Math"/>
              </w:rPr>
              <m:t>ijk</m:t>
            </m:r>
          </m:sub>
        </m:sSub>
      </m:oMath>
      <w:r w:rsidRPr="00EC308A">
        <w:t>). By including only random intercepts and no predictors, this model provides a reference point for assessing the relative contribution of each level to the total variance.</w:t>
      </w:r>
    </w:p>
    <w:p w14:paraId="5928D627" w14:textId="77777777" w:rsidR="00D80F3E" w:rsidRPr="00EC308A" w:rsidRDefault="00502A12" w:rsidP="00D80F3E">
      <w:pPr>
        <w:pStyle w:val="Para"/>
      </w:pPr>
      <m:oMathPara>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ijk</m:t>
              </m:r>
            </m:sub>
          </m:sSub>
        </m:oMath>
      </m:oMathPara>
    </w:p>
    <w:p w14:paraId="0EAC6ED0" w14:textId="77777777" w:rsidR="00D80F3E" w:rsidRDefault="00D80F3E" w:rsidP="00D80F3E">
      <w:pPr>
        <w:pStyle w:val="Para"/>
      </w:pPr>
      <w:r w:rsidRPr="00EC308A">
        <w:rPr>
          <w:rFonts w:ascii="Cambria Math" w:hAnsi="Cambria Math" w:cs="Cambria Math"/>
        </w:rPr>
        <w:t>𝑌𝑖𝑗𝑘</w:t>
      </w:r>
      <w:r w:rsidRPr="00EC308A">
        <w:t xml:space="preserve"> is the outcome for patient i in country k, related to practice j. </w:t>
      </w:r>
      <w:r w:rsidRPr="00EC308A">
        <w:rPr>
          <w:rFonts w:ascii="Cambria Math" w:hAnsi="Cambria Math" w:cs="Cambria Math"/>
        </w:rPr>
        <w:t>𝛽</w:t>
      </w:r>
      <w:r w:rsidRPr="00EC308A">
        <w:t xml:space="preserve">0 is the fixed intercept. </w:t>
      </w:r>
      <w:r w:rsidRPr="00EC308A">
        <w:rPr>
          <w:rFonts w:ascii="Cambria Math" w:hAnsi="Cambria Math" w:cs="Cambria Math"/>
        </w:rPr>
        <w:t>𝑢</w:t>
      </w:r>
      <w:r w:rsidRPr="00EC308A">
        <w:t>0</w:t>
      </w:r>
      <w:r w:rsidRPr="00EC308A">
        <w:rPr>
          <w:rFonts w:ascii="Cambria Math" w:hAnsi="Cambria Math" w:cs="Cambria Math"/>
        </w:rPr>
        <w:t>𝑘</w:t>
      </w:r>
      <w:r w:rsidRPr="00EC308A">
        <w:t xml:space="preserve"> is the random intercept for country k. </w:t>
      </w:r>
      <w:r w:rsidRPr="00EC308A">
        <w:rPr>
          <w:rFonts w:ascii="Cambria Math" w:hAnsi="Cambria Math" w:cs="Cambria Math"/>
        </w:rPr>
        <w:t>𝑣</w:t>
      </w:r>
      <w:r w:rsidRPr="00EC308A">
        <w:t>0</w:t>
      </w:r>
      <w:r w:rsidRPr="00EC308A">
        <w:rPr>
          <w:rFonts w:ascii="Cambria Math" w:hAnsi="Cambria Math" w:cs="Cambria Math"/>
        </w:rPr>
        <w:t>𝑗𝑘</w:t>
      </w:r>
      <w:r w:rsidRPr="00EC308A">
        <w:t xml:space="preserve"> is the random intercept for practice j within country k. </w:t>
      </w:r>
      <w:r w:rsidRPr="00EC308A">
        <w:rPr>
          <w:rFonts w:ascii="Cambria Math" w:hAnsi="Cambria Math" w:cs="Cambria Math"/>
        </w:rPr>
        <w:t>𝜖𝑖𝑗𝑘</w:t>
      </w:r>
      <w:r w:rsidRPr="00EC308A">
        <w:t xml:space="preserve"> is the residual error term.</w:t>
      </w:r>
    </w:p>
    <w:p w14:paraId="0823D079" w14:textId="77777777" w:rsidR="00D80F3E" w:rsidRPr="00F811E4" w:rsidRDefault="00D80F3E" w:rsidP="00D80F3E">
      <w:pPr>
        <w:pStyle w:val="Heading4"/>
      </w:pPr>
      <w:r>
        <w:t xml:space="preserve">The following models include only people with two or more chronic conditions: </w:t>
      </w:r>
    </w:p>
    <w:p w14:paraId="61015A31" w14:textId="77777777" w:rsidR="00D80F3E" w:rsidRPr="00F811E4" w:rsidRDefault="00D80F3E" w:rsidP="00D80F3E">
      <w:pPr>
        <w:pStyle w:val="Heading4"/>
      </w:pPr>
      <w:r w:rsidRPr="00F811E4">
        <w:t>Model 1: Patient</w:t>
      </w:r>
      <w:r>
        <w:t xml:space="preserve"> (individual)</w:t>
      </w:r>
      <w:r w:rsidRPr="00F811E4">
        <w:t>-Level  Fixed Effects</w:t>
      </w:r>
    </w:p>
    <w:p w14:paraId="0BEDF866" w14:textId="77777777" w:rsidR="00D80F3E" w:rsidRPr="00F811E4" w:rsidRDefault="00D80F3E" w:rsidP="00D80F3E">
      <w:pPr>
        <w:pStyle w:val="Para"/>
      </w:pPr>
      <w:r w:rsidRPr="00F811E4">
        <w:t>This model adds age and gender variables as well as missing variables. Building on the null model, this specification introduces patient-level covariates to account for compositional differences in age, sex, and total number of chronic conditions across countries.</w:t>
      </w:r>
    </w:p>
    <w:p w14:paraId="435F186D" w14:textId="688028D6" w:rsidR="00D80F3E" w:rsidRPr="00F811E4" w:rsidRDefault="00502A12" w:rsidP="00D80F3E">
      <w:pPr>
        <w:pStyle w:val="Para"/>
        <w:jc w:val="center"/>
      </w:pPr>
      <m:oMathPara>
        <m:oMath>
          <m:sSub>
            <m:sSubPr>
              <m:ctrlPr>
                <w:rPr>
                  <w:rFonts w:ascii="Cambria Math" w:hAnsi="Cambria Math"/>
                  <w:i/>
                  <w:iCs/>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β1MALE</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β2AGE2</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β3AGE3</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β4AGE4</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β5EDU_mid</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β6EDU_high</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β7TOTALCHRONIC</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u</m:t>
              </m:r>
            </m:e>
            <m:sub>
              <m:r>
                <w:rPr>
                  <w:rFonts w:ascii="Cambria Math" w:hAnsi="Cambria Math"/>
                </w:rPr>
                <m:t>0k</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0jk</m:t>
              </m:r>
            </m:sub>
          </m:sSub>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ijk</m:t>
              </m:r>
            </m:sub>
          </m:sSub>
        </m:oMath>
      </m:oMathPara>
    </w:p>
    <w:p w14:paraId="3238F05B" w14:textId="7E82DF32" w:rsidR="00D80F3E" w:rsidRPr="00F811E4" w:rsidRDefault="00D80F3E" w:rsidP="00D80F3E">
      <w:pPr>
        <w:pStyle w:val="Para"/>
      </w:pPr>
      <w:r w:rsidRPr="00F811E4">
        <w:rPr>
          <w:rFonts w:ascii="Cambria Math" w:hAnsi="Cambria Math" w:cs="Cambria Math"/>
        </w:rPr>
        <w:t>𝑌𝑖𝑗𝑘</w:t>
      </w:r>
      <w:r w:rsidRPr="00F811E4">
        <w:t xml:space="preserve"> is the outcome for patient i in practice j in country k. </w:t>
      </w:r>
      <w:r w:rsidRPr="00F811E4">
        <w:rPr>
          <w:rFonts w:ascii="Cambria Math" w:hAnsi="Cambria Math" w:cs="Cambria Math"/>
        </w:rPr>
        <w:t>𝛽</w:t>
      </w:r>
      <w:r w:rsidRPr="00F811E4">
        <w:t xml:space="preserve">0 is the fixed intercept. </w:t>
      </w:r>
      <w:r w:rsidRPr="00F811E4">
        <w:rPr>
          <w:rFonts w:ascii="Cambria Math" w:hAnsi="Cambria Math" w:cs="Cambria Math"/>
        </w:rPr>
        <w:t>𝛽</w:t>
      </w:r>
      <w:r w:rsidRPr="00F811E4">
        <w:t>1−</w:t>
      </w:r>
      <w:r w:rsidR="00D722E1">
        <w:t>6</w:t>
      </w:r>
      <w:r w:rsidRPr="00F811E4">
        <w:t xml:space="preserve"> are the coefficients for the male variable</w:t>
      </w:r>
      <w:r w:rsidR="00D722E1">
        <w:t>,</w:t>
      </w:r>
      <w:r w:rsidRPr="00F811E4">
        <w:t xml:space="preserve"> age </w:t>
      </w:r>
      <w:r w:rsidR="00D722E1">
        <w:t xml:space="preserve">and education </w:t>
      </w:r>
      <w:r w:rsidRPr="00F811E4">
        <w:t xml:space="preserve">variables. </w:t>
      </w:r>
      <w:r w:rsidRPr="00F811E4">
        <w:rPr>
          <w:rFonts w:ascii="Cambria Math" w:hAnsi="Cambria Math" w:cs="Cambria Math"/>
        </w:rPr>
        <w:t>𝛽</w:t>
      </w:r>
      <w:r w:rsidR="00D722E1">
        <w:rPr>
          <w:rFonts w:ascii="Cambria Math" w:hAnsi="Cambria Math" w:cs="Cambria Math"/>
        </w:rPr>
        <w:t>7</w:t>
      </w:r>
      <w:r w:rsidRPr="00F811E4">
        <w:t xml:space="preserve"> is the coefficient for the total number of chronic conditions.</w:t>
      </w:r>
      <w:r w:rsidRPr="00F811E4">
        <w:rPr>
          <w:rFonts w:ascii="Cambria Math" w:hAnsi="Cambria Math" w:cs="Cambria Math"/>
        </w:rPr>
        <w:t xml:space="preserve"> 𝑢</w:t>
      </w:r>
      <w:r w:rsidRPr="00F811E4">
        <w:t>0</w:t>
      </w:r>
      <w:r w:rsidRPr="00F811E4">
        <w:rPr>
          <w:rFonts w:ascii="Cambria Math" w:hAnsi="Cambria Math" w:cs="Cambria Math"/>
        </w:rPr>
        <w:t>𝑘</w:t>
      </w:r>
      <w:r w:rsidRPr="00F811E4">
        <w:t xml:space="preserve"> is the random intercept for country k. </w:t>
      </w:r>
      <w:r w:rsidRPr="00F811E4">
        <w:rPr>
          <w:rFonts w:ascii="Cambria Math" w:hAnsi="Cambria Math" w:cs="Cambria Math"/>
        </w:rPr>
        <w:t>𝑣</w:t>
      </w:r>
      <w:r w:rsidRPr="00F811E4">
        <w:t>0</w:t>
      </w:r>
      <w:r w:rsidRPr="00F811E4">
        <w:rPr>
          <w:rFonts w:ascii="Cambria Math" w:hAnsi="Cambria Math" w:cs="Cambria Math"/>
        </w:rPr>
        <w:t>𝑗𝑘</w:t>
      </w:r>
      <w:r w:rsidRPr="00F811E4">
        <w:t xml:space="preserve"> is the random intercept for practice j within country k. </w:t>
      </w:r>
      <w:r w:rsidRPr="00F811E4">
        <w:rPr>
          <w:rFonts w:ascii="Cambria Math" w:hAnsi="Cambria Math" w:cs="Cambria Math"/>
        </w:rPr>
        <w:t>𝜖𝑖𝑗𝑘</w:t>
      </w:r>
      <w:r w:rsidRPr="00F811E4">
        <w:t xml:space="preserve"> is the residual error term. </w:t>
      </w:r>
    </w:p>
    <w:p w14:paraId="4D6995F8" w14:textId="53444668" w:rsidR="00D80F3E" w:rsidRPr="00F811E4" w:rsidRDefault="00D80F3E" w:rsidP="00D80F3E">
      <w:pPr>
        <w:pStyle w:val="Heading4"/>
      </w:pPr>
      <w:r w:rsidRPr="00F811E4">
        <w:t xml:space="preserve">Model 2: Adding multimorbidity </w:t>
      </w:r>
      <w:r w:rsidR="005D7537">
        <w:t>profiles</w:t>
      </w:r>
      <w:r w:rsidRPr="00F811E4">
        <w:t xml:space="preserve"> as fixed part</w:t>
      </w:r>
    </w:p>
    <w:p w14:paraId="66AB2CCC" w14:textId="6CF39CB3" w:rsidR="00D80F3E" w:rsidRPr="00F811E4" w:rsidRDefault="00D80F3E" w:rsidP="00D80F3E">
      <w:pPr>
        <w:pStyle w:val="Para"/>
        <w:rPr>
          <w:lang w:eastAsia="en-GB"/>
        </w:rPr>
      </w:pPr>
      <w:r w:rsidRPr="00F811E4">
        <w:rPr>
          <w:lang w:eastAsia="en-GB"/>
        </w:rPr>
        <w:t xml:space="preserve">This model adds multimorbidity </w:t>
      </w:r>
      <w:r>
        <w:rPr>
          <w:lang w:eastAsia="en-GB"/>
        </w:rPr>
        <w:t>profile</w:t>
      </w:r>
      <w:r w:rsidRPr="00F811E4">
        <w:rPr>
          <w:lang w:eastAsia="en-GB"/>
        </w:rPr>
        <w:t xml:space="preserve"> as a fixed </w:t>
      </w:r>
      <w:r>
        <w:rPr>
          <w:lang w:eastAsia="en-GB"/>
        </w:rPr>
        <w:t>part</w:t>
      </w:r>
      <w:r w:rsidRPr="00F811E4">
        <w:rPr>
          <w:lang w:eastAsia="en-GB"/>
        </w:rPr>
        <w:t xml:space="preserve">, allowing the analysis to assess how multimorbidity clusters affects </w:t>
      </w:r>
      <w:r>
        <w:rPr>
          <w:lang w:eastAsia="en-GB"/>
        </w:rPr>
        <w:t>outcome</w:t>
      </w:r>
      <w:r w:rsidRPr="00F811E4">
        <w:rPr>
          <w:lang w:eastAsia="en-GB"/>
        </w:rPr>
        <w:t xml:space="preserve">. Building on Model 1, this model incorporates fixed </w:t>
      </w:r>
      <w:r>
        <w:rPr>
          <w:lang w:eastAsia="en-GB"/>
        </w:rPr>
        <w:t>part</w:t>
      </w:r>
      <w:r w:rsidRPr="00F811E4">
        <w:rPr>
          <w:lang w:eastAsia="en-GB"/>
        </w:rPr>
        <w:t xml:space="preserve"> for multimorbidity </w:t>
      </w:r>
      <w:r>
        <w:rPr>
          <w:lang w:eastAsia="en-GB"/>
        </w:rPr>
        <w:t>profiles</w:t>
      </w:r>
      <w:r w:rsidRPr="00F811E4">
        <w:rPr>
          <w:lang w:eastAsia="en-GB"/>
        </w:rPr>
        <w:t xml:space="preserve">, distinguishing patients with </w:t>
      </w:r>
      <w:r>
        <w:rPr>
          <w:lang w:eastAsia="en-GB"/>
        </w:rPr>
        <w:t xml:space="preserve"> cardiometabolic and mental health conditions (PROFILE2), patients with cardiometabolic and other conditions (PROFILE3), patients with mental health and other conditions (PROFILE4),</w:t>
      </w:r>
      <w:r w:rsidRPr="00F811E4">
        <w:rPr>
          <w:lang w:eastAsia="en-GB"/>
        </w:rPr>
        <w:t xml:space="preserve"> and </w:t>
      </w:r>
      <w:r>
        <w:rPr>
          <w:lang w:eastAsia="en-GB"/>
        </w:rPr>
        <w:t>patients without cardiometabolic conditions (PROFILE5)</w:t>
      </w:r>
      <w:r w:rsidRPr="00F811E4">
        <w:rPr>
          <w:lang w:eastAsia="en-GB"/>
        </w:rPr>
        <w:t>. By including these variables alongside age, gender, and total number of chronic condition measures, the model assesses the extent to which clustering of conditions explains variation in outcomes above the total number of chronic conditions.</w:t>
      </w:r>
    </w:p>
    <w:p w14:paraId="4FE288EB" w14:textId="701F9189" w:rsidR="00D80F3E" w:rsidRPr="00F811E4" w:rsidRDefault="00502A12" w:rsidP="00D80F3E">
      <w:pPr>
        <w:pStyle w:val="Para"/>
        <w:jc w:val="left"/>
        <w:rPr>
          <w:i/>
          <w:iCs/>
        </w:rPr>
      </w:pPr>
      <m:oMathPara>
        <m:oMath>
          <m:sSub>
            <m:sSubPr>
              <m:ctrlPr>
                <w:rPr>
                  <w:rFonts w:ascii="Cambria Math" w:hAnsi="Cambria Math"/>
                  <w:i/>
                  <w:iCs/>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β1MALE</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β2AGE2</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β3AGE3</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β4AGE4</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β5EDU_mid</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β6EDU_high</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β7TOTALCHRONIC</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β8PROFILE2</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β9PROFILE3</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β10PROFILE4</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β11PROFILE5</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u</m:t>
              </m:r>
            </m:e>
            <m:sub>
              <m:r>
                <w:rPr>
                  <w:rFonts w:ascii="Cambria Math" w:hAnsi="Cambria Math"/>
                </w:rPr>
                <m:t>0k</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0jk</m:t>
              </m:r>
            </m:sub>
          </m:sSub>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ijk</m:t>
              </m:r>
            </m:sub>
          </m:sSub>
        </m:oMath>
      </m:oMathPara>
    </w:p>
    <w:p w14:paraId="40AB6E0C" w14:textId="4B35EDB7" w:rsidR="00D80F3E" w:rsidRPr="00F811E4" w:rsidRDefault="00D80F3E" w:rsidP="00D80F3E">
      <w:pPr>
        <w:pStyle w:val="Para"/>
      </w:pPr>
      <w:r w:rsidRPr="00F811E4">
        <w:rPr>
          <w:rFonts w:ascii="Cambria Math" w:hAnsi="Cambria Math" w:cs="Cambria Math"/>
        </w:rPr>
        <w:t>𝑌𝑖𝑗𝑘</w:t>
      </w:r>
      <w:r w:rsidRPr="00F811E4">
        <w:t xml:space="preserve"> is the outcome for patient i in country k, related to practice j. </w:t>
      </w:r>
      <w:r w:rsidRPr="00F811E4">
        <w:rPr>
          <w:rFonts w:ascii="Cambria Math" w:hAnsi="Cambria Math" w:cs="Cambria Math"/>
        </w:rPr>
        <w:t>𝛽</w:t>
      </w:r>
      <w:r w:rsidRPr="00F811E4">
        <w:t xml:space="preserve">0 is the fixed intercept. </w:t>
      </w:r>
      <w:r w:rsidR="00D722E1" w:rsidRPr="00F811E4">
        <w:rPr>
          <w:rFonts w:ascii="Cambria Math" w:hAnsi="Cambria Math" w:cs="Cambria Math"/>
        </w:rPr>
        <w:t>𝛽</w:t>
      </w:r>
      <w:r w:rsidR="00D722E1" w:rsidRPr="00F811E4">
        <w:t>1−</w:t>
      </w:r>
      <w:r w:rsidR="00D722E1">
        <w:t>6</w:t>
      </w:r>
      <w:r w:rsidR="00D722E1" w:rsidRPr="00F811E4">
        <w:t xml:space="preserve"> are the coefficients for the male variable</w:t>
      </w:r>
      <w:r w:rsidR="00D722E1">
        <w:t>,</w:t>
      </w:r>
      <w:r w:rsidR="00D722E1" w:rsidRPr="00F811E4">
        <w:t xml:space="preserve"> age </w:t>
      </w:r>
      <w:r w:rsidR="00D722E1">
        <w:t xml:space="preserve">and education </w:t>
      </w:r>
      <w:r w:rsidR="00D722E1" w:rsidRPr="00F811E4">
        <w:t xml:space="preserve">variables. </w:t>
      </w:r>
      <w:r w:rsidR="00D722E1" w:rsidRPr="00F811E4">
        <w:rPr>
          <w:rFonts w:ascii="Cambria Math" w:hAnsi="Cambria Math" w:cs="Cambria Math"/>
        </w:rPr>
        <w:t>𝛽</w:t>
      </w:r>
      <w:r w:rsidR="00D722E1">
        <w:rPr>
          <w:rFonts w:ascii="Cambria Math" w:hAnsi="Cambria Math" w:cs="Cambria Math"/>
        </w:rPr>
        <w:t>7</w:t>
      </w:r>
      <w:r w:rsidR="00D722E1" w:rsidRPr="00F811E4">
        <w:t xml:space="preserve"> is the coefficient for the total number of chronic conditions.</w:t>
      </w:r>
      <w:r w:rsidR="00D722E1" w:rsidRPr="00F811E4">
        <w:rPr>
          <w:rFonts w:ascii="Cambria Math" w:hAnsi="Cambria Math" w:cs="Cambria Math"/>
        </w:rPr>
        <w:t xml:space="preserve"> </w:t>
      </w:r>
      <w:r w:rsidRPr="00F811E4">
        <w:rPr>
          <w:rFonts w:ascii="Cambria Math" w:eastAsiaTheme="minorEastAsia" w:hAnsi="Cambria Math" w:cs="Cambria Math"/>
          <w:szCs w:val="20"/>
        </w:rPr>
        <w:t>𝛽</w:t>
      </w:r>
      <w:r w:rsidR="00D722E1">
        <w:rPr>
          <w:rFonts w:eastAsiaTheme="minorEastAsia"/>
          <w:szCs w:val="20"/>
        </w:rPr>
        <w:t>8-11</w:t>
      </w:r>
      <w:r w:rsidRPr="00F811E4">
        <w:rPr>
          <w:rFonts w:eastAsiaTheme="minorEastAsia"/>
          <w:szCs w:val="20"/>
        </w:rPr>
        <w:t xml:space="preserve"> are the coefficients for specific multimorbidity </w:t>
      </w:r>
      <w:r>
        <w:rPr>
          <w:rFonts w:eastAsiaTheme="minorEastAsia"/>
          <w:szCs w:val="20"/>
        </w:rPr>
        <w:t>profiles</w:t>
      </w:r>
      <w:r w:rsidRPr="00F811E4">
        <w:rPr>
          <w:rFonts w:eastAsiaTheme="minorEastAsia"/>
          <w:szCs w:val="20"/>
        </w:rPr>
        <w:t xml:space="preserve">. </w:t>
      </w:r>
      <w:r w:rsidRPr="00F811E4">
        <w:rPr>
          <w:rFonts w:ascii="Cambria Math" w:hAnsi="Cambria Math" w:cs="Cambria Math"/>
        </w:rPr>
        <w:t>𝑢</w:t>
      </w:r>
      <w:r w:rsidRPr="00F811E4">
        <w:t>0</w:t>
      </w:r>
      <w:r w:rsidRPr="00F811E4">
        <w:rPr>
          <w:rFonts w:ascii="Cambria Math" w:hAnsi="Cambria Math" w:cs="Cambria Math"/>
        </w:rPr>
        <w:t>𝑘</w:t>
      </w:r>
      <w:r w:rsidRPr="00F811E4">
        <w:t xml:space="preserve"> is the random intercept for country k. </w:t>
      </w:r>
      <w:r w:rsidRPr="00F811E4">
        <w:rPr>
          <w:rFonts w:ascii="Cambria Math" w:hAnsi="Cambria Math" w:cs="Cambria Math"/>
        </w:rPr>
        <w:t>𝑣</w:t>
      </w:r>
      <w:r w:rsidRPr="00F811E4">
        <w:t>0</w:t>
      </w:r>
      <w:r w:rsidRPr="00F811E4">
        <w:rPr>
          <w:rFonts w:ascii="Cambria Math" w:hAnsi="Cambria Math" w:cs="Cambria Math"/>
        </w:rPr>
        <w:t>𝑗𝑘</w:t>
      </w:r>
      <w:r w:rsidRPr="00F811E4">
        <w:t xml:space="preserve"> is the random intercept for practice j within country k. </w:t>
      </w:r>
      <w:r w:rsidRPr="00F811E4">
        <w:rPr>
          <w:rFonts w:ascii="Cambria Math" w:eastAsiaTheme="minorEastAsia" w:hAnsi="Cambria Math" w:cs="Cambria Math"/>
          <w:szCs w:val="20"/>
        </w:rPr>
        <w:t>𝜖𝑖𝑗𝑘</w:t>
      </w:r>
      <w:r w:rsidRPr="00F811E4">
        <w:rPr>
          <w:rFonts w:eastAsiaTheme="minorEastAsia"/>
          <w:szCs w:val="20"/>
        </w:rPr>
        <w:t xml:space="preserve"> is the residual error term. </w:t>
      </w:r>
    </w:p>
    <w:p w14:paraId="0BA99190" w14:textId="76906821" w:rsidR="00D80F3E" w:rsidRPr="00F811E4" w:rsidRDefault="00D80F3E" w:rsidP="00D80F3E">
      <w:pPr>
        <w:pStyle w:val="Heading4"/>
        <w:ind w:left="340"/>
      </w:pPr>
      <w:r w:rsidRPr="00F811E4">
        <w:t xml:space="preserve">Model 3: Adding </w:t>
      </w:r>
      <w:r w:rsidR="00B6798D">
        <w:t>patient experiences</w:t>
      </w:r>
      <w:r w:rsidRPr="00F811E4">
        <w:t xml:space="preserve"> and </w:t>
      </w:r>
      <w:r>
        <w:t xml:space="preserve">their </w:t>
      </w:r>
      <w:r w:rsidRPr="00F811E4">
        <w:t xml:space="preserve">interaction with multimorbidity </w:t>
      </w:r>
      <w:r>
        <w:t>profiles</w:t>
      </w:r>
      <w:r w:rsidRPr="00F811E4">
        <w:t xml:space="preserve"> as fixed </w:t>
      </w:r>
      <w:r>
        <w:t>part</w:t>
      </w:r>
    </w:p>
    <w:p w14:paraId="0341F491" w14:textId="2A5C2DC7" w:rsidR="00D80F3E" w:rsidRPr="00F811E4" w:rsidRDefault="00D80F3E" w:rsidP="00D80F3E">
      <w:pPr>
        <w:pStyle w:val="Para"/>
      </w:pPr>
      <w:r w:rsidRPr="00F811E4">
        <w:t>This model adds </w:t>
      </w:r>
      <w:r w:rsidR="00AD5A05">
        <w:t>experienced person-centred care</w:t>
      </w:r>
      <w:r w:rsidR="00EF33C8">
        <w:t>, relational care continuity, and patient activation as well as</w:t>
      </w:r>
      <w:r w:rsidRPr="00F811E4">
        <w:t xml:space="preserve"> </w:t>
      </w:r>
      <w:r w:rsidR="00EF33C8">
        <w:t>their</w:t>
      </w:r>
      <w:r w:rsidRPr="00F811E4">
        <w:t xml:space="preserve"> interaction with multimorbidity type, allowing the analysis to assess how patient experience </w:t>
      </w:r>
      <w:r w:rsidRPr="00F811E4">
        <w:lastRenderedPageBreak/>
        <w:t xml:space="preserve">modifies the impact of multimorbidity on physical health. This specification allows us to assess not only whether </w:t>
      </w:r>
      <w:r w:rsidR="00EF33C8">
        <w:t>patient experiences</w:t>
      </w:r>
      <w:r w:rsidRPr="00F811E4">
        <w:t xml:space="preserve"> itself is associated with differences in patient outcomes, but also whether the impact of multimorbidity clusters on outcomes is modified by the </w:t>
      </w:r>
      <w:r w:rsidR="00EF33C8">
        <w:t xml:space="preserve">experienced </w:t>
      </w:r>
      <w:r w:rsidR="00DC1CFD">
        <w:t>patient experiences</w:t>
      </w:r>
      <w:r w:rsidRPr="00F811E4">
        <w:t>.</w:t>
      </w:r>
      <w:r w:rsidR="00DC1CFD">
        <w:t xml:space="preserve"> </w:t>
      </w:r>
    </w:p>
    <w:p w14:paraId="14501B72" w14:textId="49B94BD5" w:rsidR="00D80F3E" w:rsidRPr="00F811E4" w:rsidRDefault="00502A12" w:rsidP="00D80F3E">
      <w:pPr>
        <w:pStyle w:val="Para"/>
        <w:jc w:val="left"/>
        <w:rPr>
          <w:i/>
          <w:iCs/>
        </w:rPr>
      </w:pPr>
      <m:oMathPara>
        <m:oMath>
          <m:sSub>
            <m:sSubPr>
              <m:ctrlPr>
                <w:rPr>
                  <w:rFonts w:ascii="Cambria Math" w:hAnsi="Cambria Math"/>
                  <w:i/>
                  <w:iCs/>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β1MALE</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β2AGE2</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β3AGE3</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β4AGE4</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β5ED</m:t>
              </m:r>
              <m:sSub>
                <m:sSubPr>
                  <m:ctrlPr>
                    <w:rPr>
                      <w:rFonts w:ascii="Cambria Math" w:hAnsi="Cambria Math"/>
                      <w:i/>
                    </w:rPr>
                  </m:ctrlPr>
                </m:sSubPr>
                <m:e>
                  <m:r>
                    <w:rPr>
                      <w:rFonts w:ascii="Cambria Math" w:hAnsi="Cambria Math"/>
                    </w:rPr>
                    <m:t>U</m:t>
                  </m:r>
                </m:e>
                <m:sub>
                  <m:r>
                    <w:rPr>
                      <w:rFonts w:ascii="Cambria Math" w:hAnsi="Cambria Math"/>
                    </w:rPr>
                    <m:t>mid</m:t>
                  </m:r>
                </m:sub>
              </m:sSub>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β6ED</m:t>
              </m:r>
              <m:sSub>
                <m:sSubPr>
                  <m:ctrlPr>
                    <w:rPr>
                      <w:rFonts w:ascii="Cambria Math" w:hAnsi="Cambria Math"/>
                      <w:i/>
                    </w:rPr>
                  </m:ctrlPr>
                </m:sSubPr>
                <m:e>
                  <m:r>
                    <w:rPr>
                      <w:rFonts w:ascii="Cambria Math" w:hAnsi="Cambria Math"/>
                    </w:rPr>
                    <m:t>U</m:t>
                  </m:r>
                </m:e>
                <m:sub>
                  <m:r>
                    <w:rPr>
                      <w:rFonts w:ascii="Cambria Math" w:hAnsi="Cambria Math"/>
                    </w:rPr>
                    <m:t>high</m:t>
                  </m:r>
                </m:sub>
              </m:sSub>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β7TOTALCHRONIC</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β8PROFILE2</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β9PROFILE3</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β10PROFILE4</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β11PROFILE5</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β12PerconCentredness</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β13Carecontinuity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β14Patientactivation</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β15(PROFILE2</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PerconCentredness</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β16(PROFILE3</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PerconCentredness</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β17(PROFILE4</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PerconCentredness</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β18(PROFILE5</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PerconCentredness</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β19(PROFILE2</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Carecontinuity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β20(PROFILE3</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Carecontinuity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β21(PROFILE4</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Carecontinuity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β22(PROFILE5</m:t>
              </m:r>
            </m:e>
            <m:sub>
              <m:eqArr>
                <m:eqArrPr>
                  <m:ctrlPr>
                    <w:rPr>
                      <w:rFonts w:ascii="Cambria Math" w:hAnsi="Cambria Math"/>
                      <w:i/>
                      <w:iCs/>
                    </w:rPr>
                  </m:ctrlPr>
                </m:eqArrPr>
                <m:e>
                  <m:r>
                    <w:rPr>
                      <w:rFonts w:ascii="Cambria Math" w:hAnsi="Cambria Math"/>
                    </w:rPr>
                    <m:t>ijk</m:t>
                  </m:r>
                </m:e>
              </m:eqArr>
            </m:sub>
          </m:sSub>
          <m:r>
            <w:rPr>
              <w:rFonts w:ascii="Cambria Math" w:hAnsi="Cambria Math"/>
            </w:rPr>
            <m:t>×</m:t>
          </m:r>
          <m:sSub>
            <m:sSubPr>
              <m:ctrlPr>
                <w:rPr>
                  <w:rFonts w:ascii="Cambria Math" w:hAnsi="Cambria Math"/>
                  <w:i/>
                </w:rPr>
              </m:ctrlPr>
            </m:sSubPr>
            <m:e>
              <m:r>
                <w:rPr>
                  <w:rFonts w:ascii="Cambria Math" w:hAnsi="Cambria Math"/>
                </w:rPr>
                <m:t>Carecontinuity</m:t>
              </m:r>
            </m:e>
            <m:sub>
              <m:r>
                <w:rPr>
                  <w:rFonts w:ascii="Cambria Math" w:hAnsi="Cambria Math"/>
                </w:rPr>
                <m:t>ijk</m:t>
              </m:r>
            </m:sub>
          </m:sSub>
          <m:r>
            <w:rPr>
              <w:rFonts w:ascii="Cambria Math" w:hAnsi="Cambria Math"/>
            </w:rPr>
            <m:t>)+</m:t>
          </m:r>
          <m:sSub>
            <m:sSubPr>
              <m:ctrlPr>
                <w:rPr>
                  <w:rFonts w:ascii="Cambria Math" w:hAnsi="Cambria Math"/>
                  <w:i/>
                  <w:iCs/>
                </w:rPr>
              </m:ctrlPr>
            </m:sSubPr>
            <m:e>
              <m:r>
                <w:rPr>
                  <w:rFonts w:ascii="Cambria Math" w:hAnsi="Cambria Math"/>
                </w:rPr>
                <m:t>u</m:t>
              </m:r>
            </m:e>
            <m:sub>
              <m:r>
                <w:rPr>
                  <w:rFonts w:ascii="Cambria Math" w:hAnsi="Cambria Math"/>
                </w:rPr>
                <m:t>0k</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0jk</m:t>
              </m:r>
            </m:sub>
          </m:sSub>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ijk</m:t>
              </m:r>
            </m:sub>
          </m:sSub>
        </m:oMath>
      </m:oMathPara>
    </w:p>
    <w:p w14:paraId="6039A3CE" w14:textId="457712BD" w:rsidR="00D80F3E" w:rsidRDefault="00D80F3E" w:rsidP="00D80F3E">
      <w:pPr>
        <w:pStyle w:val="Para"/>
        <w:rPr>
          <w:rFonts w:eastAsiaTheme="minorEastAsia"/>
          <w:szCs w:val="20"/>
        </w:rPr>
      </w:pPr>
      <w:r w:rsidRPr="00F811E4">
        <w:rPr>
          <w:rFonts w:ascii="Cambria Math" w:hAnsi="Cambria Math" w:cs="Cambria Math"/>
        </w:rPr>
        <w:t>𝑌𝑖𝑗𝑘</w:t>
      </w:r>
      <w:r w:rsidRPr="00F811E4">
        <w:t xml:space="preserve"> is the outcome for patient i in country k, related to practice j. </w:t>
      </w:r>
      <w:r w:rsidRPr="00F811E4">
        <w:rPr>
          <w:rFonts w:ascii="Cambria Math" w:hAnsi="Cambria Math" w:cs="Cambria Math"/>
        </w:rPr>
        <w:t>𝛽</w:t>
      </w:r>
      <w:r w:rsidRPr="00F811E4">
        <w:t xml:space="preserve">0 is the fixed intercept. </w:t>
      </w:r>
      <w:r w:rsidR="00D722E1" w:rsidRPr="00F811E4">
        <w:rPr>
          <w:rFonts w:ascii="Cambria Math" w:hAnsi="Cambria Math" w:cs="Cambria Math"/>
        </w:rPr>
        <w:t>𝛽</w:t>
      </w:r>
      <w:r w:rsidR="00D722E1" w:rsidRPr="00F811E4">
        <w:t>1−</w:t>
      </w:r>
      <w:r w:rsidR="00D722E1">
        <w:t>6</w:t>
      </w:r>
      <w:r w:rsidR="00D722E1" w:rsidRPr="00F811E4">
        <w:t xml:space="preserve"> are the coefficients for the male variable</w:t>
      </w:r>
      <w:r w:rsidR="00D722E1">
        <w:t>,</w:t>
      </w:r>
      <w:r w:rsidR="00D722E1" w:rsidRPr="00F811E4">
        <w:t xml:space="preserve"> age </w:t>
      </w:r>
      <w:r w:rsidR="00D722E1">
        <w:t xml:space="preserve">and education </w:t>
      </w:r>
      <w:r w:rsidR="00D722E1" w:rsidRPr="00F811E4">
        <w:t xml:space="preserve">variables. </w:t>
      </w:r>
      <w:r w:rsidR="00D722E1" w:rsidRPr="00F811E4">
        <w:rPr>
          <w:rFonts w:ascii="Cambria Math" w:hAnsi="Cambria Math" w:cs="Cambria Math"/>
        </w:rPr>
        <w:t>𝛽</w:t>
      </w:r>
      <w:r w:rsidR="00D722E1">
        <w:rPr>
          <w:rFonts w:ascii="Cambria Math" w:hAnsi="Cambria Math" w:cs="Cambria Math"/>
        </w:rPr>
        <w:t>7</w:t>
      </w:r>
      <w:r w:rsidR="00D722E1" w:rsidRPr="00F811E4">
        <w:t xml:space="preserve"> is the coefficient for the total number of chronic conditions.</w:t>
      </w:r>
      <w:r w:rsidR="00D722E1" w:rsidRPr="00F811E4">
        <w:rPr>
          <w:rFonts w:ascii="Cambria Math" w:hAnsi="Cambria Math" w:cs="Cambria Math"/>
        </w:rPr>
        <w:t xml:space="preserve"> </w:t>
      </w:r>
      <w:r w:rsidR="00D722E1" w:rsidRPr="00F811E4">
        <w:rPr>
          <w:rFonts w:ascii="Cambria Math" w:eastAsiaTheme="minorEastAsia" w:hAnsi="Cambria Math" w:cs="Cambria Math"/>
          <w:szCs w:val="20"/>
        </w:rPr>
        <w:t>𝛽</w:t>
      </w:r>
      <w:r w:rsidR="00D722E1">
        <w:rPr>
          <w:rFonts w:eastAsiaTheme="minorEastAsia"/>
          <w:szCs w:val="20"/>
        </w:rPr>
        <w:t>8-11</w:t>
      </w:r>
      <w:r w:rsidR="00D722E1" w:rsidRPr="00F811E4">
        <w:rPr>
          <w:rFonts w:eastAsiaTheme="minorEastAsia"/>
          <w:szCs w:val="20"/>
        </w:rPr>
        <w:t xml:space="preserve"> are the coefficients for specific multimorbidity </w:t>
      </w:r>
      <w:r w:rsidR="00D722E1">
        <w:rPr>
          <w:rFonts w:eastAsiaTheme="minorEastAsia"/>
          <w:szCs w:val="20"/>
        </w:rPr>
        <w:t>profiles</w:t>
      </w:r>
      <w:r w:rsidR="00D722E1" w:rsidRPr="00F811E4">
        <w:rPr>
          <w:rFonts w:eastAsiaTheme="minorEastAsia"/>
          <w:szCs w:val="20"/>
        </w:rPr>
        <w:t xml:space="preserve">. </w:t>
      </w:r>
      <w:r w:rsidR="00D722E1">
        <w:rPr>
          <w:rFonts w:eastAsiaTheme="minorEastAsia"/>
          <w:szCs w:val="20"/>
        </w:rPr>
        <w:t xml:space="preserve"> </w:t>
      </w:r>
      <w:r w:rsidRPr="00F811E4">
        <w:rPr>
          <w:rFonts w:ascii="Cambria Math" w:hAnsi="Cambria Math" w:cs="Cambria Math"/>
        </w:rPr>
        <w:t>𝛽</w:t>
      </w:r>
      <w:r w:rsidRPr="00F811E4">
        <w:t>1</w:t>
      </w:r>
      <w:r w:rsidR="00224FA0">
        <w:t>2</w:t>
      </w:r>
      <w:r w:rsidR="00917D28">
        <w:t>-14</w:t>
      </w:r>
      <w:r w:rsidRPr="00F811E4">
        <w:t xml:space="preserve"> </w:t>
      </w:r>
      <w:r w:rsidR="00917D28">
        <w:t>are</w:t>
      </w:r>
      <w:r w:rsidRPr="00F811E4">
        <w:t xml:space="preserve"> the coefficient</w:t>
      </w:r>
      <w:r w:rsidR="00917D28">
        <w:t>s</w:t>
      </w:r>
      <w:r w:rsidRPr="00F811E4">
        <w:t xml:space="preserve"> for </w:t>
      </w:r>
      <w:r>
        <w:t xml:space="preserve">the </w:t>
      </w:r>
      <w:r w:rsidR="00F6506A">
        <w:t>patient experience</w:t>
      </w:r>
      <w:r>
        <w:t xml:space="preserve"> variable</w:t>
      </w:r>
      <w:r w:rsidR="00917D28">
        <w:t>s</w:t>
      </w:r>
      <w:r w:rsidRPr="00F811E4">
        <w:t xml:space="preserve">. </w:t>
      </w:r>
      <w:r w:rsidRPr="00F811E4">
        <w:rPr>
          <w:rFonts w:ascii="Cambria Math" w:eastAsiaTheme="minorEastAsia" w:hAnsi="Cambria Math" w:cs="Cambria Math"/>
          <w:szCs w:val="20"/>
        </w:rPr>
        <w:t>𝛽</w:t>
      </w:r>
      <w:r>
        <w:rPr>
          <w:rFonts w:eastAsiaTheme="minorEastAsia"/>
          <w:szCs w:val="20"/>
        </w:rPr>
        <w:t>1</w:t>
      </w:r>
      <w:r w:rsidR="00917D28">
        <w:rPr>
          <w:rFonts w:eastAsiaTheme="minorEastAsia"/>
          <w:szCs w:val="20"/>
        </w:rPr>
        <w:t>5-2</w:t>
      </w:r>
      <w:r w:rsidR="00887FB3">
        <w:rPr>
          <w:rFonts w:eastAsiaTheme="minorEastAsia"/>
          <w:szCs w:val="20"/>
        </w:rPr>
        <w:t>2</w:t>
      </w:r>
      <w:r w:rsidRPr="00F811E4">
        <w:rPr>
          <w:rFonts w:eastAsiaTheme="minorEastAsia"/>
          <w:szCs w:val="20"/>
        </w:rPr>
        <w:t xml:space="preserve"> are the coefficients for the interaction between </w:t>
      </w:r>
      <w:r w:rsidR="00917D28">
        <w:rPr>
          <w:rFonts w:eastAsiaTheme="minorEastAsia"/>
          <w:szCs w:val="20"/>
        </w:rPr>
        <w:t xml:space="preserve">each </w:t>
      </w:r>
      <w:r w:rsidR="00F6506A">
        <w:rPr>
          <w:rFonts w:eastAsiaTheme="minorEastAsia"/>
          <w:szCs w:val="20"/>
        </w:rPr>
        <w:t>patient experience</w:t>
      </w:r>
      <w:r>
        <w:rPr>
          <w:rFonts w:eastAsiaTheme="minorEastAsia"/>
          <w:szCs w:val="20"/>
        </w:rPr>
        <w:t xml:space="preserve"> variable</w:t>
      </w:r>
      <w:r w:rsidRPr="00F811E4">
        <w:rPr>
          <w:rFonts w:eastAsiaTheme="minorEastAsia"/>
          <w:szCs w:val="20"/>
        </w:rPr>
        <w:t xml:space="preserve"> and each multimorbidity </w:t>
      </w:r>
      <w:r>
        <w:rPr>
          <w:rFonts w:eastAsiaTheme="minorEastAsia"/>
          <w:szCs w:val="20"/>
        </w:rPr>
        <w:t>profile</w:t>
      </w:r>
      <w:r w:rsidRPr="00F811E4">
        <w:rPr>
          <w:rFonts w:eastAsiaTheme="minorEastAsia"/>
          <w:szCs w:val="20"/>
        </w:rPr>
        <w:t xml:space="preserve">. </w:t>
      </w:r>
      <w:r w:rsidRPr="00F811E4">
        <w:rPr>
          <w:rFonts w:ascii="Cambria Math" w:hAnsi="Cambria Math" w:cs="Cambria Math"/>
        </w:rPr>
        <w:t>𝑢</w:t>
      </w:r>
      <w:r w:rsidRPr="00F811E4">
        <w:t>0</w:t>
      </w:r>
      <w:r w:rsidRPr="00F811E4">
        <w:rPr>
          <w:rFonts w:ascii="Cambria Math" w:hAnsi="Cambria Math" w:cs="Cambria Math"/>
        </w:rPr>
        <w:t>𝑘</w:t>
      </w:r>
      <w:r w:rsidRPr="00F811E4">
        <w:t xml:space="preserve"> is the random intercept for country k. </w:t>
      </w:r>
      <w:r w:rsidRPr="00F811E4">
        <w:rPr>
          <w:rFonts w:ascii="Cambria Math" w:hAnsi="Cambria Math" w:cs="Cambria Math"/>
        </w:rPr>
        <w:t>𝑣</w:t>
      </w:r>
      <w:r w:rsidRPr="00F811E4">
        <w:t>0</w:t>
      </w:r>
      <w:r w:rsidRPr="00F811E4">
        <w:rPr>
          <w:rFonts w:ascii="Cambria Math" w:hAnsi="Cambria Math" w:cs="Cambria Math"/>
        </w:rPr>
        <w:t>𝑗𝑘</w:t>
      </w:r>
      <w:r w:rsidRPr="00F811E4">
        <w:t xml:space="preserve"> is the random intercept for practice j within country k. </w:t>
      </w:r>
      <w:r w:rsidRPr="00F811E4">
        <w:rPr>
          <w:rFonts w:ascii="Cambria Math" w:eastAsiaTheme="minorEastAsia" w:hAnsi="Cambria Math" w:cs="Cambria Math"/>
          <w:szCs w:val="20"/>
        </w:rPr>
        <w:t>𝜖𝑖𝑗𝑘</w:t>
      </w:r>
      <w:r w:rsidRPr="00F811E4">
        <w:rPr>
          <w:rFonts w:eastAsiaTheme="minorEastAsia"/>
          <w:szCs w:val="20"/>
        </w:rPr>
        <w:t xml:space="preserve"> is the residual error term.</w:t>
      </w:r>
    </w:p>
    <w:p w14:paraId="6E89BB9E" w14:textId="77777777" w:rsidR="0076202F" w:rsidRDefault="0076202F"/>
    <w:sectPr w:rsidR="0076202F" w:rsidSect="00BF2905">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4C53" w14:textId="77777777" w:rsidR="00BC7216" w:rsidRDefault="00BC7216" w:rsidP="00CA1F6D">
      <w:pPr>
        <w:spacing w:after="0" w:line="240" w:lineRule="auto"/>
      </w:pPr>
      <w:r>
        <w:separator/>
      </w:r>
    </w:p>
  </w:endnote>
  <w:endnote w:type="continuationSeparator" w:id="0">
    <w:p w14:paraId="3C71FD2A" w14:textId="77777777" w:rsidR="00BC7216" w:rsidRDefault="00BC7216" w:rsidP="00CA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DDF4" w14:textId="1E60CBE5" w:rsidR="00502A12" w:rsidRDefault="00502A12">
    <w:pPr>
      <w:pStyle w:val="Footer"/>
    </w:pPr>
    <w:r>
      <w:rPr>
        <w:noProof/>
      </w:rPr>
      <mc:AlternateContent>
        <mc:Choice Requires="wps">
          <w:drawing>
            <wp:anchor distT="0" distB="0" distL="0" distR="0" simplePos="0" relativeHeight="251659264" behindDoc="0" locked="0" layoutInCell="1" allowOverlap="1" wp14:anchorId="027AE0AB" wp14:editId="01690427">
              <wp:simplePos x="635" y="635"/>
              <wp:positionH relativeFrom="page">
                <wp:align>center</wp:align>
              </wp:positionH>
              <wp:positionV relativeFrom="page">
                <wp:align>bottom</wp:align>
              </wp:positionV>
              <wp:extent cx="1244600" cy="347980"/>
              <wp:effectExtent l="0" t="0" r="12700" b="0"/>
              <wp:wrapNone/>
              <wp:docPr id="1316684375" name="Text Box 2"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11BEFB6B" w14:textId="66BFE68D" w:rsidR="00502A12" w:rsidRPr="00502A12" w:rsidRDefault="00502A12" w:rsidP="00502A12">
                          <w:pPr>
                            <w:spacing w:after="0"/>
                            <w:rPr>
                              <w:rFonts w:ascii="Arial Narrow" w:eastAsia="Arial Narrow" w:hAnsi="Arial Narrow" w:cs="Arial Narrow"/>
                              <w:noProof/>
                              <w:color w:val="0000FF"/>
                              <w:sz w:val="20"/>
                              <w:szCs w:val="20"/>
                            </w:rPr>
                          </w:pPr>
                          <w:r w:rsidRPr="00502A12">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AE0AB" id="_x0000_t202" coordsize="21600,21600" o:spt="202" path="m,l,21600r21600,l21600,xe">
              <v:stroke joinstyle="miter"/>
              <v:path gradientshapeok="t" o:connecttype="rect"/>
            </v:shapetype>
            <v:shape id="Text Box 2" o:spid="_x0000_s1026" type="#_x0000_t202" alt="Unclassified - Non classifié" style="position:absolute;margin-left:0;margin-top:0;width:98pt;height:27.4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" filled="f" stroked="f">
              <v:fill o:detectmouseclick="t"/>
              <v:textbox style="mso-fit-shape-to-text:t" inset="0,0,0,15pt">
                <w:txbxContent>
                  <w:p w14:paraId="11BEFB6B" w14:textId="66BFE68D" w:rsidR="00502A12" w:rsidRPr="00502A12" w:rsidRDefault="00502A12" w:rsidP="00502A12">
                    <w:pPr>
                      <w:spacing w:after="0"/>
                      <w:rPr>
                        <w:rFonts w:ascii="Arial Narrow" w:eastAsia="Arial Narrow" w:hAnsi="Arial Narrow" w:cs="Arial Narrow"/>
                        <w:noProof/>
                        <w:color w:val="0000FF"/>
                        <w:sz w:val="20"/>
                        <w:szCs w:val="20"/>
                      </w:rPr>
                    </w:pPr>
                    <w:r w:rsidRPr="00502A12">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2463" w14:textId="4F81FEE9" w:rsidR="00502A12" w:rsidRDefault="00502A12">
    <w:pPr>
      <w:pStyle w:val="Footer"/>
    </w:pPr>
    <w:r>
      <w:rPr>
        <w:noProof/>
      </w:rPr>
      <mc:AlternateContent>
        <mc:Choice Requires="wps">
          <w:drawing>
            <wp:anchor distT="0" distB="0" distL="0" distR="0" simplePos="0" relativeHeight="251660288" behindDoc="0" locked="0" layoutInCell="1" allowOverlap="1" wp14:anchorId="491D03B4" wp14:editId="048BA7F6">
              <wp:simplePos x="914400" y="10069033"/>
              <wp:positionH relativeFrom="page">
                <wp:align>center</wp:align>
              </wp:positionH>
              <wp:positionV relativeFrom="page">
                <wp:align>bottom</wp:align>
              </wp:positionV>
              <wp:extent cx="1244600" cy="347980"/>
              <wp:effectExtent l="0" t="0" r="12700" b="0"/>
              <wp:wrapNone/>
              <wp:docPr id="1052637915" name="Text Box 3"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34CC2AB1" w14:textId="178EA716" w:rsidR="00502A12" w:rsidRPr="00502A12" w:rsidRDefault="00502A12" w:rsidP="00502A12">
                          <w:pPr>
                            <w:spacing w:after="0"/>
                            <w:rPr>
                              <w:rFonts w:ascii="Arial Narrow" w:eastAsia="Arial Narrow" w:hAnsi="Arial Narrow" w:cs="Arial Narrow"/>
                              <w:noProof/>
                              <w:color w:val="0000FF"/>
                              <w:sz w:val="20"/>
                              <w:szCs w:val="20"/>
                            </w:rPr>
                          </w:pPr>
                          <w:r w:rsidRPr="00502A12">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1D03B4" id="_x0000_t202" coordsize="21600,21600" o:spt="202" path="m,l,21600r21600,l21600,xe">
              <v:stroke joinstyle="miter"/>
              <v:path gradientshapeok="t" o:connecttype="rect"/>
            </v:shapetype>
            <v:shape id="Text Box 3" o:spid="_x0000_s1027" type="#_x0000_t202" alt="Unclassified - Non classifié" style="position:absolute;margin-left:0;margin-top:0;width:98pt;height:27.4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" filled="f" stroked="f">
              <v:fill o:detectmouseclick="t"/>
              <v:textbox style="mso-fit-shape-to-text:t" inset="0,0,0,15pt">
                <w:txbxContent>
                  <w:p w14:paraId="34CC2AB1" w14:textId="178EA716" w:rsidR="00502A12" w:rsidRPr="00502A12" w:rsidRDefault="00502A12" w:rsidP="00502A12">
                    <w:pPr>
                      <w:spacing w:after="0"/>
                      <w:rPr>
                        <w:rFonts w:ascii="Arial Narrow" w:eastAsia="Arial Narrow" w:hAnsi="Arial Narrow" w:cs="Arial Narrow"/>
                        <w:noProof/>
                        <w:color w:val="0000FF"/>
                        <w:sz w:val="20"/>
                        <w:szCs w:val="20"/>
                      </w:rPr>
                    </w:pPr>
                    <w:r w:rsidRPr="00502A12">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42CF" w14:textId="1EA09408" w:rsidR="00502A12" w:rsidRDefault="00502A12">
    <w:pPr>
      <w:pStyle w:val="Footer"/>
    </w:pPr>
    <w:r>
      <w:rPr>
        <w:noProof/>
      </w:rPr>
      <mc:AlternateContent>
        <mc:Choice Requires="wps">
          <w:drawing>
            <wp:anchor distT="0" distB="0" distL="0" distR="0" simplePos="0" relativeHeight="251658240" behindDoc="0" locked="0" layoutInCell="1" allowOverlap="1" wp14:anchorId="115BC50F" wp14:editId="398EF938">
              <wp:simplePos x="635" y="635"/>
              <wp:positionH relativeFrom="page">
                <wp:align>center</wp:align>
              </wp:positionH>
              <wp:positionV relativeFrom="page">
                <wp:align>bottom</wp:align>
              </wp:positionV>
              <wp:extent cx="1244600" cy="347980"/>
              <wp:effectExtent l="0" t="0" r="12700" b="0"/>
              <wp:wrapNone/>
              <wp:docPr id="1576338174" name="Text Box 1"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66F9A7B2" w14:textId="12A35612" w:rsidR="00502A12" w:rsidRPr="00502A12" w:rsidRDefault="00502A12" w:rsidP="00502A12">
                          <w:pPr>
                            <w:spacing w:after="0"/>
                            <w:rPr>
                              <w:rFonts w:ascii="Arial Narrow" w:eastAsia="Arial Narrow" w:hAnsi="Arial Narrow" w:cs="Arial Narrow"/>
                              <w:noProof/>
                              <w:color w:val="0000FF"/>
                              <w:sz w:val="20"/>
                              <w:szCs w:val="20"/>
                            </w:rPr>
                          </w:pPr>
                          <w:r w:rsidRPr="00502A12">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5BC50F" id="_x0000_t202" coordsize="21600,21600" o:spt="202" path="m,l,21600r21600,l21600,xe">
              <v:stroke joinstyle="miter"/>
              <v:path gradientshapeok="t" o:connecttype="rect"/>
            </v:shapetype>
            <v:shape id="Text Box 1" o:spid="_x0000_s1028" type="#_x0000_t202" alt="Unclassified - Non classifié" style="position:absolute;margin-left:0;margin-top:0;width:98pt;height:27.4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" filled="f" stroked="f">
              <v:fill o:detectmouseclick="t"/>
              <v:textbox style="mso-fit-shape-to-text:t" inset="0,0,0,15pt">
                <w:txbxContent>
                  <w:p w14:paraId="66F9A7B2" w14:textId="12A35612" w:rsidR="00502A12" w:rsidRPr="00502A12" w:rsidRDefault="00502A12" w:rsidP="00502A12">
                    <w:pPr>
                      <w:spacing w:after="0"/>
                      <w:rPr>
                        <w:rFonts w:ascii="Arial Narrow" w:eastAsia="Arial Narrow" w:hAnsi="Arial Narrow" w:cs="Arial Narrow"/>
                        <w:noProof/>
                        <w:color w:val="0000FF"/>
                        <w:sz w:val="20"/>
                        <w:szCs w:val="20"/>
                      </w:rPr>
                    </w:pPr>
                    <w:r w:rsidRPr="00502A12">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EA7F" w14:textId="77777777" w:rsidR="00BC7216" w:rsidRDefault="00BC7216" w:rsidP="00CA1F6D">
      <w:pPr>
        <w:spacing w:after="0" w:line="240" w:lineRule="auto"/>
      </w:pPr>
      <w:r>
        <w:separator/>
      </w:r>
    </w:p>
  </w:footnote>
  <w:footnote w:type="continuationSeparator" w:id="0">
    <w:p w14:paraId="2E1C8075" w14:textId="77777777" w:rsidR="00BC7216" w:rsidRDefault="00BC7216" w:rsidP="00CA1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36E5" w14:textId="73DFFBDD" w:rsidR="003D17C7" w:rsidRPr="003D17C7" w:rsidRDefault="003D17C7">
    <w:pPr>
      <w:pStyle w:val="Header"/>
      <w:rPr>
        <w:b/>
        <w:bCs/>
      </w:rPr>
    </w:pPr>
    <w:r w:rsidRPr="005B2D97">
      <w:rPr>
        <w:b/>
        <w:bCs/>
      </w:rPr>
      <w:t xml:space="preserve">PROMs and multimorbidity profiles: </w:t>
    </w:r>
    <w:r w:rsidR="009345B1">
      <w:rPr>
        <w:b/>
        <w:bCs/>
      </w:rPr>
      <w:t>evidence</w:t>
    </w:r>
    <w:r w:rsidRPr="005B2D97">
      <w:rPr>
        <w:b/>
        <w:bCs/>
      </w:rPr>
      <w:t xml:space="preserve"> from the OECD PaRIS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5C8C"/>
    <w:multiLevelType w:val="hybridMultilevel"/>
    <w:tmpl w:val="4450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656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CC"/>
    <w:rsid w:val="0008612F"/>
    <w:rsid w:val="000D276A"/>
    <w:rsid w:val="000D5469"/>
    <w:rsid w:val="000E6F06"/>
    <w:rsid w:val="00123F5F"/>
    <w:rsid w:val="00165596"/>
    <w:rsid w:val="00185032"/>
    <w:rsid w:val="001929D3"/>
    <w:rsid w:val="001B5938"/>
    <w:rsid w:val="00213BFF"/>
    <w:rsid w:val="00224FA0"/>
    <w:rsid w:val="00226C1E"/>
    <w:rsid w:val="002F44F8"/>
    <w:rsid w:val="00375089"/>
    <w:rsid w:val="003C4B55"/>
    <w:rsid w:val="003D17C7"/>
    <w:rsid w:val="003F20D5"/>
    <w:rsid w:val="00420C79"/>
    <w:rsid w:val="004471A4"/>
    <w:rsid w:val="004B29B5"/>
    <w:rsid w:val="004D30AB"/>
    <w:rsid w:val="00502A12"/>
    <w:rsid w:val="00511B79"/>
    <w:rsid w:val="00525962"/>
    <w:rsid w:val="0055609F"/>
    <w:rsid w:val="005A7D10"/>
    <w:rsid w:val="005D7537"/>
    <w:rsid w:val="006311A3"/>
    <w:rsid w:val="0069702C"/>
    <w:rsid w:val="0076202F"/>
    <w:rsid w:val="007B45F4"/>
    <w:rsid w:val="00801A4D"/>
    <w:rsid w:val="00887FB3"/>
    <w:rsid w:val="008B74E8"/>
    <w:rsid w:val="008D3E89"/>
    <w:rsid w:val="009075C6"/>
    <w:rsid w:val="00917D28"/>
    <w:rsid w:val="009234F1"/>
    <w:rsid w:val="009345B1"/>
    <w:rsid w:val="009537F3"/>
    <w:rsid w:val="009F25D5"/>
    <w:rsid w:val="00A42D3C"/>
    <w:rsid w:val="00A90FF4"/>
    <w:rsid w:val="00AD4A4B"/>
    <w:rsid w:val="00AD5A05"/>
    <w:rsid w:val="00B6798D"/>
    <w:rsid w:val="00B825ED"/>
    <w:rsid w:val="00BC7216"/>
    <w:rsid w:val="00BF2905"/>
    <w:rsid w:val="00BF57EA"/>
    <w:rsid w:val="00C670AE"/>
    <w:rsid w:val="00CA1F6D"/>
    <w:rsid w:val="00CA4661"/>
    <w:rsid w:val="00CE5AAA"/>
    <w:rsid w:val="00D15FFF"/>
    <w:rsid w:val="00D4764D"/>
    <w:rsid w:val="00D722E1"/>
    <w:rsid w:val="00D80F3E"/>
    <w:rsid w:val="00DC1CFD"/>
    <w:rsid w:val="00DF2817"/>
    <w:rsid w:val="00E50480"/>
    <w:rsid w:val="00E7314E"/>
    <w:rsid w:val="00EA05F7"/>
    <w:rsid w:val="00EA6C9F"/>
    <w:rsid w:val="00EC1CF9"/>
    <w:rsid w:val="00EF33C8"/>
    <w:rsid w:val="00EF67CC"/>
    <w:rsid w:val="00F03186"/>
    <w:rsid w:val="00F16B20"/>
    <w:rsid w:val="00F4101E"/>
    <w:rsid w:val="00F428A5"/>
    <w:rsid w:val="00F6506A"/>
    <w:rsid w:val="00FE328B"/>
    <w:rsid w:val="08AF64EA"/>
    <w:rsid w:val="095E33D8"/>
    <w:rsid w:val="0D3EA75F"/>
    <w:rsid w:val="227E6831"/>
    <w:rsid w:val="245AA372"/>
    <w:rsid w:val="2BF40959"/>
    <w:rsid w:val="36D58591"/>
    <w:rsid w:val="39A33143"/>
    <w:rsid w:val="40D84C3A"/>
    <w:rsid w:val="53784C4D"/>
    <w:rsid w:val="53F117D8"/>
    <w:rsid w:val="54CB228B"/>
    <w:rsid w:val="6CAAF067"/>
    <w:rsid w:val="7523CB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BEBA"/>
  <w15:chartTrackingRefBased/>
  <w15:docId w15:val="{CD8C4DB4-3D10-4717-9EF0-7A6AF597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qFormat="1"/>
    <w:lsdException w:name="heading 7" w:semiHidden="1" w:uiPriority="19" w:unhideWhenUsed="1" w:qFormat="1"/>
    <w:lsdException w:name="heading 8" w:semiHidden="1" w:uiPriority="9" w:unhideWhenUsed="1" w:qFormat="1"/>
    <w:lsdException w:name="heading 9" w:semiHidden="1" w:uiPriority="2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rsid w:val="00EF67C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7"/>
    <w:unhideWhenUsed/>
    <w:qFormat/>
    <w:rsid w:val="00EF67C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F67C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EF67C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EF67CC"/>
    <w:pPr>
      <w:keepNext/>
      <w:keepLines/>
      <w:spacing w:before="80" w:after="40"/>
      <w:outlineLvl w:val="4"/>
    </w:pPr>
    <w:rPr>
      <w:rFonts w:eastAsiaTheme="majorEastAsia" w:cstheme="majorBidi"/>
      <w:color w:val="2E74B5" w:themeColor="accent1" w:themeShade="BF"/>
    </w:rPr>
  </w:style>
  <w:style w:type="paragraph" w:styleId="Heading6">
    <w:name w:val="heading 6"/>
    <w:aliases w:val="Part"/>
    <w:basedOn w:val="Normal"/>
    <w:next w:val="Normal"/>
    <w:link w:val="Heading6Char"/>
    <w:uiPriority w:val="3"/>
    <w:unhideWhenUsed/>
    <w:qFormat/>
    <w:rsid w:val="00EF67CC"/>
    <w:pPr>
      <w:keepNext/>
      <w:keepLines/>
      <w:spacing w:before="40" w:after="0"/>
      <w:outlineLvl w:val="5"/>
    </w:pPr>
    <w:rPr>
      <w:rFonts w:eastAsiaTheme="majorEastAsia" w:cstheme="majorBidi"/>
      <w:i/>
      <w:iCs/>
      <w:color w:val="595959" w:themeColor="text1" w:themeTint="A6"/>
    </w:rPr>
  </w:style>
  <w:style w:type="paragraph" w:styleId="Heading7">
    <w:name w:val="heading 7"/>
    <w:aliases w:val="Doc AnnX"/>
    <w:basedOn w:val="Normal"/>
    <w:next w:val="Normal"/>
    <w:link w:val="Heading7Char"/>
    <w:uiPriority w:val="19"/>
    <w:unhideWhenUsed/>
    <w:qFormat/>
    <w:rsid w:val="00EF67CC"/>
    <w:pPr>
      <w:keepNext/>
      <w:keepLines/>
      <w:spacing w:before="40" w:after="0"/>
      <w:outlineLvl w:val="6"/>
    </w:pPr>
    <w:rPr>
      <w:rFonts w:eastAsiaTheme="majorEastAsia" w:cstheme="majorBidi"/>
      <w:color w:val="595959" w:themeColor="text1" w:themeTint="A6"/>
    </w:rPr>
  </w:style>
  <w:style w:type="paragraph" w:styleId="Heading8">
    <w:name w:val="heading 8"/>
    <w:aliases w:val="Part AnnX"/>
    <w:basedOn w:val="Normal"/>
    <w:next w:val="Normal"/>
    <w:link w:val="Heading8Char"/>
    <w:uiPriority w:val="9"/>
    <w:unhideWhenUsed/>
    <w:qFormat/>
    <w:rsid w:val="00EF67CC"/>
    <w:pPr>
      <w:keepNext/>
      <w:keepLines/>
      <w:spacing w:after="0"/>
      <w:outlineLvl w:val="7"/>
    </w:pPr>
    <w:rPr>
      <w:rFonts w:eastAsiaTheme="majorEastAsia" w:cstheme="majorBidi"/>
      <w:i/>
      <w:iCs/>
      <w:color w:val="272727" w:themeColor="text1" w:themeTint="D8"/>
    </w:rPr>
  </w:style>
  <w:style w:type="paragraph" w:styleId="Heading9">
    <w:name w:val="heading 9"/>
    <w:aliases w:val="Chap AnnX"/>
    <w:basedOn w:val="Normal"/>
    <w:next w:val="Normal"/>
    <w:link w:val="Heading9Char"/>
    <w:uiPriority w:val="20"/>
    <w:unhideWhenUsed/>
    <w:qFormat/>
    <w:rsid w:val="00EF6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7C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F67C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F67C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EF67C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F67CC"/>
    <w:rPr>
      <w:rFonts w:eastAsiaTheme="majorEastAsia" w:cstheme="majorBidi"/>
      <w:color w:val="2E74B5" w:themeColor="accent1" w:themeShade="BF"/>
    </w:rPr>
  </w:style>
  <w:style w:type="character" w:customStyle="1" w:styleId="Heading6Char">
    <w:name w:val="Heading 6 Char"/>
    <w:aliases w:val="Part Char"/>
    <w:basedOn w:val="DefaultParagraphFont"/>
    <w:link w:val="Heading6"/>
    <w:uiPriority w:val="9"/>
    <w:semiHidden/>
    <w:rsid w:val="00EF67CC"/>
    <w:rPr>
      <w:rFonts w:eastAsiaTheme="majorEastAsia" w:cstheme="majorBidi"/>
      <w:i/>
      <w:iCs/>
      <w:color w:val="595959" w:themeColor="text1" w:themeTint="A6"/>
    </w:rPr>
  </w:style>
  <w:style w:type="character" w:customStyle="1" w:styleId="Heading7Char">
    <w:name w:val="Heading 7 Char"/>
    <w:aliases w:val="Doc AnnX Char"/>
    <w:basedOn w:val="DefaultParagraphFont"/>
    <w:link w:val="Heading7"/>
    <w:uiPriority w:val="19"/>
    <w:rsid w:val="00EF67CC"/>
    <w:rPr>
      <w:rFonts w:eastAsiaTheme="majorEastAsia" w:cstheme="majorBidi"/>
      <w:color w:val="595959" w:themeColor="text1" w:themeTint="A6"/>
    </w:rPr>
  </w:style>
  <w:style w:type="character" w:customStyle="1" w:styleId="Heading8Char">
    <w:name w:val="Heading 8 Char"/>
    <w:aliases w:val="Part AnnX Char"/>
    <w:basedOn w:val="DefaultParagraphFont"/>
    <w:link w:val="Heading8"/>
    <w:uiPriority w:val="9"/>
    <w:semiHidden/>
    <w:rsid w:val="00EF67CC"/>
    <w:rPr>
      <w:rFonts w:eastAsiaTheme="majorEastAsia" w:cstheme="majorBidi"/>
      <w:i/>
      <w:iCs/>
      <w:color w:val="272727" w:themeColor="text1" w:themeTint="D8"/>
    </w:rPr>
  </w:style>
  <w:style w:type="character" w:customStyle="1" w:styleId="Heading9Char">
    <w:name w:val="Heading 9 Char"/>
    <w:aliases w:val="Chap AnnX Char"/>
    <w:basedOn w:val="DefaultParagraphFont"/>
    <w:link w:val="Heading9"/>
    <w:uiPriority w:val="9"/>
    <w:semiHidden/>
    <w:rsid w:val="00EF67CC"/>
    <w:rPr>
      <w:rFonts w:eastAsiaTheme="majorEastAsia" w:cstheme="majorBidi"/>
      <w:color w:val="272727" w:themeColor="text1" w:themeTint="D8"/>
    </w:rPr>
  </w:style>
  <w:style w:type="paragraph" w:styleId="Title">
    <w:name w:val="Title"/>
    <w:basedOn w:val="Normal"/>
    <w:next w:val="Normal"/>
    <w:link w:val="TitleChar"/>
    <w:uiPriority w:val="10"/>
    <w:qFormat/>
    <w:rsid w:val="00EF6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7CC"/>
    <w:pPr>
      <w:spacing w:before="160"/>
      <w:jc w:val="center"/>
    </w:pPr>
    <w:rPr>
      <w:i/>
      <w:iCs/>
      <w:color w:val="404040" w:themeColor="text1" w:themeTint="BF"/>
    </w:rPr>
  </w:style>
  <w:style w:type="character" w:customStyle="1" w:styleId="QuoteChar">
    <w:name w:val="Quote Char"/>
    <w:basedOn w:val="DefaultParagraphFont"/>
    <w:link w:val="Quote"/>
    <w:uiPriority w:val="29"/>
    <w:rsid w:val="00EF67CC"/>
    <w:rPr>
      <w:i/>
      <w:iCs/>
      <w:color w:val="404040" w:themeColor="text1" w:themeTint="BF"/>
    </w:rPr>
  </w:style>
  <w:style w:type="paragraph" w:styleId="ListParagraph">
    <w:name w:val="List Paragraph"/>
    <w:basedOn w:val="Normal"/>
    <w:uiPriority w:val="34"/>
    <w:qFormat/>
    <w:rsid w:val="00EF67CC"/>
    <w:pPr>
      <w:ind w:left="720"/>
      <w:contextualSpacing/>
    </w:pPr>
  </w:style>
  <w:style w:type="character" w:styleId="IntenseEmphasis">
    <w:name w:val="Intense Emphasis"/>
    <w:basedOn w:val="DefaultParagraphFont"/>
    <w:uiPriority w:val="21"/>
    <w:qFormat/>
    <w:rsid w:val="00EF67CC"/>
    <w:rPr>
      <w:i/>
      <w:iCs/>
      <w:color w:val="2E74B5" w:themeColor="accent1" w:themeShade="BF"/>
    </w:rPr>
  </w:style>
  <w:style w:type="paragraph" w:styleId="IntenseQuote">
    <w:name w:val="Intense Quote"/>
    <w:basedOn w:val="Normal"/>
    <w:next w:val="Normal"/>
    <w:link w:val="IntenseQuoteChar"/>
    <w:uiPriority w:val="30"/>
    <w:qFormat/>
    <w:rsid w:val="00EF67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F67CC"/>
    <w:rPr>
      <w:i/>
      <w:iCs/>
      <w:color w:val="2E74B5" w:themeColor="accent1" w:themeShade="BF"/>
    </w:rPr>
  </w:style>
  <w:style w:type="character" w:styleId="IntenseReference">
    <w:name w:val="Intense Reference"/>
    <w:basedOn w:val="DefaultParagraphFont"/>
    <w:uiPriority w:val="32"/>
    <w:qFormat/>
    <w:rsid w:val="00EF67CC"/>
    <w:rPr>
      <w:b/>
      <w:bCs/>
      <w:smallCaps/>
      <w:color w:val="2E74B5" w:themeColor="accent1" w:themeShade="BF"/>
      <w:spacing w:val="5"/>
    </w:rPr>
  </w:style>
  <w:style w:type="paragraph" w:customStyle="1" w:styleId="Para">
    <w:name w:val="Para"/>
    <w:link w:val="ParaChar"/>
    <w:uiPriority w:val="4"/>
    <w:qFormat/>
    <w:rsid w:val="00CA1F6D"/>
    <w:pPr>
      <w:spacing w:before="120" w:after="120" w:line="260" w:lineRule="atLeast"/>
      <w:jc w:val="both"/>
    </w:pPr>
    <w:rPr>
      <w:color w:val="000000" w:themeColor="text1"/>
      <w:sz w:val="20"/>
      <w14:ligatures w14:val="none"/>
    </w:rPr>
  </w:style>
  <w:style w:type="character" w:customStyle="1" w:styleId="ParaChar">
    <w:name w:val="Para Char"/>
    <w:basedOn w:val="DefaultParagraphFont"/>
    <w:link w:val="Para"/>
    <w:uiPriority w:val="4"/>
    <w:rsid w:val="00CA1F6D"/>
    <w:rPr>
      <w:color w:val="000000" w:themeColor="text1"/>
      <w:sz w:val="20"/>
      <w14:ligatures w14:val="none"/>
    </w:rPr>
  </w:style>
  <w:style w:type="paragraph" w:styleId="Footer">
    <w:name w:val="footer"/>
    <w:basedOn w:val="Normal"/>
    <w:link w:val="FooterChar"/>
    <w:uiPriority w:val="99"/>
    <w:unhideWhenUsed/>
    <w:rsid w:val="00CA1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F6D"/>
  </w:style>
  <w:style w:type="paragraph" w:styleId="Header">
    <w:name w:val="header"/>
    <w:basedOn w:val="Normal"/>
    <w:link w:val="HeaderChar"/>
    <w:uiPriority w:val="99"/>
    <w:unhideWhenUsed/>
    <w:rsid w:val="003D1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7C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A4661"/>
    <w:pPr>
      <w:spacing w:after="0" w:line="240" w:lineRule="auto"/>
    </w:pPr>
  </w:style>
  <w:style w:type="paragraph" w:styleId="CommentSubject">
    <w:name w:val="annotation subject"/>
    <w:basedOn w:val="CommentText"/>
    <w:next w:val="CommentText"/>
    <w:link w:val="CommentSubjectChar"/>
    <w:uiPriority w:val="99"/>
    <w:semiHidden/>
    <w:unhideWhenUsed/>
    <w:rsid w:val="00CA4661"/>
    <w:rPr>
      <w:b/>
      <w:bCs/>
    </w:rPr>
  </w:style>
  <w:style w:type="character" w:customStyle="1" w:styleId="CommentSubjectChar">
    <w:name w:val="Comment Subject Char"/>
    <w:basedOn w:val="CommentTextChar"/>
    <w:link w:val="CommentSubject"/>
    <w:uiPriority w:val="99"/>
    <w:semiHidden/>
    <w:rsid w:val="00CA46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1879">
      <w:bodyDiv w:val="1"/>
      <w:marLeft w:val="0"/>
      <w:marRight w:val="0"/>
      <w:marTop w:val="0"/>
      <w:marBottom w:val="0"/>
      <w:divBdr>
        <w:top w:val="none" w:sz="0" w:space="0" w:color="auto"/>
        <w:left w:val="none" w:sz="0" w:space="0" w:color="auto"/>
        <w:bottom w:val="none" w:sz="0" w:space="0" w:color="auto"/>
        <w:right w:val="none" w:sz="0" w:space="0" w:color="auto"/>
      </w:divBdr>
      <w:divsChild>
        <w:div w:id="1663123664">
          <w:marLeft w:val="0"/>
          <w:marRight w:val="0"/>
          <w:marTop w:val="0"/>
          <w:marBottom w:val="0"/>
          <w:divBdr>
            <w:top w:val="none" w:sz="0" w:space="0" w:color="auto"/>
            <w:left w:val="none" w:sz="0" w:space="0" w:color="auto"/>
            <w:bottom w:val="none" w:sz="0" w:space="0" w:color="auto"/>
            <w:right w:val="none" w:sz="0" w:space="0" w:color="auto"/>
          </w:divBdr>
        </w:div>
      </w:divsChild>
    </w:div>
    <w:div w:id="285940064">
      <w:bodyDiv w:val="1"/>
      <w:marLeft w:val="0"/>
      <w:marRight w:val="0"/>
      <w:marTop w:val="0"/>
      <w:marBottom w:val="0"/>
      <w:divBdr>
        <w:top w:val="none" w:sz="0" w:space="0" w:color="auto"/>
        <w:left w:val="none" w:sz="0" w:space="0" w:color="auto"/>
        <w:bottom w:val="none" w:sz="0" w:space="0" w:color="auto"/>
        <w:right w:val="none" w:sz="0" w:space="0" w:color="auto"/>
      </w:divBdr>
      <w:divsChild>
        <w:div w:id="1090006830">
          <w:marLeft w:val="0"/>
          <w:marRight w:val="0"/>
          <w:marTop w:val="0"/>
          <w:marBottom w:val="0"/>
          <w:divBdr>
            <w:top w:val="none" w:sz="0" w:space="0" w:color="auto"/>
            <w:left w:val="none" w:sz="0" w:space="0" w:color="auto"/>
            <w:bottom w:val="none" w:sz="0" w:space="0" w:color="auto"/>
            <w:right w:val="none" w:sz="0" w:space="0" w:color="auto"/>
          </w:divBdr>
        </w:div>
      </w:divsChild>
    </w:div>
    <w:div w:id="736853962">
      <w:bodyDiv w:val="1"/>
      <w:marLeft w:val="0"/>
      <w:marRight w:val="0"/>
      <w:marTop w:val="0"/>
      <w:marBottom w:val="0"/>
      <w:divBdr>
        <w:top w:val="none" w:sz="0" w:space="0" w:color="auto"/>
        <w:left w:val="none" w:sz="0" w:space="0" w:color="auto"/>
        <w:bottom w:val="none" w:sz="0" w:space="0" w:color="auto"/>
        <w:right w:val="none" w:sz="0" w:space="0" w:color="auto"/>
      </w:divBdr>
      <w:divsChild>
        <w:div w:id="1007757319">
          <w:marLeft w:val="0"/>
          <w:marRight w:val="0"/>
          <w:marTop w:val="0"/>
          <w:marBottom w:val="0"/>
          <w:divBdr>
            <w:top w:val="none" w:sz="0" w:space="0" w:color="auto"/>
            <w:left w:val="none" w:sz="0" w:space="0" w:color="auto"/>
            <w:bottom w:val="none" w:sz="0" w:space="0" w:color="auto"/>
            <w:right w:val="none" w:sz="0" w:space="0" w:color="auto"/>
          </w:divBdr>
        </w:div>
      </w:divsChild>
    </w:div>
    <w:div w:id="1391540896">
      <w:bodyDiv w:val="1"/>
      <w:marLeft w:val="0"/>
      <w:marRight w:val="0"/>
      <w:marTop w:val="0"/>
      <w:marBottom w:val="0"/>
      <w:divBdr>
        <w:top w:val="none" w:sz="0" w:space="0" w:color="auto"/>
        <w:left w:val="none" w:sz="0" w:space="0" w:color="auto"/>
        <w:bottom w:val="none" w:sz="0" w:space="0" w:color="auto"/>
        <w:right w:val="none" w:sz="0" w:space="0" w:color="auto"/>
      </w:divBdr>
      <w:divsChild>
        <w:div w:id="1579171713">
          <w:marLeft w:val="0"/>
          <w:marRight w:val="0"/>
          <w:marTop w:val="0"/>
          <w:marBottom w:val="0"/>
          <w:divBdr>
            <w:top w:val="none" w:sz="0" w:space="0" w:color="auto"/>
            <w:left w:val="none" w:sz="0" w:space="0" w:color="auto"/>
            <w:bottom w:val="none" w:sz="0" w:space="0" w:color="auto"/>
            <w:right w:val="none" w:sz="0" w:space="0" w:color="auto"/>
          </w:divBdr>
        </w:div>
      </w:divsChild>
    </w:div>
    <w:div w:id="1574315524">
      <w:bodyDiv w:val="1"/>
      <w:marLeft w:val="0"/>
      <w:marRight w:val="0"/>
      <w:marTop w:val="0"/>
      <w:marBottom w:val="0"/>
      <w:divBdr>
        <w:top w:val="none" w:sz="0" w:space="0" w:color="auto"/>
        <w:left w:val="none" w:sz="0" w:space="0" w:color="auto"/>
        <w:bottom w:val="none" w:sz="0" w:space="0" w:color="auto"/>
        <w:right w:val="none" w:sz="0" w:space="0" w:color="auto"/>
      </w:divBdr>
    </w:div>
    <w:div w:id="20102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oecd-en.xsl" StyleName="OECD English" Version="20220221">
  <b:Source>
    <b:Tag>XRef_JEOLAbAMzzCeZg9h_XRMTg</b:Tag>
    <b:SourceType>JournalArticle</b:SourceType>
    <b:Title>Data analysis plan of the OECD PaRIS survey: leveraging a multi-level approach to analyse data collected from people living with chronic conditions and their primary care practices in 20 countries</b:Title>
    <b:Year>2024</b:Year>
    <b:Publisher>Springer Science and Business Media LLC</b:Publisher>
    <b:Author>
      <b:Author>
        <b:NameList>
          <b:Person>
            <b:Last>Groenewegen</b:Last>
            <b:First>Peter</b:First>
          </b:Person>
          <b:Person>
            <b:Last>Spreeuwenberg</b:Last>
            <b:First>Peter</b:First>
          </b:Person>
          <b:Person>
            <b:Last>Timans</b:Last>
            <b:First>Rob</b:First>
          </b:Person>
          <b:Person>
            <b:Last>Groene</b:Last>
            <b:First>Oliver</b:First>
          </b:Person>
          <b:Person>
            <b:Last>Suñol</b:Last>
            <b:First>Rosa</b:First>
          </b:Person>
          <b:Person>
            <b:Last>Valderas</b:Last>
            <b:First>Jose Maria</b:First>
          </b:Person>
          <b:Person>
            <b:Last>Rijken</b:Last>
            <b:First>Mieke</b:First>
          </b:Person>
        </b:NameList>
      </b:Author>
    </b:Author>
    <b:Volume>17</b:Volume>
    <b:JournalName>BMC Research Notes</b:JournalName>
    <b:DOI>10.1186/s13104-024-06815-7</b:DOI>
    <b:Issue>1</b:Issue>
    <b:LCID>en-US</b:LCID>
    <b:Version>CrossRef</b:Version>
    <b:RefOrder>29</b:RefOrder>
  </b:Source>
  <b:Source>
    <b:Tag>Kapp_c8af05a5</b:Tag>
    <b:SourceType>Book</b:SourceType>
    <b:Title>Does Healthcare Deliver?: Results from the Patient-Reported Indicator Surveys (PaRIS)</b:Title>
    <b:Year>2025</b:Year>
    <b:Publisher>OECD Publishing, Paris</b:Publisher>
    <b:Author>
      <b:Author>
        <b:Corporate>OECD</b:Corporate>
      </b:Author>
    </b:Author>
    <b:DOI>10.1787/c8af05a5-en</b:DOI>
    <b:LCID>en-GB</b:LCID>
    <b:Version>Kappa</b:Version>
    <b:RefOrder>10</b:RefOrder>
  </b:Source>
</b:Sources>
</file>

<file path=customXml/itemProps1.xml><?xml version="1.0" encoding="utf-8"?>
<ds:datastoreItem xmlns:ds="http://schemas.openxmlformats.org/officeDocument/2006/customXml" ds:itemID="{99D7036C-A105-4B7D-8923-BC938405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1289</Words>
  <Characters>8114</Characters>
  <Application>Microsoft Office Word</Application>
  <DocSecurity>0</DocSecurity>
  <Lines>115</Lines>
  <Paragraphs>37</Paragraphs>
  <ScaleCrop>false</ScaleCrop>
  <Company>OECD</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KENDIR Candan, ELS/HD</dc:creator>
  <cp:keywords/>
  <dc:description/>
  <cp:lastModifiedBy>KENDIR Candan, ELS/HD</cp:lastModifiedBy>
  <cp:revision>53</cp:revision>
  <dcterms:created xsi:type="dcterms:W3CDTF">2026-02-25T13:54:00Z</dcterms:created>
  <dcterms:modified xsi:type="dcterms:W3CDTF">2026-04-15T09:31:00Z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5df502fe,4e7b0257,3ebdfadb</vt:lpwstr>
  </property>
  <property fmtid="{D5CDD505-2E9C-101B-9397-08002B2CF9AE}" pid="3" name="ClassificationContentMarkingFooterFontProps">
    <vt:lpwstr>#0000ff,10,Arial Narrow</vt:lpwstr>
  </property>
  <property fmtid="{D5CDD505-2E9C-101B-9397-08002B2CF9AE}" pid="4" name="ClassificationContentMarkingFooterText">
    <vt:lpwstr>Unclassified - Non classifié</vt:lpwstr>
  </property>
  <property fmtid="{D5CDD505-2E9C-101B-9397-08002B2CF9AE}" pid="5" name="MSIP_Label_0b2d0c28-e13a-4801-bbf0-29bdaa81743b_Enabled">
    <vt:lpwstr>true</vt:lpwstr>
  </property>
  <property fmtid="{D5CDD505-2E9C-101B-9397-08002B2CF9AE}" pid="6" name="MSIP_Label_0b2d0c28-e13a-4801-bbf0-29bdaa81743b_SetDate">
    <vt:lpwstr>2026-04-15T09:31:56Z</vt:lpwstr>
  </property>
  <property fmtid="{D5CDD505-2E9C-101B-9397-08002B2CF9AE}" pid="7" name="MSIP_Label_0b2d0c28-e13a-4801-bbf0-29bdaa81743b_Method">
    <vt:lpwstr>Privileged</vt:lpwstr>
  </property>
  <property fmtid="{D5CDD505-2E9C-101B-9397-08002B2CF9AE}" pid="8" name="MSIP_Label_0b2d0c28-e13a-4801-bbf0-29bdaa81743b_Name">
    <vt:lpwstr>Unclassified</vt:lpwstr>
  </property>
  <property fmtid="{D5CDD505-2E9C-101B-9397-08002B2CF9AE}" pid="9" name="MSIP_Label_0b2d0c28-e13a-4801-bbf0-29bdaa81743b_SiteId">
    <vt:lpwstr>ac41c7d4-1f61-460d-b0f4-fc925a2b471c</vt:lpwstr>
  </property>
  <property fmtid="{D5CDD505-2E9C-101B-9397-08002B2CF9AE}" pid="10" name="MSIP_Label_0b2d0c28-e13a-4801-bbf0-29bdaa81743b_ActionId">
    <vt:lpwstr>c612a607-1aa3-412e-a25c-7b2a77adbb1b</vt:lpwstr>
  </property>
  <property fmtid="{D5CDD505-2E9C-101B-9397-08002B2CF9AE}" pid="11" name="MSIP_Label_0b2d0c28-e13a-4801-bbf0-29bdaa81743b_ContentBits">
    <vt:lpwstr>2</vt:lpwstr>
  </property>
  <property fmtid="{D5CDD505-2E9C-101B-9397-08002B2CF9AE}" pid="12" name="MSIP_Label_0b2d0c28-e13a-4801-bbf0-29bdaa81743b_Tag">
    <vt:lpwstr>10, 0, 1, 1</vt:lpwstr>
  </property>
</Properties>
</file>