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6AB54" w14:textId="77777777" w:rsidR="00E13397" w:rsidRPr="0084447F" w:rsidRDefault="00E13397" w:rsidP="00E13397">
      <w:pPr>
        <w:rPr>
          <w:rFonts w:ascii="Times New Roman" w:eastAsia="ATBasilia-Roman" w:hAnsi="Times New Roman" w:cs="Times New Roman"/>
          <w:b/>
          <w:i/>
          <w:kern w:val="0"/>
          <w:sz w:val="22"/>
        </w:rPr>
      </w:pPr>
      <w:bookmarkStart w:id="0" w:name="_GoBack"/>
      <w:bookmarkEnd w:id="0"/>
      <w:r w:rsidRPr="0084447F">
        <w:rPr>
          <w:rFonts w:ascii="Times New Roman" w:eastAsia="ATBasilia-Roman" w:hAnsi="Times New Roman" w:cs="Times New Roman"/>
          <w:b/>
          <w:i/>
          <w:kern w:val="0"/>
          <w:sz w:val="22"/>
        </w:rPr>
        <w:t>Supplemental Material 1.</w:t>
      </w:r>
    </w:p>
    <w:p w14:paraId="78778F34" w14:textId="77777777" w:rsidR="00E13397" w:rsidRPr="0084447F" w:rsidRDefault="00E13397" w:rsidP="00E13397">
      <w:pPr>
        <w:rPr>
          <w:rFonts w:ascii="Times New Roman" w:hAnsi="Times New Roman" w:cs="Times New Roman"/>
          <w:color w:val="00B050"/>
          <w:sz w:val="22"/>
        </w:rPr>
      </w:pPr>
      <w:r w:rsidRPr="0084447F">
        <w:rPr>
          <w:rFonts w:ascii="Times New Roman" w:hAnsi="Times New Roman" w:cs="Times New Roman"/>
          <w:color w:val="00B050"/>
          <w:sz w:val="22"/>
        </w:rPr>
        <w:t>DIBH ACCT acquisition</w:t>
      </w:r>
    </w:p>
    <w:p w14:paraId="1DBDA7FE" w14:textId="77777777" w:rsidR="00E13397" w:rsidRPr="0084447F" w:rsidRDefault="00E13397" w:rsidP="00E13397">
      <w:pPr>
        <w:rPr>
          <w:rFonts w:ascii="Times New Roman" w:hAnsi="Times New Roman" w:cs="Times New Roman"/>
          <w:sz w:val="22"/>
        </w:rPr>
      </w:pPr>
      <w:r w:rsidRPr="0084447F">
        <w:rPr>
          <w:rFonts w:ascii="Times New Roman" w:hAnsi="Times New Roman" w:cs="Times New Roman"/>
          <w:sz w:val="22"/>
        </w:rPr>
        <w:t xml:space="preserve">First, </w:t>
      </w:r>
      <w:r w:rsidRPr="0084447F">
        <w:rPr>
          <w:rFonts w:ascii="Times New Roman" w:eastAsia="宋体" w:hAnsi="Times New Roman" w:cs="Times New Roman"/>
          <w:sz w:val="22"/>
        </w:rPr>
        <w:t xml:space="preserve">a routine attenuation correction CT (ACCT) was performed for all patients. Without patient movement in the single scan, the body was still except </w:t>
      </w:r>
      <w:r>
        <w:rPr>
          <w:rFonts w:ascii="Times New Roman" w:eastAsia="宋体" w:hAnsi="Times New Roman" w:cs="Times New Roman"/>
          <w:sz w:val="22"/>
        </w:rPr>
        <w:t xml:space="preserve">for </w:t>
      </w:r>
      <w:r w:rsidRPr="0084447F">
        <w:rPr>
          <w:rFonts w:ascii="Times New Roman" w:eastAsia="宋体" w:hAnsi="Times New Roman" w:cs="Times New Roman"/>
          <w:sz w:val="22"/>
        </w:rPr>
        <w:t xml:space="preserve">the body part </w:t>
      </w:r>
      <w:r>
        <w:rPr>
          <w:rFonts w:ascii="Times New Roman" w:eastAsia="宋体" w:hAnsi="Times New Roman" w:cs="Times New Roman"/>
          <w:sz w:val="22"/>
        </w:rPr>
        <w:t>a</w:t>
      </w:r>
      <w:r w:rsidRPr="0084447F">
        <w:rPr>
          <w:rFonts w:ascii="Times New Roman" w:eastAsia="宋体" w:hAnsi="Times New Roman" w:cs="Times New Roman"/>
          <w:sz w:val="22"/>
        </w:rPr>
        <w:t>ffected by the respiratory motion. The DIBH chest to pelvis low dose diagnostic CT (LDCT) was obtained. The DIBH LDCT and the still head-to-neck and lower extremity ACCT from the routine FB scan were combined as the total-body ACCT for DIBH total-body PET attenuation correction.</w:t>
      </w:r>
    </w:p>
    <w:p w14:paraId="0FE2768C" w14:textId="77777777" w:rsidR="00E13397" w:rsidRPr="0084447F" w:rsidRDefault="00E13397" w:rsidP="00E13397">
      <w:pPr>
        <w:rPr>
          <w:rFonts w:ascii="Times New Roman" w:hAnsi="Times New Roman" w:cs="Times New Roman"/>
          <w:sz w:val="22"/>
        </w:rPr>
      </w:pPr>
    </w:p>
    <w:p w14:paraId="7DEA7FF8" w14:textId="77777777" w:rsidR="00E13397" w:rsidRPr="0084447F" w:rsidRDefault="00E13397" w:rsidP="00E13397">
      <w:pPr>
        <w:rPr>
          <w:rFonts w:ascii="Times New Roman" w:eastAsia="ATBasilia-Roman" w:hAnsi="Times New Roman" w:cs="Times New Roman"/>
          <w:b/>
          <w:i/>
          <w:kern w:val="0"/>
          <w:sz w:val="22"/>
        </w:rPr>
      </w:pPr>
      <w:r w:rsidRPr="0084447F">
        <w:rPr>
          <w:rFonts w:ascii="Times New Roman" w:eastAsia="ATBasilia-Roman" w:hAnsi="Times New Roman" w:cs="Times New Roman"/>
          <w:b/>
          <w:i/>
          <w:kern w:val="0"/>
          <w:sz w:val="22"/>
        </w:rPr>
        <w:t>Supplemental Material 2.</w:t>
      </w:r>
    </w:p>
    <w:p w14:paraId="283C4641" w14:textId="77777777" w:rsidR="00E13397" w:rsidRPr="0084447F" w:rsidRDefault="00E13397" w:rsidP="00E13397">
      <w:pPr>
        <w:rPr>
          <w:rFonts w:ascii="Times New Roman" w:hAnsi="Times New Roman" w:cs="Times New Roman"/>
          <w:color w:val="00B050"/>
          <w:sz w:val="22"/>
        </w:rPr>
      </w:pPr>
      <w:bookmarkStart w:id="1" w:name="_Hlk142475613"/>
      <w:r w:rsidRPr="0084447F">
        <w:rPr>
          <w:rFonts w:ascii="Times New Roman" w:hAnsi="Times New Roman" w:cs="Times New Roman"/>
          <w:color w:val="00B050"/>
          <w:sz w:val="22"/>
        </w:rPr>
        <w:t>Quantitative image quality assessment</w:t>
      </w:r>
      <w:bookmarkEnd w:id="1"/>
    </w:p>
    <w:p w14:paraId="2B5FFA84" w14:textId="77777777" w:rsidR="00E13397" w:rsidRPr="0084447F" w:rsidRDefault="00E13397" w:rsidP="00E13397">
      <w:pPr>
        <w:rPr>
          <w:rFonts w:ascii="Times New Roman" w:eastAsia="宋体" w:hAnsi="Times New Roman" w:cs="Times New Roman"/>
          <w:sz w:val="22"/>
        </w:rPr>
      </w:pPr>
      <w:r w:rsidRPr="0084447F">
        <w:rPr>
          <w:rFonts w:ascii="Times New Roman" w:eastAsia="宋体" w:hAnsi="Times New Roman" w:cs="Times New Roman"/>
          <w:sz w:val="22"/>
        </w:rPr>
        <w:t xml:space="preserve">The liver, spleen, and mediastinal blood pool were selected and measured. As published in several studies </w:t>
      </w:r>
      <w:r w:rsidRPr="0084447F">
        <w:rPr>
          <w:rFonts w:ascii="Times New Roman" w:eastAsia="宋体" w:hAnsi="Times New Roman" w:cs="Times New Roman"/>
          <w:sz w:val="22"/>
        </w:rPr>
        <w:fldChar w:fldCharType="begin"/>
      </w:r>
      <w:r w:rsidRPr="0084447F">
        <w:rPr>
          <w:rFonts w:ascii="Times New Roman" w:eastAsia="宋体" w:hAnsi="Times New Roman" w:cs="Times New Roman"/>
          <w:sz w:val="22"/>
        </w:rPr>
        <w:instrText xml:space="preserve"> ADDIN ZOTERO_ITEM CSL_CITATION {"citationID":"VkLXq82J","properties":{"formattedCitation":"({\\i{}1},{\\i{}2})","plainCitation":"(1,2)","noteIndex":0},"citationItems":[{"id":560,"uris":["http://zotero.org/users/10122212/items/PTENJRMY"],"itemData":{"id":560,"type":"article-journal","abstract":"PURPOSE: To compare the prognostic value of imaging biomarkers derived from a quantitative analysis of baseline 18F-FDG-PET/CT in patients with mucosal melanoma (Muc-M) or cutaneous melanoma (Cut-M) treated with immune checkpoint inhibitors (ICIs).\nMETHODS: In this retrospective monocentric study, we included 56 patients with non-resectable Muc-M (n = 24) or Cut-M (n = 32) who underwent baseline 18F-FDG-PET/CT before treatment with ICIs between 2011 and 2017. Parameters were extracted from (i) tumoral tissues: SUVmax, SUVmean, TMTV (total metabolic tumor volume), and TLG (total lesion glycolysis) and (ii) lymphoid tissues: BLR (bone marrow-to-liver SUVmax ratio) and SLR (spleen-to-liver SUVmax ratio). Association with survival and response was evaluated using Cox prediction models, Student's t tests, and Spearman's correlation respectively. p &lt; 0.05 was considered significant.\nRESULTS: Majority of ICIs were anti-PD1 (92.9%, n = 52/56). All 18F-FDG-PET/CT were positive. Overall (Muc-M to Cut-M), ORR was 33%:42%, DCR was 56%:69%, median follow-up was 25.0:28.9 months, median PFS was 4.7:10.7 months, and median OS was 23.9:28.3 months. In Muc-M, increased tumor SUVmax was associated with shorter OS while it was not correlated with PFS, ORR, or DCR. In Cut-M, increased TMTV and increased BLR were independently associated with shorter OS, shorter PFS, and lower response (ORR, DCR).\nCONCLUSION: While all Muc-M and Cut-M were FDG avid, prognostic imaging biomarkers differed. For Muc-M patients treated with ICI, the only prognostic imaging biomarker was a high baseline maximal glycolytic activity (SUVmax), whereas for Cut-M patients, baseline metabolic tumor burden or bone marrow metabolism was negatively correlated to ICI response duration.","container-title":"European Journal of Nuclear Medicine and Molecular Imaging","DOI":"10.1007/s00259-020-04757-3","ISSN":"1619-7089","issue":"10","journalAbbreviation":"Eur J Nucl Med Mol Imaging","language":"eng","note":"PMID: 32206839","page":"2301-2312","source":"PubMed","title":"Prognostic 18F-FDG PET biomarkers in metastatic mucosal and cutaneous melanoma treated with immune checkpoint inhibitors targeting PD-1 and CTLA-4","volume":"47","author":[{"family":"Seban","given":"Romain-David"},{"family":"Moya-Plana","given":"Antoine"},{"family":"Antonios","given":"Lara"},{"family":"Yeh","given":"Randy"},{"family":"Marabelle","given":"Aurélien"},{"family":"Deutsch","given":"Eric"},{"family":"Schwartz","given":"Lawrence H."},{"family":"Gómez","given":"Ruth Gabriela Herrera"},{"family":"Saenger","given":"Yvonne"},{"family":"Robert","given":"Caroline"},{"family":"Ammari","given":"Samy"},{"family":"Dercle","given":"Laurent"}],"issued":{"date-parts":[["2020",9]]}},"label":"page"},{"id":556,"uris":["http://zotero.org/users/10122212/items/634YYRN2"],"itemData":{"id":556,"type":"article-journal","abstract":"The aim of this study was to evaluate if bone marrow (BM) SUVmax measured on pre-treatment 18F-FDG PET/CT predicts the clinical outcome of locally advanced cervical cancer (LACC). We recruited retrospectively patients with LACC who underwent staging 18F-FDG PET/CT and had baseline blood tests, then treated by chemoradiation therapy (CRT), followed by image-guided adaptive brachytherapy (IGABT). BM SUVmax was calculated and correlated to inflammatory blood markers. Tumor size and pelvic lymph node involvement were evaluated on baseline MRI. Prognostic value of SUV uptake and blood markers regarding overall survival (OS), pelvic and extra-pelvic recurrence-free survival (PRFS and EPRFS respectively) was assessed using Cox models with adjusted p-values. 116 patients with FIGO stage Ib-IVa cervical cancer, treated between 2005 and 2014, were analyzed. The median follow-up was 75.5 months. BM SUVmax was significantly correlated to tumor SUVmax. In multivariate analysis, PRFS was significantly poorer in patients with high BM SUVmax (&gt;2.8) and neutrophilia (p &lt; .05). Tumor size (&gt;5 vs ≤5 cm) could predict PRFS, EPRFS and OS (p &lt; .05). In our cohort, FIGO stage (I-II vs III-IV), pelvic lymph node involvement and tumor SUVmax (&gt;12 vs ≤12) were not prognostic for OS or pelvic and extra-pelvic relapses. Patients with LACC and high BM SUVmax on 18F-FDG PET have worse PFRS following CRT plus IGABT. These results can be potentially explained by the pro-inflammatory role of the tumor microenvironment and G-CSF expressed by tumor cells. These data support the role of PET as a potential indicator of disease aggressiveness beyond tumor staging.","container-title":"Oncoimmunology","DOI":"10.1080/2162402X.2019.1574197","ISSN":"2162-4011","issue":"5","journalAbbreviation":"Oncoimmunology","language":"eng","note":"PMID: 31069132\nPMCID: PMC6492982","page":"e1574197","source":"PubMed","title":"Increased bone marrow SUVmax on 18F-FDG PET is associated with higher pelvic treatment failure in patients with cervical cancer treated by chemoradiotherapy and brachytherapy","volume":"8","author":[{"family":"Seban","given":"Romain-David"},{"family":"Robert","given":"Charlotte"},{"family":"Dercle","given":"Laurent"},{"family":"Yeh","given":"Randy"},{"family":"Dunant","given":"Ariane"},{"family":"Reuze","given":"Sylvain"},{"family":"Schernberg","given":"Antoine"},{"family":"Sun","given":"Roger"},{"family":"Mignot","given":"Fabien"},{"family":"Terroir","given":"Marie"},{"family":"Schlumberger","given":"Martin"},{"family":"Haie-Meder","given":"Christine"},{"family":"Chargari","given":"Cyrus"},{"family":"Deutsch","given":"Eric"}],"issued":{"date-parts":[["2019"]]}},"label":"page"}],"schema":"https://github.com/citation-style-language/schema/raw/master/csl-citation.json"} </w:instrText>
      </w:r>
      <w:r w:rsidRPr="0084447F">
        <w:rPr>
          <w:rFonts w:ascii="Times New Roman" w:eastAsia="宋体" w:hAnsi="Times New Roman" w:cs="Times New Roman"/>
          <w:sz w:val="22"/>
        </w:rPr>
        <w:fldChar w:fldCharType="separate"/>
      </w:r>
      <w:r w:rsidRPr="0084447F">
        <w:rPr>
          <w:rFonts w:ascii="Times New Roman" w:hAnsi="Times New Roman" w:cs="Times New Roman"/>
          <w:kern w:val="0"/>
          <w:sz w:val="22"/>
        </w:rPr>
        <w:t>(</w:t>
      </w:r>
      <w:r w:rsidRPr="0084447F">
        <w:rPr>
          <w:rFonts w:ascii="Times New Roman" w:hAnsi="Times New Roman" w:cs="Times New Roman"/>
          <w:i/>
          <w:iCs/>
          <w:kern w:val="0"/>
          <w:sz w:val="22"/>
        </w:rPr>
        <w:t>1</w:t>
      </w:r>
      <w:r w:rsidRPr="0084447F">
        <w:rPr>
          <w:rFonts w:ascii="Times New Roman" w:hAnsi="Times New Roman" w:cs="Times New Roman"/>
          <w:kern w:val="0"/>
          <w:sz w:val="22"/>
        </w:rPr>
        <w:t>,</w:t>
      </w:r>
      <w:r w:rsidRPr="0084447F">
        <w:rPr>
          <w:rFonts w:ascii="Times New Roman" w:hAnsi="Times New Roman" w:cs="Times New Roman"/>
          <w:i/>
          <w:iCs/>
          <w:kern w:val="0"/>
          <w:sz w:val="22"/>
        </w:rPr>
        <w:t>2</w:t>
      </w:r>
      <w:r w:rsidRPr="0084447F">
        <w:rPr>
          <w:rFonts w:ascii="Times New Roman" w:hAnsi="Times New Roman" w:cs="Times New Roman"/>
          <w:kern w:val="0"/>
          <w:sz w:val="22"/>
        </w:rPr>
        <w:t>)</w:t>
      </w:r>
      <w:r w:rsidRPr="0084447F">
        <w:rPr>
          <w:rFonts w:ascii="Times New Roman" w:eastAsia="宋体" w:hAnsi="Times New Roman" w:cs="Times New Roman"/>
          <w:sz w:val="22"/>
        </w:rPr>
        <w:fldChar w:fldCharType="end"/>
      </w:r>
      <w:r w:rsidRPr="0084447F">
        <w:rPr>
          <w:rFonts w:ascii="Times New Roman" w:eastAsia="宋体" w:hAnsi="Times New Roman" w:cs="Times New Roman"/>
          <w:sz w:val="22"/>
        </w:rPr>
        <w:t>, the liver, spleen, and mediastinal blood pool SUVs were measured by placing a 3 cm spherical volume of interest (VOI) in the right upper lobe of the liver, a 1.5 cm spherical VOI in the spleen, and a 1 cm spherical VOI in the descending aorta, respectively. All VOIs avoided the edge and metastatic lesions. The SUV</w:t>
      </w:r>
      <w:r w:rsidRPr="0084447F">
        <w:rPr>
          <w:rFonts w:ascii="Times New Roman" w:eastAsia="宋体" w:hAnsi="Times New Roman" w:cs="Times New Roman"/>
          <w:sz w:val="22"/>
          <w:vertAlign w:val="subscript"/>
        </w:rPr>
        <w:t>mean</w:t>
      </w:r>
      <w:r w:rsidRPr="0084447F">
        <w:rPr>
          <w:rFonts w:ascii="Times New Roman" w:eastAsia="宋体" w:hAnsi="Times New Roman" w:cs="Times New Roman"/>
          <w:sz w:val="22"/>
        </w:rPr>
        <w:t>, SUV</w:t>
      </w:r>
      <w:r w:rsidRPr="0084447F">
        <w:rPr>
          <w:rFonts w:ascii="Times New Roman" w:eastAsia="宋体" w:hAnsi="Times New Roman" w:cs="Times New Roman"/>
          <w:sz w:val="22"/>
          <w:vertAlign w:val="subscript"/>
        </w:rPr>
        <w:t>max</w:t>
      </w:r>
      <w:r w:rsidRPr="0084447F">
        <w:rPr>
          <w:rFonts w:ascii="Times New Roman" w:eastAsia="宋体" w:hAnsi="Times New Roman" w:cs="Times New Roman"/>
          <w:sz w:val="22"/>
        </w:rPr>
        <w:t>, and standard deviation (SD) values for each PET series were recorded.</w:t>
      </w:r>
    </w:p>
    <w:p w14:paraId="1C1A57B2" w14:textId="77777777" w:rsidR="00E13397" w:rsidRDefault="00E13397" w:rsidP="00E13397">
      <w:pPr>
        <w:rPr>
          <w:rFonts w:ascii="Times New Roman" w:eastAsia="宋体" w:hAnsi="Times New Roman" w:cs="Times New Roman"/>
          <w:sz w:val="22"/>
        </w:rPr>
      </w:pPr>
      <w:r w:rsidRPr="0084447F">
        <w:rPr>
          <w:rFonts w:ascii="Times New Roman" w:eastAsia="宋体" w:hAnsi="Times New Roman" w:cs="Times New Roman"/>
          <w:sz w:val="22"/>
        </w:rPr>
        <w:t>The SUV</w:t>
      </w:r>
      <w:r w:rsidRPr="0084447F">
        <w:rPr>
          <w:rFonts w:ascii="Times New Roman" w:eastAsia="宋体" w:hAnsi="Times New Roman" w:cs="Times New Roman"/>
          <w:sz w:val="22"/>
          <w:vertAlign w:val="subscript"/>
        </w:rPr>
        <w:t>max</w:t>
      </w:r>
      <w:r w:rsidRPr="0084447F">
        <w:rPr>
          <w:rFonts w:ascii="Times New Roman" w:eastAsia="宋体" w:hAnsi="Times New Roman" w:cs="Times New Roman"/>
          <w:sz w:val="22"/>
        </w:rPr>
        <w:t xml:space="preserve"> and standard deviation (SD) of the spleen, and mediastinal blood pool were not significantly different between the FB-30s and DIBH-30s PET, and both were significantly larger than those in FB-300s. The quantitative image measurements were summarized in Table E1.</w:t>
      </w:r>
    </w:p>
    <w:p w14:paraId="39A314EA" w14:textId="77777777" w:rsidR="00E13397" w:rsidRDefault="00E13397" w:rsidP="00E13397">
      <w:pPr>
        <w:rPr>
          <w:rFonts w:ascii="Times New Roman" w:eastAsia="宋体" w:hAnsi="Times New Roman" w:cs="Times New Roman"/>
          <w:sz w:val="22"/>
        </w:rPr>
      </w:pPr>
    </w:p>
    <w:p w14:paraId="40663943" w14:textId="77777777" w:rsidR="00E13397" w:rsidRPr="0084447F" w:rsidRDefault="00E13397" w:rsidP="00E13397">
      <w:pPr>
        <w:rPr>
          <w:rFonts w:ascii="Times New Roman" w:eastAsia="ATBasilia-Roman" w:hAnsi="Times New Roman" w:cs="Times New Roman"/>
          <w:b/>
          <w:i/>
          <w:kern w:val="0"/>
          <w:sz w:val="22"/>
        </w:rPr>
      </w:pPr>
      <w:r w:rsidRPr="0084447F">
        <w:rPr>
          <w:rFonts w:ascii="Times New Roman" w:eastAsia="ATBasilia-Roman" w:hAnsi="Times New Roman" w:cs="Times New Roman"/>
          <w:b/>
          <w:i/>
          <w:kern w:val="0"/>
          <w:sz w:val="22"/>
        </w:rPr>
        <w:t xml:space="preserve">Supplemental Material </w:t>
      </w:r>
      <w:r>
        <w:rPr>
          <w:rFonts w:ascii="Times New Roman" w:eastAsia="ATBasilia-Roman" w:hAnsi="Times New Roman" w:cs="Times New Roman"/>
          <w:b/>
          <w:i/>
          <w:kern w:val="0"/>
          <w:sz w:val="22"/>
        </w:rPr>
        <w:t>3</w:t>
      </w:r>
      <w:r w:rsidRPr="0084447F">
        <w:rPr>
          <w:rFonts w:ascii="Times New Roman" w:eastAsia="ATBasilia-Roman" w:hAnsi="Times New Roman" w:cs="Times New Roman"/>
          <w:b/>
          <w:i/>
          <w:kern w:val="0"/>
          <w:sz w:val="22"/>
        </w:rPr>
        <w:t>.</w:t>
      </w:r>
    </w:p>
    <w:p w14:paraId="2CAF9A87" w14:textId="77777777" w:rsidR="00E13397" w:rsidRPr="0084447F" w:rsidRDefault="00E13397" w:rsidP="00E13397">
      <w:pPr>
        <w:rPr>
          <w:rFonts w:ascii="Times New Roman" w:hAnsi="Times New Roman" w:cs="Times New Roman"/>
          <w:color w:val="00B050"/>
          <w:sz w:val="22"/>
        </w:rPr>
      </w:pPr>
      <w:r>
        <w:rPr>
          <w:rFonts w:ascii="Times New Roman" w:hAnsi="Times New Roman" w:cs="Times New Roman"/>
          <w:color w:val="00B050"/>
          <w:sz w:val="22"/>
        </w:rPr>
        <w:t>Lesion analysis</w:t>
      </w:r>
    </w:p>
    <w:p w14:paraId="67C8090E" w14:textId="77777777" w:rsidR="00E13397" w:rsidRDefault="00E13397" w:rsidP="00E13397">
      <w:pPr>
        <w:rPr>
          <w:rFonts w:ascii="Times New Roman" w:eastAsia="宋体" w:hAnsi="Times New Roman" w:cs="Times New Roman"/>
          <w:sz w:val="22"/>
        </w:rPr>
      </w:pPr>
      <w:r>
        <w:rPr>
          <w:rFonts w:ascii="Times New Roman" w:eastAsia="宋体" w:hAnsi="Times New Roman" w:cs="Times New Roman"/>
          <w:sz w:val="22"/>
        </w:rPr>
        <w:t>The lesion confidence was scored on a 4-point scale (score 4: definite, &gt;95%; score 3: probable, 75%-95%; score 2: possible, 50</w:t>
      </w:r>
      <w:r>
        <w:rPr>
          <w:rFonts w:ascii="Times New Roman" w:eastAsia="宋体" w:hAnsi="Times New Roman" w:cs="Times New Roman" w:hint="eastAsia"/>
          <w:sz w:val="22"/>
        </w:rPr>
        <w:t>%</w:t>
      </w:r>
      <w:r>
        <w:rPr>
          <w:rFonts w:ascii="Times New Roman" w:eastAsia="宋体" w:hAnsi="Times New Roman" w:cs="Times New Roman"/>
          <w:sz w:val="22"/>
        </w:rPr>
        <w:t>-75%; score 1: questionable, ≤ 50%).</w:t>
      </w:r>
    </w:p>
    <w:p w14:paraId="00103A07" w14:textId="77777777" w:rsidR="00E13397" w:rsidRPr="002379E6" w:rsidRDefault="00E13397" w:rsidP="00E13397">
      <w:pPr>
        <w:rPr>
          <w:rFonts w:ascii="Times New Roman" w:eastAsia="宋体" w:hAnsi="Times New Roman" w:cs="Times New Roman"/>
          <w:sz w:val="22"/>
        </w:rPr>
      </w:pPr>
      <w:r>
        <w:rPr>
          <w:rFonts w:ascii="Times New Roman" w:eastAsia="宋体" w:hAnsi="Times New Roman" w:cs="Times New Roman"/>
          <w:sz w:val="22"/>
        </w:rPr>
        <w:t xml:space="preserve">The reference true positive (TP) lesion was defined as follows: Firstly, any PET </w:t>
      </w:r>
      <w:r>
        <w:rPr>
          <w:rFonts w:ascii="Times New Roman" w:eastAsia="宋体" w:hAnsi="Times New Roman" w:cs="Times New Roman"/>
          <w:sz w:val="22"/>
          <w:vertAlign w:val="superscript"/>
        </w:rPr>
        <w:t>18</w:t>
      </w:r>
      <w:r>
        <w:rPr>
          <w:rFonts w:ascii="Times New Roman" w:eastAsia="宋体" w:hAnsi="Times New Roman" w:cs="Times New Roman"/>
          <w:sz w:val="22"/>
        </w:rPr>
        <w:t xml:space="preserve">F-FDG-avid lesion (confidence ≥ 2) that had a corresponding CT/MR lesion was defined as a TP lesion. Secondly, considering the ultrahigh sensitivity of TB-PET and high SNR of the FB-300s PET images, we assigned the lesion with confidence ≥ 3 on FB-300s as a TP lesion. Thirdly, if the confidence of the </w:t>
      </w:r>
      <w:r>
        <w:rPr>
          <w:rFonts w:ascii="Times New Roman" w:eastAsia="宋体" w:hAnsi="Times New Roman" w:cs="Times New Roman"/>
          <w:sz w:val="22"/>
          <w:vertAlign w:val="superscript"/>
        </w:rPr>
        <w:t>18</w:t>
      </w:r>
      <w:r>
        <w:rPr>
          <w:rFonts w:ascii="Times New Roman" w:eastAsia="宋体" w:hAnsi="Times New Roman" w:cs="Times New Roman"/>
          <w:sz w:val="22"/>
        </w:rPr>
        <w:t>F-FDG-avid lesion in FB-300s was elevated in DIBH-30s PET, the lesion was defined as a TP lesion.</w:t>
      </w:r>
      <w:r w:rsidRPr="002379E6">
        <w:rPr>
          <w:rFonts w:ascii="Times New Roman" w:eastAsia="宋体" w:hAnsi="Times New Roman" w:cs="Times New Roman"/>
          <w:sz w:val="22"/>
        </w:rPr>
        <w:t xml:space="preserve"> </w:t>
      </w:r>
      <w:r w:rsidRPr="00F40173">
        <w:rPr>
          <w:rFonts w:ascii="Times New Roman" w:eastAsia="宋体" w:hAnsi="Times New Roman" w:cs="Times New Roman"/>
          <w:sz w:val="22"/>
        </w:rPr>
        <w:t xml:space="preserve">TP lesions with confidence </w:t>
      </w:r>
      <w:bookmarkStart w:id="2" w:name="OLE_LINK5"/>
      <w:r w:rsidRPr="00F40173">
        <w:rPr>
          <w:rFonts w:ascii="Times New Roman" w:eastAsia="宋体" w:hAnsi="Times New Roman" w:cs="Times New Roman"/>
          <w:sz w:val="22"/>
        </w:rPr>
        <w:t>≥ 2</w:t>
      </w:r>
      <w:bookmarkEnd w:id="2"/>
      <w:r w:rsidRPr="00F40173">
        <w:rPr>
          <w:rFonts w:ascii="Times New Roman" w:eastAsia="宋体" w:hAnsi="Times New Roman" w:cs="Times New Roman"/>
          <w:sz w:val="22"/>
        </w:rPr>
        <w:t xml:space="preserve"> on three PET series were assigned as </w:t>
      </w:r>
      <w:proofErr w:type="spellStart"/>
      <w:r w:rsidRPr="00F40173">
        <w:rPr>
          <w:rFonts w:ascii="Times New Roman" w:eastAsia="宋体" w:hAnsi="Times New Roman" w:cs="Times New Roman"/>
          <w:sz w:val="22"/>
        </w:rPr>
        <w:t>coidentified</w:t>
      </w:r>
      <w:proofErr w:type="spellEnd"/>
      <w:r w:rsidRPr="00F40173">
        <w:rPr>
          <w:rFonts w:ascii="Times New Roman" w:eastAsia="宋体" w:hAnsi="Times New Roman" w:cs="Times New Roman"/>
          <w:sz w:val="22"/>
        </w:rPr>
        <w:t xml:space="preserve"> lesions, while lesions with confidence &lt; 2 on certain PET were assigned as missed lesions on certain PET.</w:t>
      </w:r>
    </w:p>
    <w:p w14:paraId="098ECD27" w14:textId="77777777" w:rsidR="00E13397" w:rsidRPr="002379E6" w:rsidRDefault="00E13397" w:rsidP="00E13397">
      <w:pPr>
        <w:rPr>
          <w:rFonts w:ascii="Times New Roman" w:eastAsia="宋体" w:hAnsi="Times New Roman" w:cs="Times New Roman"/>
          <w:sz w:val="22"/>
        </w:rPr>
      </w:pPr>
    </w:p>
    <w:p w14:paraId="466103E5" w14:textId="77777777" w:rsidR="00E13397" w:rsidRPr="0084447F" w:rsidRDefault="00E13397" w:rsidP="00E13397">
      <w:pPr>
        <w:rPr>
          <w:rFonts w:ascii="Times New Roman" w:eastAsia="宋体" w:hAnsi="Times New Roman" w:cs="Times New Roman"/>
          <w:sz w:val="22"/>
        </w:rPr>
      </w:pPr>
      <w:r w:rsidRPr="0084447F">
        <w:rPr>
          <w:rFonts w:ascii="Times New Roman" w:eastAsia="宋体" w:hAnsi="Times New Roman" w:cs="Times New Roman"/>
          <w:b/>
          <w:bCs/>
          <w:sz w:val="22"/>
        </w:rPr>
        <w:t>Table E1</w:t>
      </w:r>
      <w:r w:rsidRPr="0084447F">
        <w:rPr>
          <w:rFonts w:ascii="Times New Roman" w:eastAsia="宋体" w:hAnsi="Times New Roman" w:cs="Times New Roman"/>
          <w:sz w:val="22"/>
        </w:rPr>
        <w:t xml:space="preserve"> Quantitative image measurements.</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1107"/>
        <w:gridCol w:w="1107"/>
        <w:gridCol w:w="1115"/>
        <w:gridCol w:w="1223"/>
        <w:gridCol w:w="1310"/>
        <w:gridCol w:w="1257"/>
      </w:tblGrid>
      <w:tr w:rsidR="00E13397" w:rsidRPr="0084447F" w14:paraId="7F20F6AB" w14:textId="77777777" w:rsidTr="00894736">
        <w:trPr>
          <w:trHeight w:val="623"/>
        </w:trPr>
        <w:tc>
          <w:tcPr>
            <w:tcW w:w="0" w:type="auto"/>
            <w:vMerge w:val="restart"/>
            <w:tcBorders>
              <w:top w:val="single" w:sz="4" w:space="0" w:color="auto"/>
              <w:bottom w:val="nil"/>
            </w:tcBorders>
          </w:tcPr>
          <w:p w14:paraId="12DF4E91" w14:textId="77777777" w:rsidR="00E13397" w:rsidRPr="0084447F" w:rsidRDefault="00E13397" w:rsidP="00894736">
            <w:pPr>
              <w:rPr>
                <w:rFonts w:ascii="Times New Roman" w:eastAsia="宋体" w:hAnsi="Times New Roman" w:cs="Times New Roman"/>
                <w:sz w:val="22"/>
              </w:rPr>
            </w:pPr>
            <w:bookmarkStart w:id="3" w:name="OLE_LINK1"/>
            <w:bookmarkStart w:id="4" w:name="OLE_LINK2"/>
          </w:p>
        </w:tc>
        <w:tc>
          <w:tcPr>
            <w:tcW w:w="0" w:type="auto"/>
            <w:vMerge w:val="restart"/>
            <w:tcBorders>
              <w:top w:val="single" w:sz="4" w:space="0" w:color="auto"/>
              <w:bottom w:val="nil"/>
            </w:tcBorders>
            <w:vAlign w:val="center"/>
          </w:tcPr>
          <w:p w14:paraId="1BD5C0EF"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FB-5min</w:t>
            </w:r>
          </w:p>
        </w:tc>
        <w:tc>
          <w:tcPr>
            <w:tcW w:w="0" w:type="auto"/>
            <w:vMerge w:val="restart"/>
            <w:tcBorders>
              <w:top w:val="single" w:sz="4" w:space="0" w:color="auto"/>
              <w:bottom w:val="nil"/>
            </w:tcBorders>
            <w:vAlign w:val="center"/>
          </w:tcPr>
          <w:p w14:paraId="72574366"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FB-30s</w:t>
            </w:r>
          </w:p>
        </w:tc>
        <w:tc>
          <w:tcPr>
            <w:tcW w:w="0" w:type="auto"/>
            <w:vMerge w:val="restart"/>
            <w:tcBorders>
              <w:top w:val="single" w:sz="4" w:space="0" w:color="auto"/>
              <w:bottom w:val="nil"/>
            </w:tcBorders>
            <w:vAlign w:val="center"/>
          </w:tcPr>
          <w:p w14:paraId="18C19133"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DIBH-30s</w:t>
            </w:r>
          </w:p>
        </w:tc>
        <w:tc>
          <w:tcPr>
            <w:tcW w:w="0" w:type="auto"/>
            <w:gridSpan w:val="3"/>
            <w:tcBorders>
              <w:top w:val="single" w:sz="4" w:space="0" w:color="auto"/>
              <w:bottom w:val="single" w:sz="4" w:space="0" w:color="auto"/>
            </w:tcBorders>
            <w:vAlign w:val="center"/>
          </w:tcPr>
          <w:p w14:paraId="54EC0FA4" w14:textId="77777777" w:rsidR="00E13397" w:rsidRPr="0084447F" w:rsidRDefault="00E13397" w:rsidP="00894736">
            <w:pPr>
              <w:jc w:val="center"/>
              <w:rPr>
                <w:rFonts w:ascii="Times New Roman" w:eastAsia="宋体" w:hAnsi="Times New Roman" w:cs="Times New Roman"/>
                <w:sz w:val="22"/>
              </w:rPr>
            </w:pPr>
            <w:r w:rsidRPr="0084447F">
              <w:rPr>
                <w:rFonts w:ascii="Times New Roman" w:eastAsia="宋体" w:hAnsi="Times New Roman" w:cs="Times New Roman"/>
                <w:i/>
                <w:iCs/>
                <w:sz w:val="22"/>
              </w:rPr>
              <w:t>p</w:t>
            </w:r>
            <w:r>
              <w:rPr>
                <w:rFonts w:ascii="Times New Roman" w:eastAsia="宋体" w:hAnsi="Times New Roman" w:cs="Times New Roman"/>
                <w:sz w:val="22"/>
              </w:rPr>
              <w:t>-</w:t>
            </w:r>
            <w:r w:rsidRPr="0084447F">
              <w:rPr>
                <w:rFonts w:ascii="Times New Roman" w:eastAsia="宋体" w:hAnsi="Times New Roman" w:cs="Times New Roman"/>
                <w:sz w:val="22"/>
              </w:rPr>
              <w:t>value</w:t>
            </w:r>
          </w:p>
        </w:tc>
      </w:tr>
      <w:tr w:rsidR="00E13397" w:rsidRPr="0084447F" w14:paraId="582089D3" w14:textId="77777777" w:rsidTr="00894736">
        <w:trPr>
          <w:trHeight w:val="622"/>
        </w:trPr>
        <w:tc>
          <w:tcPr>
            <w:tcW w:w="0" w:type="auto"/>
            <w:vMerge/>
            <w:tcBorders>
              <w:top w:val="nil"/>
              <w:bottom w:val="single" w:sz="4" w:space="0" w:color="auto"/>
            </w:tcBorders>
          </w:tcPr>
          <w:p w14:paraId="2EA3F422" w14:textId="77777777" w:rsidR="00E13397" w:rsidRPr="0084447F" w:rsidRDefault="00E13397" w:rsidP="00894736">
            <w:pPr>
              <w:rPr>
                <w:rFonts w:ascii="Times New Roman" w:eastAsia="宋体" w:hAnsi="Times New Roman" w:cs="Times New Roman"/>
                <w:sz w:val="22"/>
              </w:rPr>
            </w:pPr>
          </w:p>
        </w:tc>
        <w:tc>
          <w:tcPr>
            <w:tcW w:w="0" w:type="auto"/>
            <w:vMerge/>
            <w:tcBorders>
              <w:top w:val="nil"/>
              <w:bottom w:val="single" w:sz="4" w:space="0" w:color="auto"/>
            </w:tcBorders>
            <w:vAlign w:val="center"/>
          </w:tcPr>
          <w:p w14:paraId="62D9997C" w14:textId="77777777" w:rsidR="00E13397" w:rsidRPr="0084447F" w:rsidRDefault="00E13397" w:rsidP="00894736">
            <w:pPr>
              <w:rPr>
                <w:rFonts w:ascii="Times New Roman" w:eastAsia="宋体" w:hAnsi="Times New Roman" w:cs="Times New Roman"/>
                <w:sz w:val="22"/>
              </w:rPr>
            </w:pPr>
          </w:p>
        </w:tc>
        <w:tc>
          <w:tcPr>
            <w:tcW w:w="0" w:type="auto"/>
            <w:vMerge/>
            <w:tcBorders>
              <w:top w:val="nil"/>
              <w:bottom w:val="single" w:sz="4" w:space="0" w:color="auto"/>
            </w:tcBorders>
            <w:vAlign w:val="center"/>
          </w:tcPr>
          <w:p w14:paraId="50E221C8" w14:textId="77777777" w:rsidR="00E13397" w:rsidRPr="0084447F" w:rsidRDefault="00E13397" w:rsidP="00894736">
            <w:pPr>
              <w:rPr>
                <w:rFonts w:ascii="Times New Roman" w:eastAsia="宋体" w:hAnsi="Times New Roman" w:cs="Times New Roman"/>
                <w:sz w:val="22"/>
              </w:rPr>
            </w:pPr>
          </w:p>
        </w:tc>
        <w:tc>
          <w:tcPr>
            <w:tcW w:w="0" w:type="auto"/>
            <w:vMerge/>
            <w:tcBorders>
              <w:top w:val="nil"/>
              <w:bottom w:val="single" w:sz="4" w:space="0" w:color="auto"/>
            </w:tcBorders>
            <w:vAlign w:val="center"/>
          </w:tcPr>
          <w:p w14:paraId="0E36D98A" w14:textId="77777777" w:rsidR="00E13397" w:rsidRPr="0084447F" w:rsidRDefault="00E13397" w:rsidP="00894736">
            <w:pPr>
              <w:rPr>
                <w:rFonts w:ascii="Times New Roman" w:eastAsia="宋体" w:hAnsi="Times New Roman" w:cs="Times New Roman"/>
                <w:sz w:val="22"/>
              </w:rPr>
            </w:pPr>
          </w:p>
        </w:tc>
        <w:tc>
          <w:tcPr>
            <w:tcW w:w="0" w:type="auto"/>
            <w:tcBorders>
              <w:top w:val="single" w:sz="4" w:space="0" w:color="auto"/>
              <w:bottom w:val="single" w:sz="4" w:space="0" w:color="auto"/>
            </w:tcBorders>
            <w:vAlign w:val="center"/>
          </w:tcPr>
          <w:p w14:paraId="69443B7A"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FB-5min vs. FB-30s</w:t>
            </w:r>
          </w:p>
        </w:tc>
        <w:tc>
          <w:tcPr>
            <w:tcW w:w="0" w:type="auto"/>
            <w:tcBorders>
              <w:top w:val="single" w:sz="4" w:space="0" w:color="auto"/>
              <w:bottom w:val="single" w:sz="4" w:space="0" w:color="auto"/>
            </w:tcBorders>
            <w:vAlign w:val="center"/>
          </w:tcPr>
          <w:p w14:paraId="79AAA7EF"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FB-5min vs. DIBH-30s</w:t>
            </w:r>
          </w:p>
        </w:tc>
        <w:tc>
          <w:tcPr>
            <w:tcW w:w="0" w:type="auto"/>
            <w:tcBorders>
              <w:top w:val="single" w:sz="4" w:space="0" w:color="auto"/>
              <w:bottom w:val="single" w:sz="4" w:space="0" w:color="auto"/>
            </w:tcBorders>
            <w:vAlign w:val="center"/>
          </w:tcPr>
          <w:p w14:paraId="22F97C41"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FB-30s vs. DIBH-30s</w:t>
            </w:r>
          </w:p>
        </w:tc>
      </w:tr>
      <w:tr w:rsidR="00E13397" w:rsidRPr="0084447F" w14:paraId="001AB46E" w14:textId="77777777" w:rsidTr="00894736">
        <w:tc>
          <w:tcPr>
            <w:tcW w:w="0" w:type="auto"/>
            <w:vAlign w:val="center"/>
          </w:tcPr>
          <w:p w14:paraId="7354570A"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Spleen</w:t>
            </w:r>
          </w:p>
        </w:tc>
        <w:tc>
          <w:tcPr>
            <w:tcW w:w="0" w:type="auto"/>
            <w:vAlign w:val="center"/>
          </w:tcPr>
          <w:p w14:paraId="059C1059" w14:textId="77777777" w:rsidR="00E13397" w:rsidRPr="0084447F" w:rsidRDefault="00E13397" w:rsidP="00894736">
            <w:pPr>
              <w:rPr>
                <w:rFonts w:ascii="Times New Roman" w:eastAsia="宋体" w:hAnsi="Times New Roman" w:cs="Times New Roman"/>
                <w:sz w:val="22"/>
              </w:rPr>
            </w:pPr>
          </w:p>
        </w:tc>
        <w:tc>
          <w:tcPr>
            <w:tcW w:w="0" w:type="auto"/>
            <w:vAlign w:val="center"/>
          </w:tcPr>
          <w:p w14:paraId="4F2BE798" w14:textId="77777777" w:rsidR="00E13397" w:rsidRPr="0084447F" w:rsidRDefault="00E13397" w:rsidP="00894736">
            <w:pPr>
              <w:rPr>
                <w:rFonts w:ascii="Times New Roman" w:eastAsia="宋体" w:hAnsi="Times New Roman" w:cs="Times New Roman"/>
                <w:sz w:val="22"/>
              </w:rPr>
            </w:pPr>
          </w:p>
        </w:tc>
        <w:tc>
          <w:tcPr>
            <w:tcW w:w="0" w:type="auto"/>
            <w:vAlign w:val="center"/>
          </w:tcPr>
          <w:p w14:paraId="62609413" w14:textId="77777777" w:rsidR="00E13397" w:rsidRPr="0084447F" w:rsidRDefault="00E13397" w:rsidP="00894736">
            <w:pPr>
              <w:rPr>
                <w:rFonts w:ascii="Times New Roman" w:eastAsia="宋体" w:hAnsi="Times New Roman" w:cs="Times New Roman"/>
                <w:sz w:val="22"/>
              </w:rPr>
            </w:pPr>
          </w:p>
        </w:tc>
        <w:tc>
          <w:tcPr>
            <w:tcW w:w="0" w:type="auto"/>
            <w:vAlign w:val="center"/>
          </w:tcPr>
          <w:p w14:paraId="2E1D7F49" w14:textId="77777777" w:rsidR="00E13397" w:rsidRPr="0084447F" w:rsidRDefault="00E13397" w:rsidP="00894736">
            <w:pPr>
              <w:rPr>
                <w:rFonts w:ascii="Times New Roman" w:eastAsia="宋体" w:hAnsi="Times New Roman" w:cs="Times New Roman"/>
                <w:sz w:val="22"/>
              </w:rPr>
            </w:pPr>
          </w:p>
        </w:tc>
        <w:tc>
          <w:tcPr>
            <w:tcW w:w="0" w:type="auto"/>
            <w:vAlign w:val="center"/>
          </w:tcPr>
          <w:p w14:paraId="3CA8D9F4" w14:textId="77777777" w:rsidR="00E13397" w:rsidRPr="0084447F" w:rsidRDefault="00E13397" w:rsidP="00894736">
            <w:pPr>
              <w:rPr>
                <w:rFonts w:ascii="Times New Roman" w:eastAsia="宋体" w:hAnsi="Times New Roman" w:cs="Times New Roman"/>
                <w:sz w:val="22"/>
              </w:rPr>
            </w:pPr>
          </w:p>
        </w:tc>
        <w:tc>
          <w:tcPr>
            <w:tcW w:w="0" w:type="auto"/>
            <w:vAlign w:val="center"/>
          </w:tcPr>
          <w:p w14:paraId="34BE3597" w14:textId="77777777" w:rsidR="00E13397" w:rsidRPr="0084447F" w:rsidRDefault="00E13397" w:rsidP="00894736">
            <w:pPr>
              <w:rPr>
                <w:rFonts w:ascii="Times New Roman" w:eastAsia="宋体" w:hAnsi="Times New Roman" w:cs="Times New Roman"/>
                <w:sz w:val="22"/>
              </w:rPr>
            </w:pPr>
          </w:p>
        </w:tc>
      </w:tr>
      <w:tr w:rsidR="00E13397" w:rsidRPr="0084447F" w14:paraId="5BE084E8" w14:textId="77777777" w:rsidTr="00894736">
        <w:tc>
          <w:tcPr>
            <w:tcW w:w="0" w:type="auto"/>
            <w:vAlign w:val="center"/>
          </w:tcPr>
          <w:p w14:paraId="1B8899E2" w14:textId="77777777" w:rsidR="00E13397" w:rsidRPr="0084447F" w:rsidRDefault="00E13397" w:rsidP="00894736">
            <w:pPr>
              <w:ind w:firstLineChars="100" w:firstLine="220"/>
              <w:rPr>
                <w:rFonts w:ascii="Times New Roman" w:eastAsia="宋体" w:hAnsi="Times New Roman" w:cs="Times New Roman"/>
                <w:sz w:val="22"/>
              </w:rPr>
            </w:pPr>
            <w:r w:rsidRPr="0084447F">
              <w:rPr>
                <w:rFonts w:ascii="Times New Roman" w:eastAsia="宋体" w:hAnsi="Times New Roman" w:cs="Times New Roman"/>
                <w:sz w:val="22"/>
              </w:rPr>
              <w:t>SUV</w:t>
            </w:r>
            <w:r w:rsidRPr="0084447F">
              <w:rPr>
                <w:rFonts w:ascii="Times New Roman" w:eastAsia="宋体" w:hAnsi="Times New Roman" w:cs="Times New Roman"/>
                <w:sz w:val="22"/>
                <w:vertAlign w:val="subscript"/>
              </w:rPr>
              <w:t>mean</w:t>
            </w:r>
          </w:p>
        </w:tc>
        <w:tc>
          <w:tcPr>
            <w:tcW w:w="0" w:type="auto"/>
            <w:vAlign w:val="center"/>
          </w:tcPr>
          <w:p w14:paraId="6284363D" w14:textId="77777777" w:rsidR="00E13397" w:rsidRPr="0084447F" w:rsidRDefault="00E13397" w:rsidP="00894736">
            <w:pPr>
              <w:rPr>
                <w:rFonts w:ascii="Times New Roman" w:eastAsia="宋体" w:hAnsi="Times New Roman" w:cs="Times New Roman"/>
                <w:sz w:val="22"/>
              </w:rPr>
            </w:pPr>
            <w:r w:rsidRPr="0084447F">
              <w:rPr>
                <w:rFonts w:ascii="Times New Roman" w:eastAsia="DengXian" w:hAnsi="Times New Roman" w:cs="Times New Roman"/>
                <w:color w:val="000000"/>
                <w:sz w:val="22"/>
              </w:rPr>
              <w:t>1.82±0.28</w:t>
            </w:r>
          </w:p>
        </w:tc>
        <w:tc>
          <w:tcPr>
            <w:tcW w:w="0" w:type="auto"/>
            <w:vAlign w:val="center"/>
          </w:tcPr>
          <w:p w14:paraId="0521A0CC" w14:textId="77777777" w:rsidR="00E13397" w:rsidRPr="0084447F" w:rsidRDefault="00E13397" w:rsidP="00894736">
            <w:pPr>
              <w:rPr>
                <w:rFonts w:ascii="Times New Roman" w:eastAsia="宋体" w:hAnsi="Times New Roman" w:cs="Times New Roman"/>
                <w:sz w:val="22"/>
              </w:rPr>
            </w:pPr>
            <w:r w:rsidRPr="0084447F">
              <w:rPr>
                <w:rFonts w:ascii="Times New Roman" w:eastAsia="DengXian" w:hAnsi="Times New Roman" w:cs="Times New Roman"/>
                <w:color w:val="000000"/>
                <w:sz w:val="22"/>
              </w:rPr>
              <w:t>1.82±0.30</w:t>
            </w:r>
          </w:p>
        </w:tc>
        <w:tc>
          <w:tcPr>
            <w:tcW w:w="0" w:type="auto"/>
            <w:vAlign w:val="center"/>
          </w:tcPr>
          <w:p w14:paraId="76227564" w14:textId="77777777" w:rsidR="00E13397" w:rsidRPr="0084447F" w:rsidRDefault="00E13397" w:rsidP="00894736">
            <w:pPr>
              <w:rPr>
                <w:rFonts w:ascii="Times New Roman" w:eastAsia="宋体" w:hAnsi="Times New Roman" w:cs="Times New Roman"/>
                <w:sz w:val="22"/>
              </w:rPr>
            </w:pPr>
            <w:r w:rsidRPr="0084447F">
              <w:rPr>
                <w:rFonts w:ascii="Times New Roman" w:eastAsia="DengXian" w:hAnsi="Times New Roman" w:cs="Times New Roman"/>
                <w:color w:val="000000"/>
                <w:sz w:val="22"/>
              </w:rPr>
              <w:t>1.81±0.30</w:t>
            </w:r>
          </w:p>
        </w:tc>
        <w:tc>
          <w:tcPr>
            <w:tcW w:w="0" w:type="auto"/>
            <w:vAlign w:val="center"/>
          </w:tcPr>
          <w:p w14:paraId="22FE81E1"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0.453</w:t>
            </w:r>
          </w:p>
        </w:tc>
        <w:tc>
          <w:tcPr>
            <w:tcW w:w="0" w:type="auto"/>
            <w:vAlign w:val="center"/>
          </w:tcPr>
          <w:p w14:paraId="18C954A8"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0.500</w:t>
            </w:r>
          </w:p>
        </w:tc>
        <w:tc>
          <w:tcPr>
            <w:tcW w:w="0" w:type="auto"/>
            <w:vAlign w:val="center"/>
          </w:tcPr>
          <w:p w14:paraId="7EC1622E"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0.311</w:t>
            </w:r>
          </w:p>
        </w:tc>
      </w:tr>
      <w:tr w:rsidR="00E13397" w:rsidRPr="0084447F" w14:paraId="056259B6" w14:textId="77777777" w:rsidTr="00894736">
        <w:tc>
          <w:tcPr>
            <w:tcW w:w="0" w:type="auto"/>
            <w:vAlign w:val="center"/>
          </w:tcPr>
          <w:p w14:paraId="4F579E68" w14:textId="77777777" w:rsidR="00E13397" w:rsidRPr="0084447F" w:rsidRDefault="00E13397" w:rsidP="00894736">
            <w:pPr>
              <w:ind w:firstLineChars="100" w:firstLine="220"/>
              <w:rPr>
                <w:rFonts w:ascii="Times New Roman" w:eastAsia="宋体" w:hAnsi="Times New Roman" w:cs="Times New Roman"/>
                <w:sz w:val="22"/>
              </w:rPr>
            </w:pPr>
            <w:r w:rsidRPr="0084447F">
              <w:rPr>
                <w:rFonts w:ascii="Times New Roman" w:eastAsia="宋体" w:hAnsi="Times New Roman" w:cs="Times New Roman"/>
                <w:sz w:val="22"/>
              </w:rPr>
              <w:t>SUV</w:t>
            </w:r>
            <w:r w:rsidRPr="0084447F">
              <w:rPr>
                <w:rFonts w:ascii="Times New Roman" w:eastAsia="宋体" w:hAnsi="Times New Roman" w:cs="Times New Roman"/>
                <w:sz w:val="22"/>
                <w:vertAlign w:val="subscript"/>
              </w:rPr>
              <w:t>max</w:t>
            </w:r>
          </w:p>
        </w:tc>
        <w:tc>
          <w:tcPr>
            <w:tcW w:w="0" w:type="auto"/>
            <w:vAlign w:val="center"/>
          </w:tcPr>
          <w:p w14:paraId="6F64EBB9" w14:textId="77777777" w:rsidR="00E13397" w:rsidRPr="0084447F" w:rsidRDefault="00E13397" w:rsidP="00894736">
            <w:pPr>
              <w:rPr>
                <w:rFonts w:ascii="Times New Roman" w:eastAsia="宋体" w:hAnsi="Times New Roman" w:cs="Times New Roman"/>
                <w:sz w:val="22"/>
              </w:rPr>
            </w:pPr>
            <w:r w:rsidRPr="0084447F">
              <w:rPr>
                <w:rFonts w:ascii="Times New Roman" w:eastAsia="DengXian" w:hAnsi="Times New Roman" w:cs="Times New Roman"/>
                <w:color w:val="000000"/>
                <w:sz w:val="22"/>
              </w:rPr>
              <w:t>2.07±0.32</w:t>
            </w:r>
          </w:p>
        </w:tc>
        <w:tc>
          <w:tcPr>
            <w:tcW w:w="0" w:type="auto"/>
            <w:vAlign w:val="center"/>
          </w:tcPr>
          <w:p w14:paraId="0DB40049" w14:textId="77777777" w:rsidR="00E13397" w:rsidRPr="0084447F" w:rsidRDefault="00E13397" w:rsidP="00894736">
            <w:pPr>
              <w:rPr>
                <w:rFonts w:ascii="Times New Roman" w:eastAsia="宋体" w:hAnsi="Times New Roman" w:cs="Times New Roman"/>
                <w:sz w:val="22"/>
              </w:rPr>
            </w:pPr>
            <w:r w:rsidRPr="0084447F">
              <w:rPr>
                <w:rFonts w:ascii="Times New Roman" w:eastAsia="DengXian" w:hAnsi="Times New Roman" w:cs="Times New Roman"/>
                <w:color w:val="000000"/>
                <w:sz w:val="22"/>
              </w:rPr>
              <w:t>2.41±0.39</w:t>
            </w:r>
          </w:p>
        </w:tc>
        <w:tc>
          <w:tcPr>
            <w:tcW w:w="0" w:type="auto"/>
            <w:vAlign w:val="center"/>
          </w:tcPr>
          <w:p w14:paraId="4D7BAF89" w14:textId="77777777" w:rsidR="00E13397" w:rsidRPr="0084447F" w:rsidRDefault="00E13397" w:rsidP="00894736">
            <w:pPr>
              <w:rPr>
                <w:rFonts w:ascii="Times New Roman" w:eastAsia="宋体" w:hAnsi="Times New Roman" w:cs="Times New Roman"/>
                <w:sz w:val="22"/>
              </w:rPr>
            </w:pPr>
            <w:r w:rsidRPr="0084447F">
              <w:rPr>
                <w:rFonts w:ascii="Times New Roman" w:eastAsia="DengXian" w:hAnsi="Times New Roman" w:cs="Times New Roman"/>
                <w:color w:val="000000"/>
                <w:sz w:val="22"/>
              </w:rPr>
              <w:t>2.42±0.41</w:t>
            </w:r>
          </w:p>
        </w:tc>
        <w:tc>
          <w:tcPr>
            <w:tcW w:w="0" w:type="auto"/>
            <w:vAlign w:val="center"/>
          </w:tcPr>
          <w:p w14:paraId="1D09EB65"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&lt;0.001</w:t>
            </w:r>
          </w:p>
        </w:tc>
        <w:tc>
          <w:tcPr>
            <w:tcW w:w="0" w:type="auto"/>
            <w:vAlign w:val="center"/>
          </w:tcPr>
          <w:p w14:paraId="20984641"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&lt;0.001</w:t>
            </w:r>
          </w:p>
        </w:tc>
        <w:tc>
          <w:tcPr>
            <w:tcW w:w="0" w:type="auto"/>
            <w:vAlign w:val="center"/>
          </w:tcPr>
          <w:p w14:paraId="0CCBE6CF"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0.704</w:t>
            </w:r>
          </w:p>
        </w:tc>
      </w:tr>
      <w:tr w:rsidR="00E13397" w:rsidRPr="0084447F" w14:paraId="6DCC2FDF" w14:textId="77777777" w:rsidTr="00894736">
        <w:tc>
          <w:tcPr>
            <w:tcW w:w="0" w:type="auto"/>
            <w:vAlign w:val="center"/>
          </w:tcPr>
          <w:p w14:paraId="29184BAC" w14:textId="77777777" w:rsidR="00E13397" w:rsidRPr="0084447F" w:rsidRDefault="00E13397" w:rsidP="00894736">
            <w:pPr>
              <w:ind w:firstLineChars="100" w:firstLine="220"/>
              <w:rPr>
                <w:rFonts w:ascii="Times New Roman" w:eastAsia="宋体" w:hAnsi="Times New Roman" w:cs="Times New Roman"/>
                <w:sz w:val="22"/>
              </w:rPr>
            </w:pPr>
            <w:r w:rsidRPr="0084447F">
              <w:rPr>
                <w:rFonts w:ascii="Times New Roman" w:eastAsia="宋体" w:hAnsi="Times New Roman" w:cs="Times New Roman"/>
                <w:sz w:val="22"/>
              </w:rPr>
              <w:t>SD</w:t>
            </w:r>
          </w:p>
        </w:tc>
        <w:tc>
          <w:tcPr>
            <w:tcW w:w="0" w:type="auto"/>
            <w:vAlign w:val="center"/>
          </w:tcPr>
          <w:p w14:paraId="241BD3F0" w14:textId="77777777" w:rsidR="00E13397" w:rsidRPr="0084447F" w:rsidRDefault="00E13397" w:rsidP="00894736">
            <w:pPr>
              <w:rPr>
                <w:rFonts w:ascii="Times New Roman" w:eastAsia="宋体" w:hAnsi="Times New Roman" w:cs="Times New Roman"/>
                <w:sz w:val="22"/>
              </w:rPr>
            </w:pPr>
            <w:r w:rsidRPr="0084447F">
              <w:rPr>
                <w:rFonts w:ascii="Times New Roman" w:eastAsia="DengXian" w:hAnsi="Times New Roman" w:cs="Times New Roman"/>
                <w:color w:val="000000"/>
                <w:sz w:val="22"/>
              </w:rPr>
              <w:t>0.11±0.04</w:t>
            </w:r>
          </w:p>
        </w:tc>
        <w:tc>
          <w:tcPr>
            <w:tcW w:w="0" w:type="auto"/>
            <w:vAlign w:val="center"/>
          </w:tcPr>
          <w:p w14:paraId="5A9E587B" w14:textId="77777777" w:rsidR="00E13397" w:rsidRPr="0084447F" w:rsidRDefault="00E13397" w:rsidP="00894736">
            <w:pPr>
              <w:rPr>
                <w:rFonts w:ascii="Times New Roman" w:eastAsia="宋体" w:hAnsi="Times New Roman" w:cs="Times New Roman"/>
                <w:sz w:val="22"/>
              </w:rPr>
            </w:pPr>
            <w:r w:rsidRPr="0084447F">
              <w:rPr>
                <w:rFonts w:ascii="Times New Roman" w:eastAsia="DengXian" w:hAnsi="Times New Roman" w:cs="Times New Roman"/>
                <w:color w:val="000000"/>
                <w:sz w:val="22"/>
              </w:rPr>
              <w:t>0.24±0.06</w:t>
            </w:r>
          </w:p>
        </w:tc>
        <w:tc>
          <w:tcPr>
            <w:tcW w:w="0" w:type="auto"/>
            <w:vAlign w:val="center"/>
          </w:tcPr>
          <w:p w14:paraId="07B54CAA" w14:textId="77777777" w:rsidR="00E13397" w:rsidRPr="0084447F" w:rsidRDefault="00E13397" w:rsidP="00894736">
            <w:pPr>
              <w:rPr>
                <w:rFonts w:ascii="Times New Roman" w:eastAsia="宋体" w:hAnsi="Times New Roman" w:cs="Times New Roman"/>
                <w:sz w:val="22"/>
              </w:rPr>
            </w:pPr>
            <w:r w:rsidRPr="0084447F">
              <w:rPr>
                <w:rFonts w:ascii="Times New Roman" w:eastAsia="DengXian" w:hAnsi="Times New Roman" w:cs="Times New Roman"/>
                <w:color w:val="000000"/>
                <w:sz w:val="22"/>
              </w:rPr>
              <w:t>0.24±0.08</w:t>
            </w:r>
          </w:p>
        </w:tc>
        <w:tc>
          <w:tcPr>
            <w:tcW w:w="0" w:type="auto"/>
            <w:vAlign w:val="center"/>
          </w:tcPr>
          <w:p w14:paraId="514AD166"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&lt;0.001</w:t>
            </w:r>
          </w:p>
        </w:tc>
        <w:tc>
          <w:tcPr>
            <w:tcW w:w="0" w:type="auto"/>
            <w:vAlign w:val="center"/>
          </w:tcPr>
          <w:p w14:paraId="3E50265F"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&lt;0.001</w:t>
            </w:r>
          </w:p>
        </w:tc>
        <w:tc>
          <w:tcPr>
            <w:tcW w:w="0" w:type="auto"/>
            <w:vAlign w:val="center"/>
          </w:tcPr>
          <w:p w14:paraId="23DCEF11"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0.353</w:t>
            </w:r>
          </w:p>
        </w:tc>
      </w:tr>
      <w:tr w:rsidR="00E13397" w:rsidRPr="0084447F" w14:paraId="7DB47C9A" w14:textId="77777777" w:rsidTr="00894736">
        <w:tc>
          <w:tcPr>
            <w:tcW w:w="0" w:type="auto"/>
            <w:vAlign w:val="center"/>
          </w:tcPr>
          <w:p w14:paraId="4D556FE7"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Blood pool</w:t>
            </w:r>
          </w:p>
        </w:tc>
        <w:tc>
          <w:tcPr>
            <w:tcW w:w="0" w:type="auto"/>
            <w:vAlign w:val="center"/>
          </w:tcPr>
          <w:p w14:paraId="61B2CE5A" w14:textId="77777777" w:rsidR="00E13397" w:rsidRPr="0084447F" w:rsidRDefault="00E13397" w:rsidP="00894736">
            <w:pPr>
              <w:rPr>
                <w:rFonts w:ascii="Times New Roman" w:eastAsia="DengXian" w:hAnsi="Times New Roman" w:cs="Times New Roman"/>
                <w:color w:val="000000"/>
                <w:sz w:val="22"/>
              </w:rPr>
            </w:pPr>
          </w:p>
        </w:tc>
        <w:tc>
          <w:tcPr>
            <w:tcW w:w="0" w:type="auto"/>
            <w:vAlign w:val="center"/>
          </w:tcPr>
          <w:p w14:paraId="23A33FF1" w14:textId="77777777" w:rsidR="00E13397" w:rsidRPr="0084447F" w:rsidRDefault="00E13397" w:rsidP="00894736">
            <w:pPr>
              <w:rPr>
                <w:rFonts w:ascii="Times New Roman" w:eastAsia="DengXian" w:hAnsi="Times New Roman" w:cs="Times New Roman"/>
                <w:color w:val="000000"/>
                <w:sz w:val="22"/>
              </w:rPr>
            </w:pPr>
          </w:p>
        </w:tc>
        <w:tc>
          <w:tcPr>
            <w:tcW w:w="0" w:type="auto"/>
            <w:vAlign w:val="center"/>
          </w:tcPr>
          <w:p w14:paraId="48D8D3F2" w14:textId="77777777" w:rsidR="00E13397" w:rsidRPr="0084447F" w:rsidRDefault="00E13397" w:rsidP="00894736">
            <w:pPr>
              <w:rPr>
                <w:rFonts w:ascii="Times New Roman" w:eastAsia="DengXian" w:hAnsi="Times New Roman" w:cs="Times New Roman"/>
                <w:color w:val="000000"/>
                <w:sz w:val="22"/>
              </w:rPr>
            </w:pPr>
          </w:p>
        </w:tc>
        <w:tc>
          <w:tcPr>
            <w:tcW w:w="0" w:type="auto"/>
            <w:vAlign w:val="center"/>
          </w:tcPr>
          <w:p w14:paraId="4147CB1F" w14:textId="77777777" w:rsidR="00E13397" w:rsidRPr="0084447F" w:rsidRDefault="00E13397" w:rsidP="00894736">
            <w:pPr>
              <w:rPr>
                <w:rFonts w:ascii="Times New Roman" w:eastAsia="宋体" w:hAnsi="Times New Roman" w:cs="Times New Roman"/>
                <w:sz w:val="22"/>
              </w:rPr>
            </w:pPr>
          </w:p>
        </w:tc>
        <w:tc>
          <w:tcPr>
            <w:tcW w:w="0" w:type="auto"/>
            <w:vAlign w:val="center"/>
          </w:tcPr>
          <w:p w14:paraId="7A4846CA" w14:textId="77777777" w:rsidR="00E13397" w:rsidRPr="0084447F" w:rsidRDefault="00E13397" w:rsidP="00894736">
            <w:pPr>
              <w:rPr>
                <w:rFonts w:ascii="Times New Roman" w:eastAsia="宋体" w:hAnsi="Times New Roman" w:cs="Times New Roman"/>
                <w:sz w:val="22"/>
              </w:rPr>
            </w:pPr>
          </w:p>
        </w:tc>
        <w:tc>
          <w:tcPr>
            <w:tcW w:w="0" w:type="auto"/>
            <w:vAlign w:val="center"/>
          </w:tcPr>
          <w:p w14:paraId="41D0AE1E" w14:textId="77777777" w:rsidR="00E13397" w:rsidRPr="0084447F" w:rsidRDefault="00E13397" w:rsidP="00894736">
            <w:pPr>
              <w:rPr>
                <w:rFonts w:ascii="Times New Roman" w:eastAsia="宋体" w:hAnsi="Times New Roman" w:cs="Times New Roman"/>
                <w:sz w:val="22"/>
              </w:rPr>
            </w:pPr>
          </w:p>
        </w:tc>
      </w:tr>
      <w:tr w:rsidR="00E13397" w:rsidRPr="0084447F" w14:paraId="4FEBC636" w14:textId="77777777" w:rsidTr="00894736">
        <w:tc>
          <w:tcPr>
            <w:tcW w:w="0" w:type="auto"/>
            <w:vAlign w:val="center"/>
          </w:tcPr>
          <w:p w14:paraId="101D19A2" w14:textId="77777777" w:rsidR="00E13397" w:rsidRPr="0084447F" w:rsidRDefault="00E13397" w:rsidP="00894736">
            <w:pPr>
              <w:ind w:firstLineChars="100" w:firstLine="220"/>
              <w:rPr>
                <w:rFonts w:ascii="Times New Roman" w:eastAsia="宋体" w:hAnsi="Times New Roman" w:cs="Times New Roman"/>
                <w:sz w:val="22"/>
              </w:rPr>
            </w:pPr>
            <w:r w:rsidRPr="0084447F">
              <w:rPr>
                <w:rFonts w:ascii="Times New Roman" w:eastAsia="宋体" w:hAnsi="Times New Roman" w:cs="Times New Roman"/>
                <w:sz w:val="22"/>
              </w:rPr>
              <w:lastRenderedPageBreak/>
              <w:t>SUV</w:t>
            </w:r>
            <w:r w:rsidRPr="0084447F">
              <w:rPr>
                <w:rFonts w:ascii="Times New Roman" w:eastAsia="宋体" w:hAnsi="Times New Roman" w:cs="Times New Roman"/>
                <w:sz w:val="22"/>
                <w:vertAlign w:val="subscript"/>
              </w:rPr>
              <w:t>mean</w:t>
            </w:r>
          </w:p>
        </w:tc>
        <w:tc>
          <w:tcPr>
            <w:tcW w:w="0" w:type="auto"/>
            <w:vAlign w:val="center"/>
          </w:tcPr>
          <w:p w14:paraId="476D0EBA" w14:textId="77777777" w:rsidR="00E13397" w:rsidRPr="0084447F" w:rsidRDefault="00E13397" w:rsidP="00894736">
            <w:pPr>
              <w:rPr>
                <w:rFonts w:ascii="Times New Roman" w:eastAsia="DengXian" w:hAnsi="Times New Roman" w:cs="Times New Roman"/>
                <w:color w:val="000000"/>
                <w:sz w:val="22"/>
              </w:rPr>
            </w:pPr>
            <w:r w:rsidRPr="0084447F">
              <w:rPr>
                <w:rFonts w:ascii="Times New Roman" w:eastAsia="DengXian" w:hAnsi="Times New Roman" w:cs="Times New Roman"/>
                <w:color w:val="000000"/>
                <w:sz w:val="22"/>
              </w:rPr>
              <w:t>1.50±0.31</w:t>
            </w:r>
          </w:p>
        </w:tc>
        <w:tc>
          <w:tcPr>
            <w:tcW w:w="0" w:type="auto"/>
            <w:vAlign w:val="center"/>
          </w:tcPr>
          <w:p w14:paraId="3DDADC39" w14:textId="77777777" w:rsidR="00E13397" w:rsidRPr="0084447F" w:rsidRDefault="00E13397" w:rsidP="00894736">
            <w:pPr>
              <w:rPr>
                <w:rFonts w:ascii="Times New Roman" w:eastAsia="DengXian" w:hAnsi="Times New Roman" w:cs="Times New Roman"/>
                <w:color w:val="000000"/>
                <w:sz w:val="22"/>
              </w:rPr>
            </w:pPr>
            <w:r w:rsidRPr="0084447F">
              <w:rPr>
                <w:rFonts w:ascii="Times New Roman" w:eastAsia="DengXian" w:hAnsi="Times New Roman" w:cs="Times New Roman"/>
                <w:color w:val="000000"/>
                <w:sz w:val="22"/>
              </w:rPr>
              <w:t>1.47±0.31</w:t>
            </w:r>
          </w:p>
        </w:tc>
        <w:tc>
          <w:tcPr>
            <w:tcW w:w="0" w:type="auto"/>
            <w:vAlign w:val="center"/>
          </w:tcPr>
          <w:p w14:paraId="103F4AB4" w14:textId="77777777" w:rsidR="00E13397" w:rsidRPr="0084447F" w:rsidRDefault="00E13397" w:rsidP="00894736">
            <w:pPr>
              <w:rPr>
                <w:rFonts w:ascii="Times New Roman" w:eastAsia="DengXian" w:hAnsi="Times New Roman" w:cs="Times New Roman"/>
                <w:color w:val="000000"/>
                <w:sz w:val="22"/>
              </w:rPr>
            </w:pPr>
            <w:r w:rsidRPr="0084447F">
              <w:rPr>
                <w:rFonts w:ascii="Times New Roman" w:eastAsia="DengXian" w:hAnsi="Times New Roman" w:cs="Times New Roman"/>
                <w:color w:val="000000"/>
                <w:sz w:val="22"/>
              </w:rPr>
              <w:t>1.44±0.33</w:t>
            </w:r>
          </w:p>
        </w:tc>
        <w:tc>
          <w:tcPr>
            <w:tcW w:w="0" w:type="auto"/>
            <w:vAlign w:val="center"/>
          </w:tcPr>
          <w:p w14:paraId="6721A69E"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0.014</w:t>
            </w:r>
          </w:p>
        </w:tc>
        <w:tc>
          <w:tcPr>
            <w:tcW w:w="0" w:type="auto"/>
            <w:vAlign w:val="center"/>
          </w:tcPr>
          <w:p w14:paraId="1101E354"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0.006</w:t>
            </w:r>
          </w:p>
        </w:tc>
        <w:tc>
          <w:tcPr>
            <w:tcW w:w="0" w:type="auto"/>
            <w:vAlign w:val="center"/>
          </w:tcPr>
          <w:p w14:paraId="107ABE86"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0.309</w:t>
            </w:r>
          </w:p>
        </w:tc>
      </w:tr>
      <w:tr w:rsidR="00E13397" w:rsidRPr="0084447F" w14:paraId="14BA0503" w14:textId="77777777" w:rsidTr="00894736">
        <w:tc>
          <w:tcPr>
            <w:tcW w:w="0" w:type="auto"/>
            <w:vAlign w:val="center"/>
          </w:tcPr>
          <w:p w14:paraId="231FF3EA" w14:textId="77777777" w:rsidR="00E13397" w:rsidRPr="0084447F" w:rsidRDefault="00E13397" w:rsidP="00894736">
            <w:pPr>
              <w:ind w:firstLineChars="100" w:firstLine="220"/>
              <w:rPr>
                <w:rFonts w:ascii="Times New Roman" w:eastAsia="宋体" w:hAnsi="Times New Roman" w:cs="Times New Roman"/>
                <w:sz w:val="22"/>
              </w:rPr>
            </w:pPr>
            <w:r w:rsidRPr="0084447F">
              <w:rPr>
                <w:rFonts w:ascii="Times New Roman" w:eastAsia="宋体" w:hAnsi="Times New Roman" w:cs="Times New Roman"/>
                <w:sz w:val="22"/>
              </w:rPr>
              <w:t>SUV</w:t>
            </w:r>
            <w:r w:rsidRPr="0084447F">
              <w:rPr>
                <w:rFonts w:ascii="Times New Roman" w:eastAsia="宋体" w:hAnsi="Times New Roman" w:cs="Times New Roman"/>
                <w:sz w:val="22"/>
                <w:vertAlign w:val="subscript"/>
              </w:rPr>
              <w:t>max</w:t>
            </w:r>
          </w:p>
        </w:tc>
        <w:tc>
          <w:tcPr>
            <w:tcW w:w="0" w:type="auto"/>
            <w:vAlign w:val="center"/>
          </w:tcPr>
          <w:p w14:paraId="1BDD19DF" w14:textId="77777777" w:rsidR="00E13397" w:rsidRPr="0084447F" w:rsidRDefault="00E13397" w:rsidP="00894736">
            <w:pPr>
              <w:rPr>
                <w:rFonts w:ascii="Times New Roman" w:eastAsia="DengXian" w:hAnsi="Times New Roman" w:cs="Times New Roman"/>
                <w:color w:val="000000"/>
                <w:sz w:val="22"/>
              </w:rPr>
            </w:pPr>
            <w:r w:rsidRPr="0084447F">
              <w:rPr>
                <w:rFonts w:ascii="Times New Roman" w:eastAsia="DengXian" w:hAnsi="Times New Roman" w:cs="Times New Roman"/>
                <w:color w:val="000000"/>
                <w:sz w:val="22"/>
              </w:rPr>
              <w:t>1.71±0.33</w:t>
            </w:r>
          </w:p>
        </w:tc>
        <w:tc>
          <w:tcPr>
            <w:tcW w:w="0" w:type="auto"/>
            <w:vAlign w:val="center"/>
          </w:tcPr>
          <w:p w14:paraId="0C364CE4" w14:textId="77777777" w:rsidR="00E13397" w:rsidRPr="0084447F" w:rsidRDefault="00E13397" w:rsidP="00894736">
            <w:pPr>
              <w:rPr>
                <w:rFonts w:ascii="Times New Roman" w:eastAsia="DengXian" w:hAnsi="Times New Roman" w:cs="Times New Roman"/>
                <w:color w:val="000000"/>
                <w:sz w:val="22"/>
              </w:rPr>
            </w:pPr>
            <w:r w:rsidRPr="0084447F">
              <w:rPr>
                <w:rFonts w:ascii="Times New Roman" w:eastAsia="DengXian" w:hAnsi="Times New Roman" w:cs="Times New Roman"/>
                <w:color w:val="000000"/>
                <w:sz w:val="22"/>
              </w:rPr>
              <w:t>1.89±0.38</w:t>
            </w:r>
          </w:p>
        </w:tc>
        <w:tc>
          <w:tcPr>
            <w:tcW w:w="0" w:type="auto"/>
            <w:vAlign w:val="center"/>
          </w:tcPr>
          <w:p w14:paraId="1A30883E" w14:textId="77777777" w:rsidR="00E13397" w:rsidRPr="0084447F" w:rsidRDefault="00E13397" w:rsidP="00894736">
            <w:pPr>
              <w:rPr>
                <w:rFonts w:ascii="Times New Roman" w:eastAsia="DengXian" w:hAnsi="Times New Roman" w:cs="Times New Roman"/>
                <w:color w:val="000000"/>
                <w:sz w:val="22"/>
              </w:rPr>
            </w:pPr>
            <w:r w:rsidRPr="0084447F">
              <w:rPr>
                <w:rFonts w:ascii="Times New Roman" w:eastAsia="DengXian" w:hAnsi="Times New Roman" w:cs="Times New Roman"/>
                <w:color w:val="000000"/>
                <w:sz w:val="22"/>
              </w:rPr>
              <w:t>1.87±0.37</w:t>
            </w:r>
          </w:p>
        </w:tc>
        <w:tc>
          <w:tcPr>
            <w:tcW w:w="0" w:type="auto"/>
            <w:vAlign w:val="center"/>
          </w:tcPr>
          <w:p w14:paraId="52E77BF4"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&lt;0.001</w:t>
            </w:r>
          </w:p>
        </w:tc>
        <w:tc>
          <w:tcPr>
            <w:tcW w:w="0" w:type="auto"/>
            <w:vAlign w:val="center"/>
          </w:tcPr>
          <w:p w14:paraId="158B19C8"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&lt;0.001</w:t>
            </w:r>
          </w:p>
        </w:tc>
        <w:tc>
          <w:tcPr>
            <w:tcW w:w="0" w:type="auto"/>
            <w:vAlign w:val="center"/>
          </w:tcPr>
          <w:p w14:paraId="1468D4D7"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0.424</w:t>
            </w:r>
          </w:p>
        </w:tc>
      </w:tr>
      <w:tr w:rsidR="00E13397" w:rsidRPr="0084447F" w14:paraId="66B5E34F" w14:textId="77777777" w:rsidTr="00894736">
        <w:tc>
          <w:tcPr>
            <w:tcW w:w="0" w:type="auto"/>
            <w:vAlign w:val="center"/>
          </w:tcPr>
          <w:p w14:paraId="3F5F13D0" w14:textId="77777777" w:rsidR="00E13397" w:rsidRPr="0084447F" w:rsidRDefault="00E13397" w:rsidP="00894736">
            <w:pPr>
              <w:ind w:firstLineChars="100" w:firstLine="220"/>
              <w:rPr>
                <w:rFonts w:ascii="Times New Roman" w:eastAsia="宋体" w:hAnsi="Times New Roman" w:cs="Times New Roman"/>
                <w:sz w:val="22"/>
              </w:rPr>
            </w:pPr>
            <w:r w:rsidRPr="0084447F">
              <w:rPr>
                <w:rFonts w:ascii="Times New Roman" w:eastAsia="宋体" w:hAnsi="Times New Roman" w:cs="Times New Roman"/>
                <w:sz w:val="22"/>
              </w:rPr>
              <w:t>SD</w:t>
            </w:r>
          </w:p>
        </w:tc>
        <w:tc>
          <w:tcPr>
            <w:tcW w:w="0" w:type="auto"/>
            <w:vAlign w:val="center"/>
          </w:tcPr>
          <w:p w14:paraId="3D87F698" w14:textId="77777777" w:rsidR="00E13397" w:rsidRPr="0084447F" w:rsidRDefault="00E13397" w:rsidP="00894736">
            <w:pPr>
              <w:rPr>
                <w:rFonts w:ascii="Times New Roman" w:eastAsia="DengXian" w:hAnsi="Times New Roman" w:cs="Times New Roman"/>
                <w:color w:val="000000"/>
                <w:sz w:val="22"/>
              </w:rPr>
            </w:pPr>
            <w:r w:rsidRPr="0084447F">
              <w:rPr>
                <w:rFonts w:ascii="Times New Roman" w:eastAsia="DengXian" w:hAnsi="Times New Roman" w:cs="Times New Roman"/>
                <w:color w:val="000000"/>
                <w:sz w:val="22"/>
              </w:rPr>
              <w:t>0.10±0.04</w:t>
            </w:r>
          </w:p>
        </w:tc>
        <w:tc>
          <w:tcPr>
            <w:tcW w:w="0" w:type="auto"/>
            <w:vAlign w:val="center"/>
          </w:tcPr>
          <w:p w14:paraId="240BEB81" w14:textId="77777777" w:rsidR="00E13397" w:rsidRPr="0084447F" w:rsidRDefault="00E13397" w:rsidP="00894736">
            <w:pPr>
              <w:rPr>
                <w:rFonts w:ascii="Times New Roman" w:eastAsia="DengXian" w:hAnsi="Times New Roman" w:cs="Times New Roman"/>
                <w:color w:val="000000"/>
                <w:sz w:val="22"/>
              </w:rPr>
            </w:pPr>
            <w:r w:rsidRPr="0084447F">
              <w:rPr>
                <w:rFonts w:ascii="Times New Roman" w:eastAsia="DengXian" w:hAnsi="Times New Roman" w:cs="Times New Roman"/>
                <w:color w:val="000000"/>
                <w:sz w:val="22"/>
              </w:rPr>
              <w:t>0.19±0.06</w:t>
            </w:r>
          </w:p>
        </w:tc>
        <w:tc>
          <w:tcPr>
            <w:tcW w:w="0" w:type="auto"/>
            <w:vAlign w:val="center"/>
          </w:tcPr>
          <w:p w14:paraId="785675DF" w14:textId="77777777" w:rsidR="00E13397" w:rsidRPr="0084447F" w:rsidRDefault="00E13397" w:rsidP="00894736">
            <w:pPr>
              <w:rPr>
                <w:rFonts w:ascii="Times New Roman" w:eastAsia="DengXian" w:hAnsi="Times New Roman" w:cs="Times New Roman"/>
                <w:color w:val="000000"/>
                <w:sz w:val="22"/>
              </w:rPr>
            </w:pPr>
            <w:r w:rsidRPr="0084447F">
              <w:rPr>
                <w:rFonts w:ascii="Times New Roman" w:eastAsia="DengXian" w:hAnsi="Times New Roman" w:cs="Times New Roman"/>
                <w:color w:val="000000"/>
                <w:sz w:val="22"/>
              </w:rPr>
              <w:t>0.2±0.06</w:t>
            </w:r>
          </w:p>
        </w:tc>
        <w:tc>
          <w:tcPr>
            <w:tcW w:w="0" w:type="auto"/>
            <w:vAlign w:val="center"/>
          </w:tcPr>
          <w:p w14:paraId="27F4ED31"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&lt;0.001</w:t>
            </w:r>
          </w:p>
        </w:tc>
        <w:tc>
          <w:tcPr>
            <w:tcW w:w="0" w:type="auto"/>
            <w:vAlign w:val="center"/>
          </w:tcPr>
          <w:p w14:paraId="7A3C29F8"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&lt;0.001</w:t>
            </w:r>
          </w:p>
        </w:tc>
        <w:tc>
          <w:tcPr>
            <w:tcW w:w="0" w:type="auto"/>
            <w:vAlign w:val="center"/>
          </w:tcPr>
          <w:p w14:paraId="7122FFA2" w14:textId="77777777" w:rsidR="00E13397" w:rsidRPr="0084447F" w:rsidRDefault="00E13397" w:rsidP="00894736">
            <w:pPr>
              <w:rPr>
                <w:rFonts w:ascii="Times New Roman" w:eastAsia="宋体" w:hAnsi="Times New Roman" w:cs="Times New Roman"/>
                <w:sz w:val="22"/>
              </w:rPr>
            </w:pPr>
            <w:r w:rsidRPr="0084447F">
              <w:rPr>
                <w:rFonts w:ascii="Times New Roman" w:eastAsia="宋体" w:hAnsi="Times New Roman" w:cs="Times New Roman"/>
                <w:sz w:val="22"/>
              </w:rPr>
              <w:t>0.824</w:t>
            </w:r>
          </w:p>
        </w:tc>
      </w:tr>
    </w:tbl>
    <w:p w14:paraId="6ADE3878" w14:textId="77777777" w:rsidR="00E13397" w:rsidRPr="0084447F" w:rsidRDefault="00E13397" w:rsidP="00E13397">
      <w:pPr>
        <w:rPr>
          <w:rFonts w:ascii="Times New Roman" w:eastAsia="宋体" w:hAnsi="Times New Roman" w:cs="Times New Roman"/>
          <w:b/>
          <w:bCs/>
          <w:sz w:val="22"/>
        </w:rPr>
      </w:pPr>
      <w:r w:rsidRPr="0084447F">
        <w:rPr>
          <w:rFonts w:ascii="Times New Roman" w:eastAsia="宋体" w:hAnsi="Times New Roman" w:cs="Times New Roman"/>
          <w:sz w:val="22"/>
        </w:rPr>
        <w:t>Note. -- Data are mean ± standard deviations. FB = free-breathing, DIBH = deep-inspiration breath-hold.</w:t>
      </w:r>
    </w:p>
    <w:bookmarkEnd w:id="3"/>
    <w:bookmarkEnd w:id="4"/>
    <w:p w14:paraId="6A294D93" w14:textId="77777777" w:rsidR="00E13397" w:rsidRPr="0084447F" w:rsidRDefault="00E13397" w:rsidP="00E13397">
      <w:pPr>
        <w:rPr>
          <w:rFonts w:ascii="Times New Roman" w:hAnsi="Times New Roman" w:cs="Times New Roman"/>
          <w:sz w:val="22"/>
        </w:rPr>
      </w:pPr>
    </w:p>
    <w:p w14:paraId="4D91F584" w14:textId="77777777" w:rsidR="00E13397" w:rsidRPr="0084447F" w:rsidRDefault="00E13397" w:rsidP="00E13397">
      <w:pPr>
        <w:rPr>
          <w:rFonts w:ascii="Times New Roman" w:hAnsi="Times New Roman" w:cs="Times New Roman"/>
          <w:sz w:val="22"/>
        </w:rPr>
      </w:pPr>
      <w:r w:rsidRPr="0084447F">
        <w:rPr>
          <w:rFonts w:ascii="Times New Roman" w:hAnsi="Times New Roman" w:cs="Times New Roman"/>
          <w:noProof/>
          <w:sz w:val="22"/>
        </w:rPr>
        <w:drawing>
          <wp:inline distT="0" distB="0" distL="0" distR="0" wp14:anchorId="4FE8D813" wp14:editId="32B63934">
            <wp:extent cx="5274310" cy="2174240"/>
            <wp:effectExtent l="0" t="0" r="2540" b="0"/>
            <wp:docPr id="1779239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9777" name=""/>
                    <pic:cNvPicPr/>
                  </pic:nvPicPr>
                  <pic:blipFill>
                    <a:blip r:embed="rId4"/>
                    <a:stretch>
                      <a:fillRect/>
                    </a:stretch>
                  </pic:blipFill>
                  <pic:spPr>
                    <a:xfrm>
                      <a:off x="0" y="0"/>
                      <a:ext cx="5274310" cy="2174240"/>
                    </a:xfrm>
                    <a:prstGeom prst="rect">
                      <a:avLst/>
                    </a:prstGeom>
                  </pic:spPr>
                </pic:pic>
              </a:graphicData>
            </a:graphic>
          </wp:inline>
        </w:drawing>
      </w:r>
    </w:p>
    <w:p w14:paraId="73849F1E" w14:textId="77777777" w:rsidR="00E13397" w:rsidRPr="0084447F" w:rsidRDefault="00E13397" w:rsidP="00E13397">
      <w:pPr>
        <w:rPr>
          <w:rFonts w:ascii="Times New Roman" w:hAnsi="Times New Roman" w:cs="Times New Roman"/>
          <w:sz w:val="22"/>
        </w:rPr>
      </w:pPr>
      <w:r w:rsidRPr="0084447F">
        <w:rPr>
          <w:rFonts w:ascii="Times New Roman" w:hAnsi="Times New Roman" w:cs="Times New Roman"/>
          <w:b/>
          <w:bCs/>
          <w:sz w:val="22"/>
        </w:rPr>
        <w:t>Fig. E1</w:t>
      </w:r>
      <w:r w:rsidRPr="0084447F">
        <w:rPr>
          <w:rFonts w:ascii="Times New Roman" w:hAnsi="Times New Roman" w:cs="Times New Roman"/>
          <w:sz w:val="22"/>
        </w:rPr>
        <w:t xml:space="preserve"> </w:t>
      </w:r>
      <w:r w:rsidRPr="0084447F">
        <w:rPr>
          <w:rFonts w:ascii="Times New Roman" w:eastAsia="宋体" w:hAnsi="Times New Roman" w:cs="Times New Roman"/>
          <w:sz w:val="22"/>
        </w:rPr>
        <w:t>The lesion confidence was scored on a 4-point scale (score 4: definite, &gt;95%; score 3: probable, 75%-95%; score 2: possible, 50-75%; score 1: questionable, ≤ 50%). Score 1: The lesion uptake and noise are hard to distinguish in PET MIP, while the lesion uptake is slightly different (slightly larger or higher uptake) from noise on the slice images. Score 2: The lesion uptake can be faintly distinguished from the noise on PET MIP and slice images. Score 3: The lesion uptake can be clearly distinguished on PET MIP and slice images. Score 4: The lesion uptake can be significantly distinguished on PET MIP and slice images.</w:t>
      </w:r>
    </w:p>
    <w:p w14:paraId="41D93DC1" w14:textId="77777777" w:rsidR="00E13397" w:rsidRDefault="00E13397" w:rsidP="00E13397">
      <w:pPr>
        <w:rPr>
          <w:rFonts w:ascii="Times New Roman" w:eastAsia="宋体" w:hAnsi="Times New Roman" w:cs="Times New Roman"/>
          <w:sz w:val="22"/>
        </w:rPr>
      </w:pPr>
    </w:p>
    <w:p w14:paraId="4622F8B1" w14:textId="77777777" w:rsidR="00E13397" w:rsidRPr="0084447F" w:rsidRDefault="00E13397" w:rsidP="00E13397">
      <w:pPr>
        <w:rPr>
          <w:rFonts w:ascii="Times New Roman" w:eastAsia="宋体" w:hAnsi="Times New Roman" w:cs="Times New Roman"/>
          <w:sz w:val="22"/>
        </w:rPr>
      </w:pPr>
    </w:p>
    <w:p w14:paraId="46AB8780" w14:textId="77777777" w:rsidR="00E13397" w:rsidRPr="0084447F" w:rsidRDefault="00E13397" w:rsidP="00E13397">
      <w:pPr>
        <w:rPr>
          <w:rFonts w:ascii="Times New Roman" w:eastAsia="宋体" w:hAnsi="Times New Roman" w:cs="Times New Roman"/>
          <w:sz w:val="22"/>
        </w:rPr>
      </w:pPr>
      <w:r w:rsidRPr="0084447F">
        <w:rPr>
          <w:rFonts w:ascii="Times New Roman" w:hAnsi="Times New Roman" w:cs="Times New Roman"/>
          <w:noProof/>
          <w:sz w:val="22"/>
        </w:rPr>
        <w:drawing>
          <wp:inline distT="0" distB="0" distL="0" distR="0" wp14:anchorId="13BD53BD" wp14:editId="614236F3">
            <wp:extent cx="5274310" cy="2924810"/>
            <wp:effectExtent l="0" t="0" r="2540" b="8890"/>
            <wp:docPr id="606242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42511" name=""/>
                    <pic:cNvPicPr/>
                  </pic:nvPicPr>
                  <pic:blipFill>
                    <a:blip r:embed="rId5"/>
                    <a:stretch>
                      <a:fillRect/>
                    </a:stretch>
                  </pic:blipFill>
                  <pic:spPr>
                    <a:xfrm>
                      <a:off x="0" y="0"/>
                      <a:ext cx="5274310" cy="2924810"/>
                    </a:xfrm>
                    <a:prstGeom prst="rect">
                      <a:avLst/>
                    </a:prstGeom>
                  </pic:spPr>
                </pic:pic>
              </a:graphicData>
            </a:graphic>
          </wp:inline>
        </w:drawing>
      </w:r>
    </w:p>
    <w:p w14:paraId="3D7A143D" w14:textId="77777777" w:rsidR="00E13397" w:rsidRPr="0084447F" w:rsidRDefault="00E13397" w:rsidP="00E13397">
      <w:pPr>
        <w:rPr>
          <w:rFonts w:ascii="Times New Roman" w:eastAsia="宋体" w:hAnsi="Times New Roman" w:cs="Times New Roman"/>
          <w:sz w:val="22"/>
        </w:rPr>
      </w:pPr>
      <w:r w:rsidRPr="0084447F">
        <w:rPr>
          <w:rFonts w:ascii="Times New Roman" w:eastAsia="宋体" w:hAnsi="Times New Roman" w:cs="Times New Roman"/>
          <w:b/>
          <w:bCs/>
          <w:sz w:val="22"/>
        </w:rPr>
        <w:t>Fig. E2</w:t>
      </w:r>
      <w:r w:rsidRPr="0084447F">
        <w:rPr>
          <w:rFonts w:ascii="Times New Roman" w:eastAsia="宋体" w:hAnsi="Times New Roman" w:cs="Times New Roman"/>
          <w:sz w:val="22"/>
        </w:rPr>
        <w:t xml:space="preserve"> Quantitative liver background measurements in the free-breathing (FB) PET and deep-inspiration breath-hold (DIBH) PET.</w:t>
      </w:r>
    </w:p>
    <w:p w14:paraId="0F6740BB" w14:textId="77777777" w:rsidR="00E13397" w:rsidRPr="0084447F" w:rsidRDefault="00E13397" w:rsidP="00E13397">
      <w:pPr>
        <w:rPr>
          <w:rFonts w:ascii="Times New Roman" w:hAnsi="Times New Roman" w:cs="Times New Roman"/>
          <w:sz w:val="22"/>
        </w:rPr>
      </w:pPr>
    </w:p>
    <w:p w14:paraId="072AEDE0" w14:textId="77777777" w:rsidR="00E13397" w:rsidRPr="0084447F" w:rsidRDefault="00E13397" w:rsidP="00E13397">
      <w:pPr>
        <w:rPr>
          <w:rFonts w:ascii="Times New Roman" w:hAnsi="Times New Roman" w:cs="Times New Roman"/>
          <w:sz w:val="22"/>
        </w:rPr>
      </w:pPr>
    </w:p>
    <w:p w14:paraId="14F456BC" w14:textId="77777777" w:rsidR="00E13397" w:rsidRPr="0084447F" w:rsidRDefault="00E13397" w:rsidP="00E13397">
      <w:pPr>
        <w:rPr>
          <w:rFonts w:ascii="Times New Roman" w:hAnsi="Times New Roman" w:cs="Times New Roman"/>
          <w:sz w:val="22"/>
        </w:rPr>
      </w:pPr>
      <w:r w:rsidRPr="0084447F">
        <w:rPr>
          <w:rFonts w:ascii="Times New Roman" w:hAnsi="Times New Roman" w:cs="Times New Roman"/>
          <w:noProof/>
          <w:sz w:val="22"/>
        </w:rPr>
        <w:drawing>
          <wp:inline distT="0" distB="0" distL="0" distR="0" wp14:anchorId="4442F872" wp14:editId="58420408">
            <wp:extent cx="5274310" cy="3529965"/>
            <wp:effectExtent l="0" t="0" r="2540" b="0"/>
            <wp:docPr id="951683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83983" name=""/>
                    <pic:cNvPicPr/>
                  </pic:nvPicPr>
                  <pic:blipFill>
                    <a:blip r:embed="rId6"/>
                    <a:stretch>
                      <a:fillRect/>
                    </a:stretch>
                  </pic:blipFill>
                  <pic:spPr>
                    <a:xfrm>
                      <a:off x="0" y="0"/>
                      <a:ext cx="5274310" cy="3529965"/>
                    </a:xfrm>
                    <a:prstGeom prst="rect">
                      <a:avLst/>
                    </a:prstGeom>
                  </pic:spPr>
                </pic:pic>
              </a:graphicData>
            </a:graphic>
          </wp:inline>
        </w:drawing>
      </w:r>
    </w:p>
    <w:p w14:paraId="7CB03226" w14:textId="77777777" w:rsidR="00E13397" w:rsidRDefault="00E13397" w:rsidP="00E13397">
      <w:pPr>
        <w:rPr>
          <w:rFonts w:ascii="Times New Roman" w:eastAsia="宋体" w:hAnsi="Times New Roman" w:cs="Times New Roman"/>
          <w:sz w:val="22"/>
        </w:rPr>
      </w:pPr>
      <w:r w:rsidRPr="0084447F">
        <w:rPr>
          <w:rFonts w:ascii="Times New Roman" w:hAnsi="Times New Roman" w:cs="Times New Roman"/>
          <w:b/>
          <w:bCs/>
          <w:sz w:val="22"/>
        </w:rPr>
        <w:t>Fig. E3</w:t>
      </w:r>
      <w:r w:rsidRPr="0084447F">
        <w:rPr>
          <w:rFonts w:ascii="Times New Roman" w:hAnsi="Times New Roman" w:cs="Times New Roman"/>
          <w:sz w:val="22"/>
        </w:rPr>
        <w:t xml:space="preserve"> </w:t>
      </w:r>
      <w:r w:rsidRPr="0084447F">
        <w:rPr>
          <w:rFonts w:ascii="Times New Roman" w:eastAsia="宋体" w:hAnsi="Times New Roman" w:cs="Times New Roman"/>
          <w:sz w:val="22"/>
        </w:rPr>
        <w:t>A 38-year-old female with liver cancer. The nodule had an unclear edge and a SUV</w:t>
      </w:r>
      <w:r w:rsidRPr="0084447F">
        <w:rPr>
          <w:rFonts w:ascii="Times New Roman" w:eastAsia="宋体" w:hAnsi="Times New Roman" w:cs="Times New Roman"/>
          <w:sz w:val="22"/>
          <w:vertAlign w:val="subscript"/>
        </w:rPr>
        <w:t>max</w:t>
      </w:r>
      <w:r w:rsidRPr="0084447F">
        <w:rPr>
          <w:rFonts w:ascii="Times New Roman" w:eastAsia="宋体" w:hAnsi="Times New Roman" w:cs="Times New Roman"/>
          <w:sz w:val="22"/>
        </w:rPr>
        <w:t xml:space="preserve"> of 4.87 in FB-300s PET. The diameter of the mass was 2.6 cm measured on FB CT. The AC art</w:t>
      </w:r>
      <w:r>
        <w:rPr>
          <w:rFonts w:ascii="Times New Roman" w:eastAsia="宋体" w:hAnsi="Times New Roman" w:cs="Times New Roman"/>
          <w:sz w:val="22"/>
        </w:rPr>
        <w:t>i</w:t>
      </w:r>
      <w:r w:rsidRPr="0084447F">
        <w:rPr>
          <w:rFonts w:ascii="Times New Roman" w:eastAsia="宋体" w:hAnsi="Times New Roman" w:cs="Times New Roman"/>
          <w:sz w:val="22"/>
        </w:rPr>
        <w:t>fact of the liver border was shown in the FB PET coronal MPR view. The nodule was misregistered between FB PET and CT. In contrast, the nodule had a clearer edge and higher uptake with a SUV</w:t>
      </w:r>
      <w:r w:rsidRPr="0084447F">
        <w:rPr>
          <w:rFonts w:ascii="Times New Roman" w:eastAsia="宋体" w:hAnsi="Times New Roman" w:cs="Times New Roman"/>
          <w:sz w:val="22"/>
          <w:vertAlign w:val="subscript"/>
        </w:rPr>
        <w:t>max</w:t>
      </w:r>
      <w:r w:rsidRPr="0084447F">
        <w:rPr>
          <w:rFonts w:ascii="Times New Roman" w:eastAsia="宋体" w:hAnsi="Times New Roman" w:cs="Times New Roman"/>
          <w:sz w:val="22"/>
        </w:rPr>
        <w:t xml:space="preserve"> of 6.83 in DIBH PET. The liver dome matched well in DIBH PET/CT. The nodule was well registered between DIBH PET and DIBH CT.</w:t>
      </w:r>
    </w:p>
    <w:p w14:paraId="0E80E36E" w14:textId="77777777" w:rsidR="00E13397" w:rsidRDefault="00E13397" w:rsidP="00E13397">
      <w:pPr>
        <w:rPr>
          <w:rFonts w:ascii="Times New Roman" w:eastAsia="宋体" w:hAnsi="Times New Roman" w:cs="Times New Roman"/>
          <w:sz w:val="22"/>
        </w:rPr>
      </w:pPr>
    </w:p>
    <w:p w14:paraId="01A19D99" w14:textId="77777777" w:rsidR="00E13397" w:rsidRPr="0084447F" w:rsidRDefault="00E13397" w:rsidP="00E13397">
      <w:pPr>
        <w:rPr>
          <w:rFonts w:ascii="Times New Roman" w:eastAsia="宋体" w:hAnsi="Times New Roman" w:cs="Times New Roman"/>
          <w:sz w:val="22"/>
        </w:rPr>
      </w:pPr>
    </w:p>
    <w:p w14:paraId="3027B79F" w14:textId="77777777" w:rsidR="00E13397" w:rsidRPr="0084447F" w:rsidRDefault="00E13397" w:rsidP="00E13397">
      <w:pPr>
        <w:pageBreakBefore/>
        <w:rPr>
          <w:rFonts w:ascii="Times New Roman" w:hAnsi="Times New Roman" w:cs="Times New Roman"/>
          <w:sz w:val="22"/>
        </w:rPr>
      </w:pPr>
      <w:r w:rsidRPr="0084447F">
        <w:rPr>
          <w:rFonts w:ascii="Times New Roman" w:hAnsi="Times New Roman" w:cs="Times New Roman"/>
          <w:noProof/>
          <w:sz w:val="22"/>
        </w:rPr>
        <w:lastRenderedPageBreak/>
        <w:drawing>
          <wp:inline distT="0" distB="0" distL="0" distR="0" wp14:anchorId="77A17FD8" wp14:editId="09B2729D">
            <wp:extent cx="5274310" cy="3557905"/>
            <wp:effectExtent l="0" t="0" r="2540" b="4445"/>
            <wp:docPr id="1062778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78682" name=""/>
                    <pic:cNvPicPr/>
                  </pic:nvPicPr>
                  <pic:blipFill>
                    <a:blip r:embed="rId7"/>
                    <a:stretch>
                      <a:fillRect/>
                    </a:stretch>
                  </pic:blipFill>
                  <pic:spPr>
                    <a:xfrm>
                      <a:off x="0" y="0"/>
                      <a:ext cx="5274310" cy="3557905"/>
                    </a:xfrm>
                    <a:prstGeom prst="rect">
                      <a:avLst/>
                    </a:prstGeom>
                  </pic:spPr>
                </pic:pic>
              </a:graphicData>
            </a:graphic>
          </wp:inline>
        </w:drawing>
      </w:r>
    </w:p>
    <w:p w14:paraId="7EBC1BB6" w14:textId="77777777" w:rsidR="00E13397" w:rsidRPr="0084447F" w:rsidRDefault="00E13397" w:rsidP="00E13397">
      <w:pPr>
        <w:rPr>
          <w:rFonts w:ascii="Times New Roman" w:hAnsi="Times New Roman" w:cs="Times New Roman"/>
          <w:sz w:val="22"/>
        </w:rPr>
      </w:pPr>
      <w:r w:rsidRPr="0084447F">
        <w:rPr>
          <w:rFonts w:ascii="Times New Roman" w:hAnsi="Times New Roman" w:cs="Times New Roman"/>
          <w:b/>
          <w:bCs/>
          <w:sz w:val="22"/>
        </w:rPr>
        <w:t>Fig. E4</w:t>
      </w:r>
      <w:r w:rsidRPr="0084447F">
        <w:rPr>
          <w:rFonts w:ascii="Times New Roman" w:hAnsi="Times New Roman" w:cs="Times New Roman"/>
          <w:sz w:val="22"/>
        </w:rPr>
        <w:t xml:space="preserve"> </w:t>
      </w:r>
      <w:r w:rsidRPr="0084447F">
        <w:rPr>
          <w:rFonts w:ascii="Times New Roman" w:eastAsia="宋体" w:hAnsi="Times New Roman" w:cs="Times New Roman"/>
          <w:sz w:val="22"/>
        </w:rPr>
        <w:t>A 53-year-old female with left lung cancer and multiple liver metastases. The liver nodules range along the z-axis w</w:t>
      </w:r>
      <w:r>
        <w:rPr>
          <w:rFonts w:ascii="Times New Roman" w:eastAsia="宋体" w:hAnsi="Times New Roman" w:cs="Times New Roman"/>
          <w:sz w:val="22"/>
        </w:rPr>
        <w:t>as</w:t>
      </w:r>
      <w:r w:rsidRPr="0084447F">
        <w:rPr>
          <w:rFonts w:ascii="Times New Roman" w:eastAsia="宋体" w:hAnsi="Times New Roman" w:cs="Times New Roman"/>
          <w:sz w:val="22"/>
        </w:rPr>
        <w:t xml:space="preserve"> extended in FB-300s and FB-30s PET MIP, while the nodules were clearly displayed in DIBH-30s PET MIP. The axial view of the FB PET showed the attenuation correction (AC) art</w:t>
      </w:r>
      <w:r>
        <w:rPr>
          <w:rFonts w:ascii="Times New Roman" w:eastAsia="宋体" w:hAnsi="Times New Roman" w:cs="Times New Roman"/>
          <w:sz w:val="22"/>
        </w:rPr>
        <w:t>i</w:t>
      </w:r>
      <w:r w:rsidRPr="0084447F">
        <w:rPr>
          <w:rFonts w:ascii="Times New Roman" w:eastAsia="宋体" w:hAnsi="Times New Roman" w:cs="Times New Roman"/>
          <w:sz w:val="22"/>
        </w:rPr>
        <w:t>fact of the liver border, and several lesions exceeded the AC liver border. The nodules were misregistered between FB PET and CT. In contrast, the nodule</w:t>
      </w:r>
      <w:r>
        <w:rPr>
          <w:rFonts w:ascii="Times New Roman" w:eastAsia="宋体" w:hAnsi="Times New Roman" w:cs="Times New Roman"/>
          <w:sz w:val="22"/>
        </w:rPr>
        <w:t>s</w:t>
      </w:r>
      <w:r w:rsidRPr="0084447F">
        <w:rPr>
          <w:rFonts w:ascii="Times New Roman" w:eastAsia="宋体" w:hAnsi="Times New Roman" w:cs="Times New Roman"/>
          <w:sz w:val="22"/>
        </w:rPr>
        <w:t xml:space="preserve"> had</w:t>
      </w:r>
      <w:r>
        <w:rPr>
          <w:rFonts w:ascii="Times New Roman" w:eastAsia="宋体" w:hAnsi="Times New Roman" w:cs="Times New Roman"/>
          <w:sz w:val="22"/>
        </w:rPr>
        <w:t xml:space="preserve"> </w:t>
      </w:r>
      <w:r w:rsidRPr="0084447F">
        <w:rPr>
          <w:rFonts w:ascii="Times New Roman" w:eastAsia="宋体" w:hAnsi="Times New Roman" w:cs="Times New Roman"/>
          <w:sz w:val="22"/>
        </w:rPr>
        <w:t>higher uptake</w:t>
      </w:r>
      <w:r>
        <w:rPr>
          <w:rFonts w:ascii="Times New Roman" w:eastAsia="宋体" w:hAnsi="Times New Roman" w:cs="Times New Roman"/>
          <w:sz w:val="22"/>
        </w:rPr>
        <w:t>s</w:t>
      </w:r>
      <w:r w:rsidRPr="0084447F">
        <w:rPr>
          <w:rFonts w:ascii="Times New Roman" w:eastAsia="宋体" w:hAnsi="Times New Roman" w:cs="Times New Roman"/>
          <w:sz w:val="22"/>
        </w:rPr>
        <w:t xml:space="preserve"> in DIBH PET. The nodule was well registered between DIBH PET and DIBH CT.</w:t>
      </w:r>
    </w:p>
    <w:p w14:paraId="11800F5E" w14:textId="77777777" w:rsidR="00E13397" w:rsidRPr="0084447F" w:rsidRDefault="00E13397" w:rsidP="00E13397">
      <w:pPr>
        <w:rPr>
          <w:rFonts w:ascii="Times New Roman" w:hAnsi="Times New Roman" w:cs="Times New Roman"/>
          <w:sz w:val="22"/>
        </w:rPr>
      </w:pPr>
    </w:p>
    <w:p w14:paraId="78DA36C7" w14:textId="77777777" w:rsidR="00E13397" w:rsidRPr="0084447F" w:rsidRDefault="00E13397" w:rsidP="00E13397">
      <w:pPr>
        <w:rPr>
          <w:rFonts w:ascii="Times New Roman" w:eastAsia="宋体" w:hAnsi="Times New Roman" w:cs="Times New Roman"/>
          <w:sz w:val="22"/>
        </w:rPr>
      </w:pPr>
    </w:p>
    <w:p w14:paraId="667461E2" w14:textId="77777777" w:rsidR="00E13397" w:rsidRPr="0084447F" w:rsidRDefault="00E13397" w:rsidP="00E13397">
      <w:pPr>
        <w:pageBreakBefore/>
        <w:rPr>
          <w:rFonts w:ascii="Times New Roman" w:eastAsia="宋体" w:hAnsi="Times New Roman" w:cs="Times New Roman"/>
          <w:sz w:val="22"/>
        </w:rPr>
      </w:pPr>
      <w:r>
        <w:rPr>
          <w:noProof/>
        </w:rPr>
        <w:lastRenderedPageBreak/>
        <w:drawing>
          <wp:inline distT="0" distB="0" distL="0" distR="0" wp14:anchorId="1DE3AF27" wp14:editId="42C334E6">
            <wp:extent cx="5274310" cy="3528695"/>
            <wp:effectExtent l="0" t="0" r="2540" b="0"/>
            <wp:docPr id="1597980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80407" name=""/>
                    <pic:cNvPicPr/>
                  </pic:nvPicPr>
                  <pic:blipFill>
                    <a:blip r:embed="rId8"/>
                    <a:stretch>
                      <a:fillRect/>
                    </a:stretch>
                  </pic:blipFill>
                  <pic:spPr>
                    <a:xfrm>
                      <a:off x="0" y="0"/>
                      <a:ext cx="5274310" cy="3528695"/>
                    </a:xfrm>
                    <a:prstGeom prst="rect">
                      <a:avLst/>
                    </a:prstGeom>
                  </pic:spPr>
                </pic:pic>
              </a:graphicData>
            </a:graphic>
          </wp:inline>
        </w:drawing>
      </w:r>
    </w:p>
    <w:p w14:paraId="19DC0308" w14:textId="77777777" w:rsidR="00E13397" w:rsidRPr="0084447F" w:rsidRDefault="00E13397" w:rsidP="00E13397">
      <w:pPr>
        <w:rPr>
          <w:rFonts w:ascii="Times New Roman" w:eastAsia="宋体" w:hAnsi="Times New Roman" w:cs="Times New Roman"/>
          <w:sz w:val="22"/>
        </w:rPr>
      </w:pPr>
      <w:r w:rsidRPr="0084447F">
        <w:rPr>
          <w:rFonts w:ascii="Times New Roman" w:eastAsia="宋体" w:hAnsi="Times New Roman" w:cs="Times New Roman"/>
          <w:b/>
          <w:bCs/>
          <w:sz w:val="22"/>
        </w:rPr>
        <w:t>Fig. E5</w:t>
      </w:r>
      <w:r w:rsidRPr="0084447F">
        <w:rPr>
          <w:rFonts w:ascii="Times New Roman" w:eastAsia="宋体" w:hAnsi="Times New Roman" w:cs="Times New Roman"/>
          <w:sz w:val="22"/>
        </w:rPr>
        <w:t xml:space="preserve"> An example of FB-30s missed lesion. A 76-year-old male with liver cancer. The total-body PET maximum intensity projection (MIP) images were displayed. The liver mass uptake was invisible in FB-30s PET and unclear in FB-300s PET, </w:t>
      </w:r>
      <w:bookmarkStart w:id="5" w:name="_Hlk150094132"/>
      <w:r w:rsidRPr="0084447F">
        <w:rPr>
          <w:rFonts w:ascii="Times New Roman" w:eastAsia="宋体" w:hAnsi="Times New Roman" w:cs="Times New Roman"/>
          <w:sz w:val="22"/>
        </w:rPr>
        <w:t xml:space="preserve">while the mass uptake was clearly displayed in DIBH-30s PET MIP. </w:t>
      </w:r>
      <w:bookmarkStart w:id="6" w:name="_Hlk150094775"/>
      <w:bookmarkEnd w:id="5"/>
      <w:r w:rsidRPr="0084447F">
        <w:rPr>
          <w:rFonts w:ascii="Times New Roman" w:eastAsia="宋体" w:hAnsi="Times New Roman" w:cs="Times New Roman"/>
          <w:sz w:val="22"/>
        </w:rPr>
        <w:t xml:space="preserve">The mass was missed in the axial FB-30s PET. The mass was detected in DIBH-30s PET with confidence = 3 and in FB-300s with confidence = 2. </w:t>
      </w:r>
      <w:bookmarkEnd w:id="6"/>
    </w:p>
    <w:p w14:paraId="286CFAE9" w14:textId="77777777" w:rsidR="00E13397" w:rsidRPr="0084447F" w:rsidRDefault="00E13397" w:rsidP="00E13397">
      <w:pPr>
        <w:rPr>
          <w:rFonts w:ascii="Times New Roman" w:hAnsi="Times New Roman" w:cs="Times New Roman"/>
          <w:sz w:val="22"/>
        </w:rPr>
      </w:pPr>
    </w:p>
    <w:p w14:paraId="77E28E8A" w14:textId="77777777" w:rsidR="00E13397" w:rsidRPr="0084447F" w:rsidRDefault="00E13397" w:rsidP="00E13397">
      <w:pPr>
        <w:pageBreakBefore/>
        <w:rPr>
          <w:rFonts w:ascii="Times New Roman" w:hAnsi="Times New Roman" w:cs="Times New Roman"/>
          <w:sz w:val="22"/>
        </w:rPr>
      </w:pPr>
      <w:r>
        <w:rPr>
          <w:noProof/>
        </w:rPr>
        <w:lastRenderedPageBreak/>
        <w:drawing>
          <wp:inline distT="0" distB="0" distL="0" distR="0" wp14:anchorId="55D12B34" wp14:editId="547346F3">
            <wp:extent cx="5274310" cy="3505835"/>
            <wp:effectExtent l="0" t="0" r="2540" b="0"/>
            <wp:docPr id="526205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05182" name=""/>
                    <pic:cNvPicPr/>
                  </pic:nvPicPr>
                  <pic:blipFill>
                    <a:blip r:embed="rId9"/>
                    <a:stretch>
                      <a:fillRect/>
                    </a:stretch>
                  </pic:blipFill>
                  <pic:spPr>
                    <a:xfrm>
                      <a:off x="0" y="0"/>
                      <a:ext cx="5274310" cy="3505835"/>
                    </a:xfrm>
                    <a:prstGeom prst="rect">
                      <a:avLst/>
                    </a:prstGeom>
                  </pic:spPr>
                </pic:pic>
              </a:graphicData>
            </a:graphic>
          </wp:inline>
        </w:drawing>
      </w:r>
    </w:p>
    <w:p w14:paraId="4983326D" w14:textId="77777777" w:rsidR="00E13397" w:rsidRPr="0084447F" w:rsidRDefault="00E13397" w:rsidP="00E13397">
      <w:pPr>
        <w:rPr>
          <w:rFonts w:ascii="Times New Roman" w:eastAsia="宋体" w:hAnsi="Times New Roman" w:cs="Times New Roman"/>
          <w:sz w:val="22"/>
        </w:rPr>
      </w:pPr>
      <w:r w:rsidRPr="0084447F">
        <w:rPr>
          <w:rFonts w:ascii="Times New Roman" w:hAnsi="Times New Roman" w:cs="Times New Roman"/>
          <w:b/>
          <w:bCs/>
          <w:sz w:val="22"/>
        </w:rPr>
        <w:t>Fig. E6</w:t>
      </w:r>
      <w:r w:rsidRPr="0084447F">
        <w:rPr>
          <w:rFonts w:ascii="Times New Roman" w:hAnsi="Times New Roman" w:cs="Times New Roman"/>
          <w:sz w:val="22"/>
        </w:rPr>
        <w:t xml:space="preserve"> </w:t>
      </w:r>
      <w:r w:rsidRPr="0084447F">
        <w:rPr>
          <w:rFonts w:ascii="Times New Roman" w:eastAsia="宋体" w:hAnsi="Times New Roman" w:cs="Times New Roman"/>
          <w:sz w:val="22"/>
        </w:rPr>
        <w:t xml:space="preserve">A 58-year-old male with lung cancer. The FB-300s PET showed the lesion located in the liver had a light uptake. However, the nodule uptake was invisible in DIBH-30s PET. </w:t>
      </w:r>
    </w:p>
    <w:p w14:paraId="493267D3" w14:textId="77777777" w:rsidR="00E13397" w:rsidRPr="0084447F" w:rsidRDefault="00E13397" w:rsidP="00E13397">
      <w:pPr>
        <w:rPr>
          <w:rFonts w:ascii="Times New Roman" w:eastAsia="宋体" w:hAnsi="Times New Roman" w:cs="Times New Roman"/>
          <w:sz w:val="22"/>
        </w:rPr>
      </w:pPr>
    </w:p>
    <w:p w14:paraId="2DC5D688" w14:textId="77777777" w:rsidR="00E13397" w:rsidRPr="0084447F" w:rsidRDefault="00E13397" w:rsidP="00E13397">
      <w:pPr>
        <w:rPr>
          <w:rFonts w:ascii="Times New Roman" w:eastAsia="宋体" w:hAnsi="Times New Roman" w:cs="Times New Roman"/>
          <w:sz w:val="22"/>
        </w:rPr>
      </w:pPr>
    </w:p>
    <w:p w14:paraId="19C3E0D2" w14:textId="77777777" w:rsidR="00E13397" w:rsidRPr="0084447F" w:rsidRDefault="00E13397" w:rsidP="00E13397">
      <w:pPr>
        <w:rPr>
          <w:rFonts w:ascii="Times New Roman" w:eastAsia="宋体" w:hAnsi="Times New Roman" w:cs="Times New Roman"/>
          <w:sz w:val="22"/>
        </w:rPr>
      </w:pPr>
      <w:r w:rsidRPr="0084447F">
        <w:rPr>
          <w:rFonts w:ascii="Times New Roman" w:hAnsi="Times New Roman" w:cs="Times New Roman"/>
          <w:noProof/>
          <w:sz w:val="22"/>
        </w:rPr>
        <w:drawing>
          <wp:inline distT="0" distB="0" distL="0" distR="0" wp14:anchorId="6575C90B" wp14:editId="72AE92FE">
            <wp:extent cx="5274310" cy="1781810"/>
            <wp:effectExtent l="0" t="0" r="2540" b="8890"/>
            <wp:docPr id="1691044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44977" name=""/>
                    <pic:cNvPicPr/>
                  </pic:nvPicPr>
                  <pic:blipFill>
                    <a:blip r:embed="rId10"/>
                    <a:stretch>
                      <a:fillRect/>
                    </a:stretch>
                  </pic:blipFill>
                  <pic:spPr>
                    <a:xfrm>
                      <a:off x="0" y="0"/>
                      <a:ext cx="5274310" cy="1781810"/>
                    </a:xfrm>
                    <a:prstGeom prst="rect">
                      <a:avLst/>
                    </a:prstGeom>
                  </pic:spPr>
                </pic:pic>
              </a:graphicData>
            </a:graphic>
          </wp:inline>
        </w:drawing>
      </w:r>
    </w:p>
    <w:p w14:paraId="0A94A1B9" w14:textId="77777777" w:rsidR="00E13397" w:rsidRPr="0084447F" w:rsidRDefault="00E13397" w:rsidP="00E13397">
      <w:pPr>
        <w:rPr>
          <w:rFonts w:ascii="Times New Roman" w:eastAsia="宋体" w:hAnsi="Times New Roman" w:cs="Times New Roman"/>
          <w:sz w:val="22"/>
        </w:rPr>
      </w:pPr>
      <w:r w:rsidRPr="0084447F">
        <w:rPr>
          <w:rFonts w:ascii="Times New Roman" w:hAnsi="Times New Roman" w:cs="Times New Roman"/>
          <w:b/>
          <w:bCs/>
          <w:sz w:val="22"/>
        </w:rPr>
        <w:t>Fig. E7</w:t>
      </w:r>
      <w:r w:rsidRPr="0084447F">
        <w:rPr>
          <w:rFonts w:ascii="Times New Roman" w:eastAsia="宋体" w:hAnsi="Times New Roman" w:cs="Times New Roman"/>
          <w:sz w:val="22"/>
        </w:rPr>
        <w:t xml:space="preserve"> </w:t>
      </w:r>
      <w:r w:rsidRPr="0084447F">
        <w:rPr>
          <w:rFonts w:ascii="Times New Roman" w:hAnsi="Times New Roman" w:cs="Times New Roman"/>
          <w:sz w:val="22"/>
        </w:rPr>
        <w:t>Bland-Altman plots of the lesion SUV</w:t>
      </w:r>
      <w:r w:rsidRPr="0084447F">
        <w:rPr>
          <w:rFonts w:ascii="Times New Roman" w:hAnsi="Times New Roman" w:cs="Times New Roman"/>
          <w:sz w:val="22"/>
          <w:vertAlign w:val="subscript"/>
        </w:rPr>
        <w:t>max</w:t>
      </w:r>
      <w:r w:rsidRPr="0084447F">
        <w:rPr>
          <w:rFonts w:ascii="Times New Roman" w:hAnsi="Times New Roman" w:cs="Times New Roman"/>
          <w:sz w:val="22"/>
        </w:rPr>
        <w:t xml:space="preserve"> and SUV</w:t>
      </w:r>
      <w:r w:rsidRPr="0084447F">
        <w:rPr>
          <w:rFonts w:ascii="Times New Roman" w:hAnsi="Times New Roman" w:cs="Times New Roman"/>
          <w:sz w:val="22"/>
          <w:vertAlign w:val="subscript"/>
        </w:rPr>
        <w:t>peak</w:t>
      </w:r>
      <w:r w:rsidRPr="0084447F">
        <w:rPr>
          <w:rFonts w:ascii="Times New Roman" w:hAnsi="Times New Roman" w:cs="Times New Roman"/>
          <w:sz w:val="22"/>
        </w:rPr>
        <w:t xml:space="preserve"> between FB-300s and DIBH PET. The Bland–Altman 95 % limits of agreement between FB-300s and DIBH were 1.62 ± 5.60 and 1.14 ± 4.40 for SUV</w:t>
      </w:r>
      <w:r w:rsidRPr="0084447F">
        <w:rPr>
          <w:rFonts w:ascii="Times New Roman" w:hAnsi="Times New Roman" w:cs="Times New Roman"/>
          <w:sz w:val="22"/>
          <w:vertAlign w:val="subscript"/>
        </w:rPr>
        <w:t>max</w:t>
      </w:r>
      <w:r w:rsidRPr="0084447F">
        <w:rPr>
          <w:rFonts w:ascii="Times New Roman" w:hAnsi="Times New Roman" w:cs="Times New Roman"/>
          <w:sz w:val="22"/>
        </w:rPr>
        <w:t xml:space="preserve"> and SUV</w:t>
      </w:r>
      <w:r w:rsidRPr="0084447F">
        <w:rPr>
          <w:rFonts w:ascii="Times New Roman" w:hAnsi="Times New Roman" w:cs="Times New Roman"/>
          <w:sz w:val="22"/>
          <w:vertAlign w:val="subscript"/>
        </w:rPr>
        <w:t>peak</w:t>
      </w:r>
      <w:r w:rsidRPr="0084447F">
        <w:rPr>
          <w:rFonts w:ascii="Times New Roman" w:hAnsi="Times New Roman" w:cs="Times New Roman"/>
          <w:sz w:val="22"/>
        </w:rPr>
        <w:t>. Dashed lines delineate the mean and 95 % limits of agreement.</w:t>
      </w:r>
    </w:p>
    <w:p w14:paraId="030CE9FD" w14:textId="77777777" w:rsidR="00E13397" w:rsidRPr="0084447F" w:rsidRDefault="00E13397" w:rsidP="00E13397">
      <w:pPr>
        <w:rPr>
          <w:rFonts w:ascii="Times New Roman" w:eastAsia="宋体" w:hAnsi="Times New Roman" w:cs="Times New Roman"/>
          <w:sz w:val="22"/>
        </w:rPr>
      </w:pPr>
    </w:p>
    <w:p w14:paraId="21792FBB" w14:textId="77777777" w:rsidR="00E13397" w:rsidRPr="0084447F" w:rsidRDefault="00E13397" w:rsidP="00E13397">
      <w:pPr>
        <w:rPr>
          <w:rFonts w:ascii="Times New Roman" w:eastAsia="宋体" w:hAnsi="Times New Roman" w:cs="Times New Roman"/>
          <w:sz w:val="22"/>
        </w:rPr>
      </w:pPr>
    </w:p>
    <w:p w14:paraId="4128E1D7" w14:textId="77777777" w:rsidR="00E13397" w:rsidRPr="0084447F" w:rsidRDefault="00E13397" w:rsidP="00E13397">
      <w:pPr>
        <w:pageBreakBefore/>
        <w:rPr>
          <w:rFonts w:ascii="Times New Roman" w:eastAsia="宋体" w:hAnsi="Times New Roman" w:cs="Times New Roman"/>
          <w:sz w:val="22"/>
        </w:rPr>
      </w:pPr>
      <w:r>
        <w:rPr>
          <w:noProof/>
        </w:rPr>
        <w:lastRenderedPageBreak/>
        <w:drawing>
          <wp:inline distT="0" distB="0" distL="0" distR="0" wp14:anchorId="2E4A1EF9" wp14:editId="6C93044E">
            <wp:extent cx="5274310" cy="3785870"/>
            <wp:effectExtent l="0" t="0" r="2540" b="5080"/>
            <wp:docPr id="368216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16128" name=""/>
                    <pic:cNvPicPr/>
                  </pic:nvPicPr>
                  <pic:blipFill>
                    <a:blip r:embed="rId11"/>
                    <a:stretch>
                      <a:fillRect/>
                    </a:stretch>
                  </pic:blipFill>
                  <pic:spPr>
                    <a:xfrm>
                      <a:off x="0" y="0"/>
                      <a:ext cx="5274310" cy="3785870"/>
                    </a:xfrm>
                    <a:prstGeom prst="rect">
                      <a:avLst/>
                    </a:prstGeom>
                  </pic:spPr>
                </pic:pic>
              </a:graphicData>
            </a:graphic>
          </wp:inline>
        </w:drawing>
      </w:r>
    </w:p>
    <w:p w14:paraId="586CDBD5" w14:textId="77777777" w:rsidR="00E13397" w:rsidRPr="0084447F" w:rsidRDefault="00E13397" w:rsidP="00E13397">
      <w:pPr>
        <w:rPr>
          <w:rFonts w:ascii="Times New Roman" w:eastAsia="宋体" w:hAnsi="Times New Roman" w:cs="Times New Roman"/>
          <w:sz w:val="22"/>
        </w:rPr>
      </w:pPr>
      <w:r w:rsidRPr="0084447F">
        <w:rPr>
          <w:rFonts w:ascii="Times New Roman" w:hAnsi="Times New Roman" w:cs="Times New Roman"/>
          <w:b/>
          <w:bCs/>
          <w:sz w:val="22"/>
        </w:rPr>
        <w:t>Fig. E8</w:t>
      </w:r>
      <w:r w:rsidRPr="0084447F">
        <w:rPr>
          <w:rFonts w:ascii="Times New Roman" w:eastAsia="宋体" w:hAnsi="Times New Roman" w:cs="Times New Roman"/>
          <w:sz w:val="22"/>
        </w:rPr>
        <w:t xml:space="preserve"> A37-year-old male with liver cancer. The truncated data of short duration (5-30</w:t>
      </w:r>
      <w:r>
        <w:rPr>
          <w:rFonts w:ascii="Times New Roman" w:eastAsia="宋体" w:hAnsi="Times New Roman" w:cs="Times New Roman"/>
          <w:sz w:val="22"/>
        </w:rPr>
        <w:t xml:space="preserve"> </w:t>
      </w:r>
      <w:r w:rsidRPr="0084447F">
        <w:rPr>
          <w:rFonts w:ascii="Times New Roman" w:eastAsia="宋体" w:hAnsi="Times New Roman" w:cs="Times New Roman"/>
          <w:sz w:val="22"/>
        </w:rPr>
        <w:t>s) were reconstructed and compared. The image qualit</w:t>
      </w:r>
      <w:r>
        <w:rPr>
          <w:rFonts w:ascii="Times New Roman" w:eastAsia="宋体" w:hAnsi="Times New Roman" w:cs="Times New Roman"/>
          <w:sz w:val="22"/>
        </w:rPr>
        <w:t>ies</w:t>
      </w:r>
      <w:r w:rsidRPr="0084447F">
        <w:rPr>
          <w:rFonts w:ascii="Times New Roman" w:eastAsia="宋体" w:hAnsi="Times New Roman" w:cs="Times New Roman"/>
          <w:sz w:val="22"/>
        </w:rPr>
        <w:t xml:space="preserve"> </w:t>
      </w:r>
      <w:r>
        <w:rPr>
          <w:rFonts w:ascii="Times New Roman" w:eastAsia="宋体" w:hAnsi="Times New Roman" w:cs="Times New Roman"/>
          <w:sz w:val="22"/>
        </w:rPr>
        <w:t>of</w:t>
      </w:r>
      <w:r w:rsidRPr="0084447F">
        <w:rPr>
          <w:rFonts w:ascii="Times New Roman" w:eastAsia="宋体" w:hAnsi="Times New Roman" w:cs="Times New Roman"/>
          <w:sz w:val="22"/>
        </w:rPr>
        <w:t xml:space="preserve"> 15-30</w:t>
      </w:r>
      <w:r>
        <w:rPr>
          <w:rFonts w:ascii="Times New Roman" w:eastAsia="宋体" w:hAnsi="Times New Roman" w:cs="Times New Roman"/>
          <w:sz w:val="22"/>
        </w:rPr>
        <w:t xml:space="preserve"> </w:t>
      </w:r>
      <w:r w:rsidRPr="0084447F">
        <w:rPr>
          <w:rFonts w:ascii="Times New Roman" w:eastAsia="宋体" w:hAnsi="Times New Roman" w:cs="Times New Roman"/>
          <w:sz w:val="22"/>
        </w:rPr>
        <w:t xml:space="preserve">s </w:t>
      </w:r>
      <w:r>
        <w:rPr>
          <w:rFonts w:ascii="Times New Roman" w:eastAsia="宋体" w:hAnsi="Times New Roman" w:cs="Times New Roman"/>
          <w:sz w:val="22"/>
        </w:rPr>
        <w:t xml:space="preserve">PET images </w:t>
      </w:r>
      <w:r w:rsidRPr="0084447F">
        <w:rPr>
          <w:rFonts w:ascii="Times New Roman" w:eastAsia="宋体" w:hAnsi="Times New Roman" w:cs="Times New Roman"/>
          <w:sz w:val="22"/>
        </w:rPr>
        <w:t xml:space="preserve">were acceptable. </w:t>
      </w:r>
    </w:p>
    <w:p w14:paraId="633A5557" w14:textId="77777777" w:rsidR="00E13397" w:rsidRPr="0084447F" w:rsidRDefault="00E13397" w:rsidP="00E13397">
      <w:pPr>
        <w:rPr>
          <w:rFonts w:ascii="Times New Roman" w:eastAsia="宋体" w:hAnsi="Times New Roman" w:cs="Times New Roman"/>
          <w:sz w:val="22"/>
        </w:rPr>
      </w:pPr>
    </w:p>
    <w:p w14:paraId="27465E5B" w14:textId="77777777" w:rsidR="007151A4" w:rsidRDefault="007151A4"/>
    <w:sectPr w:rsidR="007151A4" w:rsidSect="00E1339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TBasilia-Roman">
    <w:altName w:val="宋体"/>
    <w:panose1 w:val="020B0604020202020204"/>
    <w:charset w:val="00"/>
    <w:family w:val="auto"/>
    <w:pitch w:val="default"/>
    <w:sig w:usb0="00000003" w:usb1="080E0000" w:usb2="00000010"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397"/>
    <w:rsid w:val="00003FE5"/>
    <w:rsid w:val="00015743"/>
    <w:rsid w:val="00025B13"/>
    <w:rsid w:val="000562BD"/>
    <w:rsid w:val="00085EC5"/>
    <w:rsid w:val="000A5E06"/>
    <w:rsid w:val="000D47B1"/>
    <w:rsid w:val="000D795C"/>
    <w:rsid w:val="001014F4"/>
    <w:rsid w:val="00101555"/>
    <w:rsid w:val="0010697B"/>
    <w:rsid w:val="00115157"/>
    <w:rsid w:val="00130DAA"/>
    <w:rsid w:val="00182257"/>
    <w:rsid w:val="00196AFF"/>
    <w:rsid w:val="001C0105"/>
    <w:rsid w:val="001E05D6"/>
    <w:rsid w:val="001E082F"/>
    <w:rsid w:val="0021568D"/>
    <w:rsid w:val="0023290A"/>
    <w:rsid w:val="00261911"/>
    <w:rsid w:val="002A14C8"/>
    <w:rsid w:val="002A4EEB"/>
    <w:rsid w:val="002A70F0"/>
    <w:rsid w:val="002A7753"/>
    <w:rsid w:val="002B3614"/>
    <w:rsid w:val="002B3E8E"/>
    <w:rsid w:val="002C25A7"/>
    <w:rsid w:val="002D5217"/>
    <w:rsid w:val="002E04C0"/>
    <w:rsid w:val="002E7C87"/>
    <w:rsid w:val="002F7116"/>
    <w:rsid w:val="00301090"/>
    <w:rsid w:val="00321A34"/>
    <w:rsid w:val="00344B1B"/>
    <w:rsid w:val="003630EF"/>
    <w:rsid w:val="003655C2"/>
    <w:rsid w:val="0036630D"/>
    <w:rsid w:val="00371095"/>
    <w:rsid w:val="003B4D2D"/>
    <w:rsid w:val="003C2468"/>
    <w:rsid w:val="003C5935"/>
    <w:rsid w:val="003E4A06"/>
    <w:rsid w:val="00436921"/>
    <w:rsid w:val="004A05C5"/>
    <w:rsid w:val="004E7436"/>
    <w:rsid w:val="00507149"/>
    <w:rsid w:val="00567EFC"/>
    <w:rsid w:val="00586429"/>
    <w:rsid w:val="0058770C"/>
    <w:rsid w:val="005C6B8F"/>
    <w:rsid w:val="005D661A"/>
    <w:rsid w:val="005F5518"/>
    <w:rsid w:val="006209B2"/>
    <w:rsid w:val="006457C1"/>
    <w:rsid w:val="006823E8"/>
    <w:rsid w:val="00682693"/>
    <w:rsid w:val="006905A5"/>
    <w:rsid w:val="006A6670"/>
    <w:rsid w:val="006B2E71"/>
    <w:rsid w:val="006E1D95"/>
    <w:rsid w:val="006F43C4"/>
    <w:rsid w:val="006F463F"/>
    <w:rsid w:val="007144CF"/>
    <w:rsid w:val="007151A4"/>
    <w:rsid w:val="00722EDE"/>
    <w:rsid w:val="00730329"/>
    <w:rsid w:val="00747B97"/>
    <w:rsid w:val="00764856"/>
    <w:rsid w:val="0077744E"/>
    <w:rsid w:val="0078409B"/>
    <w:rsid w:val="00784924"/>
    <w:rsid w:val="007A5A8A"/>
    <w:rsid w:val="007E0369"/>
    <w:rsid w:val="007E6CB0"/>
    <w:rsid w:val="007F6FDE"/>
    <w:rsid w:val="00820DBF"/>
    <w:rsid w:val="00837333"/>
    <w:rsid w:val="00864657"/>
    <w:rsid w:val="008A69D4"/>
    <w:rsid w:val="008C410C"/>
    <w:rsid w:val="008F56DE"/>
    <w:rsid w:val="008F70BC"/>
    <w:rsid w:val="009076AF"/>
    <w:rsid w:val="00911D34"/>
    <w:rsid w:val="00915A11"/>
    <w:rsid w:val="0092126E"/>
    <w:rsid w:val="0095216A"/>
    <w:rsid w:val="00956362"/>
    <w:rsid w:val="00976BCF"/>
    <w:rsid w:val="009C45A4"/>
    <w:rsid w:val="009D17AF"/>
    <w:rsid w:val="009D3A85"/>
    <w:rsid w:val="009F204F"/>
    <w:rsid w:val="00A329AC"/>
    <w:rsid w:val="00A36EA6"/>
    <w:rsid w:val="00A52791"/>
    <w:rsid w:val="00A704B8"/>
    <w:rsid w:val="00AA6D21"/>
    <w:rsid w:val="00AB4AF8"/>
    <w:rsid w:val="00AD23FD"/>
    <w:rsid w:val="00AE7926"/>
    <w:rsid w:val="00AF0FBF"/>
    <w:rsid w:val="00B03B37"/>
    <w:rsid w:val="00B062CA"/>
    <w:rsid w:val="00B96E32"/>
    <w:rsid w:val="00BA5E18"/>
    <w:rsid w:val="00C042EA"/>
    <w:rsid w:val="00C10EDE"/>
    <w:rsid w:val="00C20941"/>
    <w:rsid w:val="00C30D54"/>
    <w:rsid w:val="00CA0AC0"/>
    <w:rsid w:val="00CA270D"/>
    <w:rsid w:val="00CB75AE"/>
    <w:rsid w:val="00CC1C23"/>
    <w:rsid w:val="00CC20F2"/>
    <w:rsid w:val="00CD7D6E"/>
    <w:rsid w:val="00CE2B45"/>
    <w:rsid w:val="00D029D4"/>
    <w:rsid w:val="00D61025"/>
    <w:rsid w:val="00D64DD1"/>
    <w:rsid w:val="00D720EA"/>
    <w:rsid w:val="00D81530"/>
    <w:rsid w:val="00D85356"/>
    <w:rsid w:val="00DD4929"/>
    <w:rsid w:val="00DD4A49"/>
    <w:rsid w:val="00DD5FB7"/>
    <w:rsid w:val="00DF5B9C"/>
    <w:rsid w:val="00E13397"/>
    <w:rsid w:val="00E61CC5"/>
    <w:rsid w:val="00E634A8"/>
    <w:rsid w:val="00E87FA4"/>
    <w:rsid w:val="00EB154C"/>
    <w:rsid w:val="00F23B9A"/>
    <w:rsid w:val="00F266F8"/>
    <w:rsid w:val="00F2759E"/>
    <w:rsid w:val="00F660EA"/>
    <w:rsid w:val="00FB2786"/>
    <w:rsid w:val="00FC0F54"/>
    <w:rsid w:val="00FC126E"/>
    <w:rsid w:val="00FC15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81B2477"/>
  <w14:defaultImageDpi w14:val="32767"/>
  <w15:chartTrackingRefBased/>
  <w15:docId w15:val="{757965CD-E69C-7E4D-A4B6-826113994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E13397"/>
    <w:pPr>
      <w:widowControl w:val="0"/>
      <w:jc w:val="both"/>
    </w:pPr>
    <w:rPr>
      <w:sz w:val="21"/>
      <w:szCs w:val="22"/>
    </w:rPr>
  </w:style>
  <w:style w:type="paragraph" w:styleId="1">
    <w:name w:val="heading 1"/>
    <w:basedOn w:val="a"/>
    <w:next w:val="a"/>
    <w:link w:val="10"/>
    <w:uiPriority w:val="9"/>
    <w:qFormat/>
    <w:rsid w:val="00E13397"/>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E13397"/>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E13397"/>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E13397"/>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E13397"/>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E13397"/>
    <w:pPr>
      <w:keepNext/>
      <w:keepLines/>
      <w:spacing w:before="40"/>
      <w:outlineLvl w:val="5"/>
    </w:pPr>
    <w:rPr>
      <w:rFonts w:cstheme="majorBidi"/>
      <w:b/>
      <w:bCs/>
      <w:color w:val="2F5496" w:themeColor="accent1" w:themeShade="BF"/>
      <w:sz w:val="24"/>
      <w:szCs w:val="24"/>
    </w:rPr>
  </w:style>
  <w:style w:type="paragraph" w:styleId="7">
    <w:name w:val="heading 7"/>
    <w:basedOn w:val="a"/>
    <w:next w:val="a"/>
    <w:link w:val="70"/>
    <w:uiPriority w:val="9"/>
    <w:semiHidden/>
    <w:unhideWhenUsed/>
    <w:qFormat/>
    <w:rsid w:val="00E13397"/>
    <w:pPr>
      <w:keepNext/>
      <w:keepLines/>
      <w:spacing w:before="40"/>
      <w:outlineLvl w:val="6"/>
    </w:pPr>
    <w:rPr>
      <w:rFonts w:cstheme="majorBidi"/>
      <w:b/>
      <w:bCs/>
      <w:color w:val="595959" w:themeColor="text1" w:themeTint="A6"/>
      <w:sz w:val="24"/>
      <w:szCs w:val="24"/>
    </w:rPr>
  </w:style>
  <w:style w:type="paragraph" w:styleId="8">
    <w:name w:val="heading 8"/>
    <w:basedOn w:val="a"/>
    <w:next w:val="a"/>
    <w:link w:val="80"/>
    <w:uiPriority w:val="9"/>
    <w:semiHidden/>
    <w:unhideWhenUsed/>
    <w:qFormat/>
    <w:rsid w:val="00E13397"/>
    <w:pPr>
      <w:keepNext/>
      <w:keepLines/>
      <w:outlineLvl w:val="7"/>
    </w:pPr>
    <w:rPr>
      <w:rFonts w:cstheme="majorBidi"/>
      <w:color w:val="595959" w:themeColor="text1" w:themeTint="A6"/>
      <w:sz w:val="24"/>
      <w:szCs w:val="24"/>
    </w:rPr>
  </w:style>
  <w:style w:type="paragraph" w:styleId="9">
    <w:name w:val="heading 9"/>
    <w:basedOn w:val="a"/>
    <w:next w:val="a"/>
    <w:link w:val="90"/>
    <w:uiPriority w:val="9"/>
    <w:semiHidden/>
    <w:unhideWhenUsed/>
    <w:qFormat/>
    <w:rsid w:val="00E13397"/>
    <w:pPr>
      <w:keepNext/>
      <w:keepLines/>
      <w:outlineLvl w:val="8"/>
    </w:pPr>
    <w:rPr>
      <w:rFonts w:eastAsiaTheme="majorEastAsia" w:cstheme="majorBidi"/>
      <w:color w:val="595959" w:themeColor="text1" w:themeTint="A6"/>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13397"/>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E13397"/>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E13397"/>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E13397"/>
    <w:rPr>
      <w:rFonts w:cstheme="majorBidi"/>
      <w:color w:val="2F5496" w:themeColor="accent1" w:themeShade="BF"/>
      <w:sz w:val="28"/>
      <w:szCs w:val="28"/>
    </w:rPr>
  </w:style>
  <w:style w:type="character" w:customStyle="1" w:styleId="50">
    <w:name w:val="标题 5 字符"/>
    <w:basedOn w:val="a0"/>
    <w:link w:val="5"/>
    <w:uiPriority w:val="9"/>
    <w:semiHidden/>
    <w:rsid w:val="00E13397"/>
    <w:rPr>
      <w:rFonts w:cstheme="majorBidi"/>
      <w:color w:val="2F5496" w:themeColor="accent1" w:themeShade="BF"/>
    </w:rPr>
  </w:style>
  <w:style w:type="character" w:customStyle="1" w:styleId="60">
    <w:name w:val="标题 6 字符"/>
    <w:basedOn w:val="a0"/>
    <w:link w:val="6"/>
    <w:uiPriority w:val="9"/>
    <w:semiHidden/>
    <w:rsid w:val="00E13397"/>
    <w:rPr>
      <w:rFonts w:cstheme="majorBidi"/>
      <w:b/>
      <w:bCs/>
      <w:color w:val="2F5496" w:themeColor="accent1" w:themeShade="BF"/>
    </w:rPr>
  </w:style>
  <w:style w:type="character" w:customStyle="1" w:styleId="70">
    <w:name w:val="标题 7 字符"/>
    <w:basedOn w:val="a0"/>
    <w:link w:val="7"/>
    <w:uiPriority w:val="9"/>
    <w:semiHidden/>
    <w:rsid w:val="00E13397"/>
    <w:rPr>
      <w:rFonts w:cstheme="majorBidi"/>
      <w:b/>
      <w:bCs/>
      <w:color w:val="595959" w:themeColor="text1" w:themeTint="A6"/>
    </w:rPr>
  </w:style>
  <w:style w:type="character" w:customStyle="1" w:styleId="80">
    <w:name w:val="标题 8 字符"/>
    <w:basedOn w:val="a0"/>
    <w:link w:val="8"/>
    <w:uiPriority w:val="9"/>
    <w:semiHidden/>
    <w:rsid w:val="00E13397"/>
    <w:rPr>
      <w:rFonts w:cstheme="majorBidi"/>
      <w:color w:val="595959" w:themeColor="text1" w:themeTint="A6"/>
    </w:rPr>
  </w:style>
  <w:style w:type="character" w:customStyle="1" w:styleId="90">
    <w:name w:val="标题 9 字符"/>
    <w:basedOn w:val="a0"/>
    <w:link w:val="9"/>
    <w:uiPriority w:val="9"/>
    <w:semiHidden/>
    <w:rsid w:val="00E13397"/>
    <w:rPr>
      <w:rFonts w:eastAsiaTheme="majorEastAsia" w:cstheme="majorBidi"/>
      <w:color w:val="595959" w:themeColor="text1" w:themeTint="A6"/>
    </w:rPr>
  </w:style>
  <w:style w:type="paragraph" w:styleId="a3">
    <w:name w:val="Title"/>
    <w:basedOn w:val="a"/>
    <w:next w:val="a"/>
    <w:link w:val="a4"/>
    <w:uiPriority w:val="10"/>
    <w:qFormat/>
    <w:rsid w:val="00E1339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1339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1339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1339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13397"/>
    <w:pPr>
      <w:spacing w:before="160" w:after="160"/>
      <w:jc w:val="center"/>
    </w:pPr>
    <w:rPr>
      <w:i/>
      <w:iCs/>
      <w:color w:val="404040" w:themeColor="text1" w:themeTint="BF"/>
      <w:sz w:val="24"/>
      <w:szCs w:val="24"/>
    </w:rPr>
  </w:style>
  <w:style w:type="character" w:customStyle="1" w:styleId="a8">
    <w:name w:val="引用 字符"/>
    <w:basedOn w:val="a0"/>
    <w:link w:val="a7"/>
    <w:uiPriority w:val="29"/>
    <w:rsid w:val="00E13397"/>
    <w:rPr>
      <w:i/>
      <w:iCs/>
      <w:color w:val="404040" w:themeColor="text1" w:themeTint="BF"/>
    </w:rPr>
  </w:style>
  <w:style w:type="paragraph" w:styleId="a9">
    <w:name w:val="List Paragraph"/>
    <w:basedOn w:val="a"/>
    <w:uiPriority w:val="34"/>
    <w:qFormat/>
    <w:rsid w:val="00E13397"/>
    <w:pPr>
      <w:ind w:left="720"/>
      <w:contextualSpacing/>
    </w:pPr>
    <w:rPr>
      <w:sz w:val="24"/>
      <w:szCs w:val="24"/>
    </w:rPr>
  </w:style>
  <w:style w:type="character" w:styleId="aa">
    <w:name w:val="Intense Emphasis"/>
    <w:basedOn w:val="a0"/>
    <w:uiPriority w:val="21"/>
    <w:qFormat/>
    <w:rsid w:val="00E13397"/>
    <w:rPr>
      <w:i/>
      <w:iCs/>
      <w:color w:val="2F5496" w:themeColor="accent1" w:themeShade="BF"/>
    </w:rPr>
  </w:style>
  <w:style w:type="paragraph" w:styleId="ab">
    <w:name w:val="Intense Quote"/>
    <w:basedOn w:val="a"/>
    <w:next w:val="a"/>
    <w:link w:val="ac"/>
    <w:uiPriority w:val="30"/>
    <w:qFormat/>
    <w:rsid w:val="00E133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 w:val="24"/>
      <w:szCs w:val="24"/>
    </w:rPr>
  </w:style>
  <w:style w:type="character" w:customStyle="1" w:styleId="ac">
    <w:name w:val="明显引用 字符"/>
    <w:basedOn w:val="a0"/>
    <w:link w:val="ab"/>
    <w:uiPriority w:val="30"/>
    <w:rsid w:val="00E13397"/>
    <w:rPr>
      <w:i/>
      <w:iCs/>
      <w:color w:val="2F5496" w:themeColor="accent1" w:themeShade="BF"/>
    </w:rPr>
  </w:style>
  <w:style w:type="character" w:styleId="ad">
    <w:name w:val="Intense Reference"/>
    <w:basedOn w:val="a0"/>
    <w:uiPriority w:val="32"/>
    <w:qFormat/>
    <w:rsid w:val="00E13397"/>
    <w:rPr>
      <w:b/>
      <w:bCs/>
      <w:smallCaps/>
      <w:color w:val="2F5496" w:themeColor="accent1" w:themeShade="BF"/>
      <w:spacing w:val="5"/>
    </w:rPr>
  </w:style>
  <w:style w:type="table" w:styleId="ae">
    <w:name w:val="Table Grid"/>
    <w:basedOn w:val="a1"/>
    <w:uiPriority w:val="39"/>
    <w:rsid w:val="00E13397"/>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.~WRD0002</Template>
  <TotalTime>0</TotalTime>
  <Pages>7</Pages>
  <Words>1751</Words>
  <Characters>9985</Characters>
  <Application>Microsoft Office Word</Application>
  <DocSecurity>0</DocSecurity>
  <Lines>83</Lines>
  <Paragraphs>23</Paragraphs>
  <ScaleCrop>false</ScaleCrop>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Li</dc:creator>
  <cp:keywords/>
  <dc:description/>
  <cp:lastModifiedBy>Richard Li</cp:lastModifiedBy>
  <cp:revision>1</cp:revision>
  <dcterms:created xsi:type="dcterms:W3CDTF">2024-12-22T17:02:00Z</dcterms:created>
  <dcterms:modified xsi:type="dcterms:W3CDTF">2024-12-22T17:02:00Z</dcterms:modified>
</cp:coreProperties>
</file>