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Blank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340"/>
        <w:gridCol w:w="1342"/>
        <w:gridCol w:w="1462"/>
        <w:gridCol w:w="855"/>
        <w:gridCol w:w="1462"/>
        <w:gridCol w:w="853"/>
      </w:tblGrid>
      <w:tr w:rsidR="009B2809" w:rsidRPr="000A7F5F" w14:paraId="08C2BFF9" w14:textId="77777777" w:rsidTr="00D46F48">
        <w:trPr>
          <w:trHeight w:val="519"/>
        </w:trPr>
        <w:tc>
          <w:tcPr>
            <w:tcW w:w="5000" w:type="pct"/>
            <w:gridSpan w:val="7"/>
            <w:shd w:val="clear" w:color="auto" w:fill="D1D1D1" w:themeFill="background2" w:themeFillShade="E6"/>
            <w:vAlign w:val="center"/>
          </w:tcPr>
          <w:p w14:paraId="56B21454" w14:textId="77777777" w:rsidR="009B2809" w:rsidRPr="006347CC" w:rsidRDefault="009B2809" w:rsidP="00D46F48">
            <w:pPr>
              <w:spacing w:beforeLines="40" w:before="96" w:afterLines="40" w:after="96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eTable 1. Per Protocol Analyses of the Primary and Secondary Outcomes</w:t>
            </w:r>
          </w:p>
        </w:tc>
      </w:tr>
      <w:tr w:rsidR="009B2809" w:rsidRPr="006347CC" w14:paraId="0D871AAC" w14:textId="77777777" w:rsidTr="00D46F48">
        <w:trPr>
          <w:trHeight w:val="875"/>
        </w:trPr>
        <w:tc>
          <w:tcPr>
            <w:tcW w:w="944" w:type="pct"/>
            <w:vAlign w:val="center"/>
          </w:tcPr>
          <w:p w14:paraId="324B64B0" w14:textId="77777777" w:rsidR="009B2809" w:rsidRPr="006347CC" w:rsidRDefault="009B2809" w:rsidP="00D46F48">
            <w:pPr>
              <w:spacing w:beforeLines="40" w:before="96" w:afterLines="40" w:after="96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vAlign w:val="center"/>
          </w:tcPr>
          <w:p w14:paraId="11627461" w14:textId="77777777" w:rsidR="009B2809" w:rsidRPr="006347CC" w:rsidRDefault="009B2809" w:rsidP="00D46F48">
            <w:pPr>
              <w:spacing w:beforeLines="40" w:before="96" w:afterLines="40" w:after="96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Restrictive Oxygen Group, No./Total (%)</w:t>
            </w:r>
          </w:p>
        </w:tc>
        <w:tc>
          <w:tcPr>
            <w:tcW w:w="744" w:type="pct"/>
            <w:vAlign w:val="center"/>
          </w:tcPr>
          <w:p w14:paraId="091768CF" w14:textId="77777777" w:rsidR="009B2809" w:rsidRPr="006347CC" w:rsidRDefault="009B2809" w:rsidP="00D46F48">
            <w:pPr>
              <w:spacing w:line="200" w:lineRule="atLeast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Liberal oxygen group, No./Total (%)</w:t>
            </w:r>
          </w:p>
        </w:tc>
        <w:tc>
          <w:tcPr>
            <w:tcW w:w="811" w:type="pct"/>
            <w:vAlign w:val="center"/>
          </w:tcPr>
          <w:p w14:paraId="621C902F" w14:textId="77777777" w:rsidR="009B2809" w:rsidRPr="006347CC" w:rsidRDefault="009B2809" w:rsidP="00D46F48">
            <w:pPr>
              <w:spacing w:beforeLines="40" w:before="96" w:afterLines="40" w:after="96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Risk difference, %, (95% CI)</w:t>
            </w:r>
          </w:p>
        </w:tc>
        <w:tc>
          <w:tcPr>
            <w:tcW w:w="474" w:type="pct"/>
            <w:vAlign w:val="center"/>
          </w:tcPr>
          <w:p w14:paraId="7CD443BF" w14:textId="77777777" w:rsidR="009B2809" w:rsidRPr="006347CC" w:rsidRDefault="009B2809" w:rsidP="00D46F48">
            <w:pPr>
              <w:spacing w:beforeLines="40" w:before="96" w:afterLines="40" w:after="96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</w:t>
            </w: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811" w:type="pct"/>
            <w:vAlign w:val="center"/>
          </w:tcPr>
          <w:p w14:paraId="7637ED12" w14:textId="77777777" w:rsidR="009B2809" w:rsidRPr="006347CC" w:rsidRDefault="009B2809" w:rsidP="00D46F48">
            <w:pPr>
              <w:spacing w:beforeLines="40" w:before="96" w:afterLines="40" w:after="96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Adjusted risk difference, %,</w:t>
            </w:r>
          </w:p>
          <w:p w14:paraId="5A8EC0F3" w14:textId="77777777" w:rsidR="009B2809" w:rsidRPr="006347CC" w:rsidRDefault="009B2809" w:rsidP="00D46F48">
            <w:pPr>
              <w:spacing w:beforeLines="40" w:before="96" w:afterLines="40" w:after="96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(95% CI)</w:t>
            </w:r>
            <w:r w:rsidRPr="006347CC">
              <w:rPr>
                <w:rFonts w:ascii="Helvetica" w:hAnsi="Helvetica" w:cs="Helvetica"/>
                <w:b/>
                <w:bCs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473" w:type="pct"/>
            <w:vAlign w:val="center"/>
          </w:tcPr>
          <w:p w14:paraId="318D1C65" w14:textId="77777777" w:rsidR="009B2809" w:rsidRPr="006347CC" w:rsidRDefault="009B2809" w:rsidP="00D46F48">
            <w:pPr>
              <w:spacing w:beforeLines="40" w:before="96" w:afterLines="40" w:after="96"/>
              <w:jc w:val="center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</w:t>
            </w: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9B2809" w:rsidRPr="006347CC" w14:paraId="727541E1" w14:textId="77777777" w:rsidTr="00D46F48">
        <w:trPr>
          <w:trHeight w:val="454"/>
        </w:trPr>
        <w:tc>
          <w:tcPr>
            <w:tcW w:w="5000" w:type="pct"/>
            <w:gridSpan w:val="7"/>
            <w:vAlign w:val="center"/>
          </w:tcPr>
          <w:p w14:paraId="1316F302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Primary outcome</w:t>
            </w:r>
          </w:p>
        </w:tc>
      </w:tr>
      <w:tr w:rsidR="009B2809" w:rsidRPr="006347CC" w14:paraId="05483A00" w14:textId="77777777" w:rsidTr="00D46F48">
        <w:trPr>
          <w:trHeight w:val="544"/>
        </w:trPr>
        <w:tc>
          <w:tcPr>
            <w:tcW w:w="944" w:type="pct"/>
            <w:vAlign w:val="center"/>
          </w:tcPr>
          <w:p w14:paraId="176D50BF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GOSE favorable recovery (5–8) at 12 months</w:t>
            </w:r>
          </w:p>
          <w:p w14:paraId="57BF7A8A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</w:tcPr>
          <w:p w14:paraId="67CCE117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187/280 (67)</w:t>
            </w:r>
          </w:p>
        </w:tc>
        <w:tc>
          <w:tcPr>
            <w:tcW w:w="744" w:type="pct"/>
          </w:tcPr>
          <w:p w14:paraId="39E40AD8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163/231 (71)</w:t>
            </w:r>
          </w:p>
        </w:tc>
        <w:tc>
          <w:tcPr>
            <w:tcW w:w="811" w:type="pct"/>
          </w:tcPr>
          <w:p w14:paraId="7C80D1FD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4.8 (-2.6 to 12.3)</w:t>
            </w:r>
          </w:p>
        </w:tc>
        <w:tc>
          <w:tcPr>
            <w:tcW w:w="474" w:type="pct"/>
          </w:tcPr>
          <w:p w14:paraId="7504C8B9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.20</w:t>
            </w:r>
          </w:p>
        </w:tc>
        <w:tc>
          <w:tcPr>
            <w:tcW w:w="811" w:type="pct"/>
          </w:tcPr>
          <w:p w14:paraId="53955E1D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4.4 (-2.4 to 11.2)</w:t>
            </w:r>
          </w:p>
        </w:tc>
        <w:tc>
          <w:tcPr>
            <w:tcW w:w="473" w:type="pct"/>
          </w:tcPr>
          <w:p w14:paraId="24485095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.21</w:t>
            </w:r>
          </w:p>
        </w:tc>
      </w:tr>
      <w:tr w:rsidR="009B2809" w:rsidRPr="006347CC" w14:paraId="10C16064" w14:textId="77777777" w:rsidTr="00D46F48">
        <w:trPr>
          <w:trHeight w:val="454"/>
        </w:trPr>
        <w:tc>
          <w:tcPr>
            <w:tcW w:w="5000" w:type="pct"/>
            <w:gridSpan w:val="7"/>
            <w:vAlign w:val="center"/>
          </w:tcPr>
          <w:p w14:paraId="3EE5CB9F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Secondary outcomes</w:t>
            </w:r>
          </w:p>
        </w:tc>
      </w:tr>
      <w:tr w:rsidR="009B2809" w:rsidRPr="006347CC" w14:paraId="0FB5B03C" w14:textId="77777777" w:rsidTr="00D46F48">
        <w:trPr>
          <w:trHeight w:val="20"/>
        </w:trPr>
        <w:tc>
          <w:tcPr>
            <w:tcW w:w="944" w:type="pct"/>
            <w:vAlign w:val="center"/>
          </w:tcPr>
          <w:p w14:paraId="659B96B2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val="en-US" w:eastAsia="da-DK"/>
              </w:rPr>
              <w:t>GOSE favorable recovery (5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6347CC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val="en-US" w:eastAsia="da-DK"/>
              </w:rPr>
              <w:t>8) at 6 months</w:t>
            </w:r>
          </w:p>
        </w:tc>
        <w:tc>
          <w:tcPr>
            <w:tcW w:w="743" w:type="pct"/>
          </w:tcPr>
          <w:p w14:paraId="1CF1179D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190/281 (68)</w:t>
            </w:r>
          </w:p>
        </w:tc>
        <w:tc>
          <w:tcPr>
            <w:tcW w:w="744" w:type="pct"/>
          </w:tcPr>
          <w:p w14:paraId="6823998E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165/232 (71)</w:t>
            </w:r>
          </w:p>
        </w:tc>
        <w:tc>
          <w:tcPr>
            <w:tcW w:w="811" w:type="pct"/>
          </w:tcPr>
          <w:p w14:paraId="38C6CD47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4.1 (-3.4 to 11.7)</w:t>
            </w:r>
          </w:p>
        </w:tc>
        <w:tc>
          <w:tcPr>
            <w:tcW w:w="474" w:type="pct"/>
          </w:tcPr>
          <w:p w14:paraId="3DBDFDD3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.28</w:t>
            </w:r>
          </w:p>
        </w:tc>
        <w:tc>
          <w:tcPr>
            <w:tcW w:w="811" w:type="pct"/>
          </w:tcPr>
          <w:p w14:paraId="3CBF6A1C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3.9 (-2.9 to 10.8)</w:t>
            </w:r>
          </w:p>
        </w:tc>
        <w:tc>
          <w:tcPr>
            <w:tcW w:w="473" w:type="pct"/>
          </w:tcPr>
          <w:p w14:paraId="16568193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.26</w:t>
            </w:r>
          </w:p>
        </w:tc>
      </w:tr>
      <w:tr w:rsidR="009B2809" w:rsidRPr="006347CC" w14:paraId="79C16EAF" w14:textId="77777777" w:rsidTr="00D46F48">
        <w:trPr>
          <w:trHeight w:val="20"/>
        </w:trPr>
        <w:tc>
          <w:tcPr>
            <w:tcW w:w="944" w:type="pct"/>
            <w:vAlign w:val="center"/>
          </w:tcPr>
          <w:p w14:paraId="48369A61" w14:textId="77777777" w:rsidR="009B2809" w:rsidRPr="006347CC" w:rsidRDefault="009B2809" w:rsidP="00D46F48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val="en-US" w:eastAsia="da-DK"/>
              </w:rPr>
            </w:pPr>
            <w:r w:rsidRPr="006347CC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val="en-US" w:eastAsia="da-DK"/>
              </w:rPr>
              <w:t>GOSE complete recovery (8) at 6 months</w:t>
            </w:r>
          </w:p>
        </w:tc>
        <w:tc>
          <w:tcPr>
            <w:tcW w:w="743" w:type="pct"/>
          </w:tcPr>
          <w:p w14:paraId="71CD57FF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46/281 (16)</w:t>
            </w:r>
          </w:p>
        </w:tc>
        <w:tc>
          <w:tcPr>
            <w:tcW w:w="744" w:type="pct"/>
          </w:tcPr>
          <w:p w14:paraId="6DB5CCE4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34/232 (15)</w:t>
            </w:r>
          </w:p>
        </w:tc>
        <w:tc>
          <w:tcPr>
            <w:tcW w:w="811" w:type="pct"/>
          </w:tcPr>
          <w:p w14:paraId="72823F63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-2.6 (-8.5 to 3.2)</w:t>
            </w:r>
          </w:p>
        </w:tc>
        <w:tc>
          <w:tcPr>
            <w:tcW w:w="474" w:type="pct"/>
          </w:tcPr>
          <w:p w14:paraId="09C69CD9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.38</w:t>
            </w:r>
          </w:p>
        </w:tc>
        <w:tc>
          <w:tcPr>
            <w:tcW w:w="811" w:type="pct"/>
          </w:tcPr>
          <w:p w14:paraId="237BE941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-1.2 (-7.2 to 4.8)</w:t>
            </w:r>
          </w:p>
        </w:tc>
        <w:tc>
          <w:tcPr>
            <w:tcW w:w="473" w:type="pct"/>
          </w:tcPr>
          <w:p w14:paraId="63B033D5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.69</w:t>
            </w:r>
          </w:p>
        </w:tc>
      </w:tr>
      <w:tr w:rsidR="009B2809" w:rsidRPr="006347CC" w14:paraId="1D795EF5" w14:textId="77777777" w:rsidTr="00D46F48">
        <w:trPr>
          <w:trHeight w:val="20"/>
        </w:trPr>
        <w:tc>
          <w:tcPr>
            <w:tcW w:w="944" w:type="pct"/>
            <w:vAlign w:val="center"/>
          </w:tcPr>
          <w:p w14:paraId="0CC01687" w14:textId="77777777" w:rsidR="009B2809" w:rsidRPr="006347CC" w:rsidRDefault="009B2809" w:rsidP="00D46F48">
            <w:pPr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val="en-US" w:eastAsia="da-DK"/>
              </w:rPr>
            </w:pPr>
            <w:r w:rsidRPr="006347CC"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val="en-US" w:eastAsia="da-DK"/>
              </w:rPr>
              <w:t>GOSE complete recovery (8) at 12 months</w:t>
            </w:r>
          </w:p>
        </w:tc>
        <w:tc>
          <w:tcPr>
            <w:tcW w:w="743" w:type="pct"/>
          </w:tcPr>
          <w:p w14:paraId="402D02B3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61/280 (22)</w:t>
            </w:r>
          </w:p>
        </w:tc>
        <w:tc>
          <w:tcPr>
            <w:tcW w:w="744" w:type="pct"/>
          </w:tcPr>
          <w:p w14:paraId="19CD55B6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41/231 (18)</w:t>
            </w:r>
          </w:p>
        </w:tc>
        <w:tc>
          <w:tcPr>
            <w:tcW w:w="811" w:type="pct"/>
          </w:tcPr>
          <w:p w14:paraId="755DE1EF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-4.2 (-10.9 to 2.5)</w:t>
            </w:r>
          </w:p>
        </w:tc>
        <w:tc>
          <w:tcPr>
            <w:tcW w:w="474" w:type="pct"/>
          </w:tcPr>
          <w:p w14:paraId="2DB17E38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.22</w:t>
            </w:r>
          </w:p>
        </w:tc>
        <w:tc>
          <w:tcPr>
            <w:tcW w:w="811" w:type="pct"/>
          </w:tcPr>
          <w:p w14:paraId="0D43EF82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-4.0 (-10.7 to 2.7)</w:t>
            </w:r>
          </w:p>
        </w:tc>
        <w:tc>
          <w:tcPr>
            <w:tcW w:w="473" w:type="pct"/>
          </w:tcPr>
          <w:p w14:paraId="0247F472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.25</w:t>
            </w:r>
          </w:p>
        </w:tc>
      </w:tr>
      <w:tr w:rsidR="009B2809" w:rsidRPr="006347CC" w14:paraId="48F018E9" w14:textId="77777777" w:rsidTr="00D46F48">
        <w:trPr>
          <w:trHeight w:val="20"/>
        </w:trPr>
        <w:tc>
          <w:tcPr>
            <w:tcW w:w="944" w:type="pct"/>
            <w:vAlign w:val="center"/>
          </w:tcPr>
          <w:p w14:paraId="543C908E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Death at 6 months</w:t>
            </w:r>
          </w:p>
        </w:tc>
        <w:tc>
          <w:tcPr>
            <w:tcW w:w="743" w:type="pct"/>
          </w:tcPr>
          <w:p w14:paraId="3282873B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49/322 (15)</w:t>
            </w:r>
          </w:p>
        </w:tc>
        <w:tc>
          <w:tcPr>
            <w:tcW w:w="744" w:type="pct"/>
          </w:tcPr>
          <w:p w14:paraId="548AAEA2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38/263 (14)</w:t>
            </w:r>
          </w:p>
        </w:tc>
        <w:tc>
          <w:tcPr>
            <w:tcW w:w="811" w:type="pct"/>
          </w:tcPr>
          <w:p w14:paraId="675A72A3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-1.3 (-6.3 to 3.7)</w:t>
            </w:r>
          </w:p>
        </w:tc>
        <w:tc>
          <w:tcPr>
            <w:tcW w:w="474" w:type="pct"/>
          </w:tcPr>
          <w:p w14:paraId="13ECC5BD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.62</w:t>
            </w:r>
          </w:p>
        </w:tc>
        <w:tc>
          <w:tcPr>
            <w:tcW w:w="811" w:type="pct"/>
          </w:tcPr>
          <w:p w14:paraId="7D6A940F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-1.0 (-5.9 to 3.9)</w:t>
            </w:r>
          </w:p>
        </w:tc>
        <w:tc>
          <w:tcPr>
            <w:tcW w:w="473" w:type="pct"/>
          </w:tcPr>
          <w:p w14:paraId="7CBF10B0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.62</w:t>
            </w:r>
          </w:p>
        </w:tc>
      </w:tr>
      <w:tr w:rsidR="009B2809" w:rsidRPr="006347CC" w14:paraId="58CCD2A9" w14:textId="77777777" w:rsidTr="00D46F48">
        <w:trPr>
          <w:trHeight w:val="20"/>
        </w:trPr>
        <w:tc>
          <w:tcPr>
            <w:tcW w:w="944" w:type="pct"/>
            <w:vAlign w:val="center"/>
          </w:tcPr>
          <w:p w14:paraId="3DF88EEB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Death at 12 months</w:t>
            </w:r>
          </w:p>
        </w:tc>
        <w:tc>
          <w:tcPr>
            <w:tcW w:w="743" w:type="pct"/>
          </w:tcPr>
          <w:p w14:paraId="038F92E9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57/320 (18)</w:t>
            </w:r>
          </w:p>
        </w:tc>
        <w:tc>
          <w:tcPr>
            <w:tcW w:w="744" w:type="pct"/>
          </w:tcPr>
          <w:p w14:paraId="36039756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40/262 (15)</w:t>
            </w:r>
          </w:p>
        </w:tc>
        <w:tc>
          <w:tcPr>
            <w:tcW w:w="811" w:type="pct"/>
          </w:tcPr>
          <w:p w14:paraId="42D19BE7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-2.6 (-8.0 to 2.8)</w:t>
            </w:r>
          </w:p>
        </w:tc>
        <w:tc>
          <w:tcPr>
            <w:tcW w:w="474" w:type="pct"/>
          </w:tcPr>
          <w:p w14:paraId="7E56C8B4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.35</w:t>
            </w:r>
          </w:p>
        </w:tc>
        <w:tc>
          <w:tcPr>
            <w:tcW w:w="811" w:type="pct"/>
          </w:tcPr>
          <w:p w14:paraId="625E8EC9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-2.7 (-8.0 to 2.5)</w:t>
            </w:r>
          </w:p>
        </w:tc>
        <w:tc>
          <w:tcPr>
            <w:tcW w:w="473" w:type="pct"/>
          </w:tcPr>
          <w:p w14:paraId="6098965A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.31</w:t>
            </w:r>
          </w:p>
        </w:tc>
      </w:tr>
      <w:tr w:rsidR="009B2809" w:rsidRPr="006347CC" w14:paraId="33BE95A4" w14:textId="77777777" w:rsidTr="00D46F48">
        <w:trPr>
          <w:trHeight w:val="20"/>
        </w:trPr>
        <w:tc>
          <w:tcPr>
            <w:tcW w:w="944" w:type="pct"/>
            <w:vAlign w:val="center"/>
          </w:tcPr>
          <w:p w14:paraId="44BA80AD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743" w:type="pct"/>
            <w:vAlign w:val="center"/>
          </w:tcPr>
          <w:p w14:paraId="41E73A2D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Restrictive Oxygen Group, Median [IQR]</w:t>
            </w:r>
          </w:p>
        </w:tc>
        <w:tc>
          <w:tcPr>
            <w:tcW w:w="744" w:type="pct"/>
            <w:vAlign w:val="center"/>
          </w:tcPr>
          <w:p w14:paraId="5EAF9535" w14:textId="77777777" w:rsidR="009B2809" w:rsidRPr="006347CC" w:rsidRDefault="009B2809" w:rsidP="00D46F48">
            <w:pPr>
              <w:spacing w:line="200" w:lineRule="atLeast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Liberal oxygen group, Median [IQR]</w:t>
            </w:r>
          </w:p>
        </w:tc>
        <w:tc>
          <w:tcPr>
            <w:tcW w:w="811" w:type="pct"/>
            <w:vAlign w:val="center"/>
          </w:tcPr>
          <w:p w14:paraId="10FBE953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Mean Difference, (95% CI)</w:t>
            </w:r>
          </w:p>
        </w:tc>
        <w:tc>
          <w:tcPr>
            <w:tcW w:w="474" w:type="pct"/>
            <w:vAlign w:val="center"/>
          </w:tcPr>
          <w:p w14:paraId="2B32CB2D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</w:t>
            </w: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811" w:type="pct"/>
            <w:vAlign w:val="center"/>
          </w:tcPr>
          <w:p w14:paraId="56A955C3" w14:textId="77777777" w:rsidR="009B2809" w:rsidRPr="006347CC" w:rsidRDefault="009B2809" w:rsidP="00D46F48">
            <w:pPr>
              <w:spacing w:beforeLines="40" w:before="96" w:afterLines="40" w:after="96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>Adjusted mean difference (95% CI)</w:t>
            </w:r>
            <w:r w:rsidRPr="006347CC">
              <w:rPr>
                <w:rFonts w:ascii="Helvetica" w:hAnsi="Helvetica" w:cs="Helvetica"/>
                <w:b/>
                <w:bCs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473" w:type="pct"/>
            <w:vAlign w:val="center"/>
          </w:tcPr>
          <w:p w14:paraId="394C0091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</w:t>
            </w:r>
            <w:r w:rsidRPr="006347CC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9B2809" w:rsidRPr="006347CC" w14:paraId="036FE3CF" w14:textId="77777777" w:rsidTr="00D46F48">
        <w:trPr>
          <w:trHeight w:val="20"/>
        </w:trPr>
        <w:tc>
          <w:tcPr>
            <w:tcW w:w="944" w:type="pct"/>
            <w:vAlign w:val="center"/>
          </w:tcPr>
          <w:p w14:paraId="317F7BB0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GOSE non-dichotomized at 6 months</w:t>
            </w:r>
          </w:p>
        </w:tc>
        <w:tc>
          <w:tcPr>
            <w:tcW w:w="743" w:type="pct"/>
          </w:tcPr>
          <w:p w14:paraId="02B8D0E1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5 [4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7]</w:t>
            </w:r>
          </w:p>
        </w:tc>
        <w:tc>
          <w:tcPr>
            <w:tcW w:w="744" w:type="pct"/>
          </w:tcPr>
          <w:p w14:paraId="0731F539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5 [4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7]</w:t>
            </w:r>
          </w:p>
        </w:tc>
        <w:tc>
          <w:tcPr>
            <w:tcW w:w="811" w:type="pct"/>
          </w:tcPr>
          <w:p w14:paraId="22994901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0.06 (-0.32 to 0.43)</w:t>
            </w:r>
          </w:p>
        </w:tc>
        <w:tc>
          <w:tcPr>
            <w:tcW w:w="474" w:type="pct"/>
          </w:tcPr>
          <w:p w14:paraId="6D9265CC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.76</w:t>
            </w:r>
          </w:p>
        </w:tc>
        <w:tc>
          <w:tcPr>
            <w:tcW w:w="811" w:type="pct"/>
          </w:tcPr>
          <w:p w14:paraId="245827C7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0.07 (-0.25 to 0.40)</w:t>
            </w:r>
          </w:p>
        </w:tc>
        <w:tc>
          <w:tcPr>
            <w:tcW w:w="473" w:type="pct"/>
          </w:tcPr>
          <w:p w14:paraId="64FAC54C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.66</w:t>
            </w:r>
          </w:p>
        </w:tc>
      </w:tr>
      <w:tr w:rsidR="009B2809" w:rsidRPr="006347CC" w14:paraId="57589D59" w14:textId="77777777" w:rsidTr="00D46F48">
        <w:trPr>
          <w:trHeight w:val="20"/>
        </w:trPr>
        <w:tc>
          <w:tcPr>
            <w:tcW w:w="944" w:type="pct"/>
            <w:vAlign w:val="center"/>
          </w:tcPr>
          <w:p w14:paraId="76831E97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GOSE non-dichotomized at 12 months</w:t>
            </w:r>
          </w:p>
        </w:tc>
        <w:tc>
          <w:tcPr>
            <w:tcW w:w="743" w:type="pct"/>
          </w:tcPr>
          <w:p w14:paraId="1F396F02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6 [4–7]</w:t>
            </w:r>
          </w:p>
        </w:tc>
        <w:tc>
          <w:tcPr>
            <w:tcW w:w="744" w:type="pct"/>
          </w:tcPr>
          <w:p w14:paraId="796465C8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6 [4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7]</w:t>
            </w:r>
          </w:p>
        </w:tc>
        <w:tc>
          <w:tcPr>
            <w:tcW w:w="811" w:type="pct"/>
          </w:tcPr>
          <w:p w14:paraId="1BA1A37E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0.17 (-0.23 to 0.58)</w:t>
            </w:r>
          </w:p>
        </w:tc>
        <w:tc>
          <w:tcPr>
            <w:tcW w:w="474" w:type="pct"/>
          </w:tcPr>
          <w:p w14:paraId="2309D9BD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.40</w:t>
            </w:r>
          </w:p>
        </w:tc>
        <w:tc>
          <w:tcPr>
            <w:tcW w:w="811" w:type="pct"/>
          </w:tcPr>
          <w:p w14:paraId="4BF2EDA5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0.17 (-0.19 to 0.52)</w:t>
            </w:r>
          </w:p>
        </w:tc>
        <w:tc>
          <w:tcPr>
            <w:tcW w:w="473" w:type="pct"/>
          </w:tcPr>
          <w:p w14:paraId="41939F72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.36</w:t>
            </w:r>
          </w:p>
        </w:tc>
      </w:tr>
      <w:tr w:rsidR="009B2809" w:rsidRPr="006347CC" w14:paraId="150482D7" w14:textId="77777777" w:rsidTr="00D46F48">
        <w:trPr>
          <w:trHeight w:val="20"/>
        </w:trPr>
        <w:tc>
          <w:tcPr>
            <w:tcW w:w="944" w:type="pct"/>
            <w:vAlign w:val="center"/>
          </w:tcPr>
          <w:p w14:paraId="7D993D5D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EQ-5D-5L</w:t>
            </w:r>
            <w:r w:rsidRPr="006347CC">
              <w:rPr>
                <w:rFonts w:ascii="Helvetica" w:hAnsi="Helvetica" w:cs="Helvetica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 xml:space="preserve"> index value at 6 months after trauma</w:t>
            </w:r>
          </w:p>
        </w:tc>
        <w:tc>
          <w:tcPr>
            <w:tcW w:w="743" w:type="pct"/>
          </w:tcPr>
          <w:p w14:paraId="7AD41769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0.85 [0.60–0.95]</w:t>
            </w:r>
          </w:p>
        </w:tc>
        <w:tc>
          <w:tcPr>
            <w:tcW w:w="744" w:type="pct"/>
          </w:tcPr>
          <w:p w14:paraId="35931673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0.82 [0.58–0.95]</w:t>
            </w:r>
          </w:p>
        </w:tc>
        <w:tc>
          <w:tcPr>
            <w:tcW w:w="811" w:type="pct"/>
          </w:tcPr>
          <w:p w14:paraId="66D104A1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-0.03 (-0.09 to 0.03)</w:t>
            </w:r>
          </w:p>
        </w:tc>
        <w:tc>
          <w:tcPr>
            <w:tcW w:w="474" w:type="pct"/>
          </w:tcPr>
          <w:p w14:paraId="7BAB7FEF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.35</w:t>
            </w:r>
          </w:p>
        </w:tc>
        <w:tc>
          <w:tcPr>
            <w:tcW w:w="811" w:type="pct"/>
          </w:tcPr>
          <w:p w14:paraId="7D57DFCB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-0.02 (-0.08 to 0.04)</w:t>
            </w:r>
          </w:p>
        </w:tc>
        <w:tc>
          <w:tcPr>
            <w:tcW w:w="473" w:type="pct"/>
          </w:tcPr>
          <w:p w14:paraId="2F316536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.57</w:t>
            </w:r>
          </w:p>
        </w:tc>
      </w:tr>
      <w:tr w:rsidR="009B2809" w:rsidRPr="006347CC" w14:paraId="18D39F11" w14:textId="77777777" w:rsidTr="00D46F48">
        <w:trPr>
          <w:trHeight w:val="20"/>
        </w:trPr>
        <w:tc>
          <w:tcPr>
            <w:tcW w:w="944" w:type="pct"/>
            <w:vAlign w:val="center"/>
          </w:tcPr>
          <w:p w14:paraId="691C2AC0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EQ-5D-5L</w:t>
            </w:r>
            <w:r w:rsidRPr="006347CC">
              <w:rPr>
                <w:rFonts w:ascii="Helvetica" w:hAnsi="Helvetica" w:cs="Helvetica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 xml:space="preserve"> index value at 12 months after trauma</w:t>
            </w:r>
          </w:p>
        </w:tc>
        <w:tc>
          <w:tcPr>
            <w:tcW w:w="743" w:type="pct"/>
          </w:tcPr>
          <w:p w14:paraId="78A0EDE0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0.88 [0.64–1.00]</w:t>
            </w:r>
          </w:p>
        </w:tc>
        <w:tc>
          <w:tcPr>
            <w:tcW w:w="744" w:type="pct"/>
          </w:tcPr>
          <w:p w14:paraId="50D29A51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0.84 [0.60–0.95]</w:t>
            </w:r>
          </w:p>
        </w:tc>
        <w:tc>
          <w:tcPr>
            <w:tcW w:w="811" w:type="pct"/>
          </w:tcPr>
          <w:p w14:paraId="3A76FDA7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-0.03 (-0.09 to 0.03)</w:t>
            </w:r>
          </w:p>
        </w:tc>
        <w:tc>
          <w:tcPr>
            <w:tcW w:w="474" w:type="pct"/>
          </w:tcPr>
          <w:p w14:paraId="01EDBC8C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.34</w:t>
            </w:r>
          </w:p>
        </w:tc>
        <w:tc>
          <w:tcPr>
            <w:tcW w:w="811" w:type="pct"/>
          </w:tcPr>
          <w:p w14:paraId="18670846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-0.02 (-0.08 to 0.04)</w:t>
            </w:r>
          </w:p>
        </w:tc>
        <w:tc>
          <w:tcPr>
            <w:tcW w:w="473" w:type="pct"/>
          </w:tcPr>
          <w:p w14:paraId="43B52EDD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.53</w:t>
            </w:r>
          </w:p>
        </w:tc>
      </w:tr>
      <w:tr w:rsidR="009B2809" w:rsidRPr="006347CC" w14:paraId="7572F38A" w14:textId="77777777" w:rsidTr="00D46F48">
        <w:trPr>
          <w:trHeight w:val="20"/>
        </w:trPr>
        <w:tc>
          <w:tcPr>
            <w:tcW w:w="944" w:type="pct"/>
            <w:vAlign w:val="center"/>
          </w:tcPr>
          <w:p w14:paraId="098A0D4C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EQ VAS</w:t>
            </w:r>
            <w:r w:rsidRPr="006347CC">
              <w:rPr>
                <w:rFonts w:ascii="Helvetica" w:hAnsi="Helvetica" w:cs="Helvetica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 xml:space="preserve"> at 6 months after trauma</w:t>
            </w:r>
          </w:p>
        </w:tc>
        <w:tc>
          <w:tcPr>
            <w:tcW w:w="743" w:type="pct"/>
          </w:tcPr>
          <w:p w14:paraId="102CBFFB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75 [50–85]</w:t>
            </w:r>
          </w:p>
        </w:tc>
        <w:tc>
          <w:tcPr>
            <w:tcW w:w="744" w:type="pct"/>
          </w:tcPr>
          <w:p w14:paraId="1FCDA979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70 [50–85]</w:t>
            </w:r>
          </w:p>
        </w:tc>
        <w:tc>
          <w:tcPr>
            <w:tcW w:w="811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</w:tblGrid>
            <w:tr w:rsidR="009B2809" w:rsidRPr="006347CC" w14:paraId="6EA9206F" w14:textId="77777777" w:rsidTr="00D46F4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EB3DA8" w14:textId="77777777" w:rsidR="009B2809" w:rsidRPr="006347CC" w:rsidRDefault="009B2809" w:rsidP="00D46F48">
                  <w:pPr>
                    <w:spacing w:after="0" w:line="280" w:lineRule="atLeast"/>
                    <w:rPr>
                      <w:rFonts w:ascii="Helvetica" w:hAnsi="Helvetica" w:cs="Helvetica"/>
                      <w:color w:val="000000" w:themeColor="text1"/>
                      <w:sz w:val="20"/>
                      <w:szCs w:val="20"/>
                    </w:rPr>
                  </w:pPr>
                  <w:r w:rsidRPr="006347CC">
                    <w:rPr>
                      <w:rFonts w:ascii="Helvetica" w:hAnsi="Helvetica" w:cs="Helvetica"/>
                      <w:color w:val="000000" w:themeColor="text1"/>
                      <w:sz w:val="20"/>
                      <w:szCs w:val="20"/>
                    </w:rPr>
                    <w:t>–2.1 (–6.4 to 2.2)</w:t>
                  </w:r>
                </w:p>
              </w:tc>
            </w:tr>
          </w:tbl>
          <w:p w14:paraId="694E2A53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4" w:type="pct"/>
          </w:tcPr>
          <w:p w14:paraId="76BA907C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.34</w:t>
            </w:r>
          </w:p>
        </w:tc>
        <w:tc>
          <w:tcPr>
            <w:tcW w:w="811" w:type="pct"/>
          </w:tcPr>
          <w:p w14:paraId="6E45D92F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−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–1.6 (–5.8 to 2.5)</w:t>
            </w:r>
          </w:p>
        </w:tc>
        <w:tc>
          <w:tcPr>
            <w:tcW w:w="473" w:type="pct"/>
          </w:tcPr>
          <w:p w14:paraId="08A9CEE6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.44</w:t>
            </w:r>
          </w:p>
        </w:tc>
      </w:tr>
      <w:tr w:rsidR="009B2809" w:rsidRPr="006347CC" w14:paraId="7CDD1727" w14:textId="77777777" w:rsidTr="00D46F48">
        <w:trPr>
          <w:trHeight w:val="20"/>
        </w:trPr>
        <w:tc>
          <w:tcPr>
            <w:tcW w:w="944" w:type="pct"/>
            <w:vAlign w:val="center"/>
          </w:tcPr>
          <w:p w14:paraId="55F5F8DB" w14:textId="77777777" w:rsidR="009B2809" w:rsidRPr="006347CC" w:rsidRDefault="009B2809" w:rsidP="00D46F48">
            <w:pPr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EQ VAS</w:t>
            </w:r>
            <w:r w:rsidRPr="006347CC">
              <w:rPr>
                <w:rFonts w:ascii="Helvetica" w:hAnsi="Helvetica" w:cs="Helvetica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 xml:space="preserve"> at 12 months after trauma</w:t>
            </w:r>
          </w:p>
        </w:tc>
        <w:tc>
          <w:tcPr>
            <w:tcW w:w="743" w:type="pct"/>
          </w:tcPr>
          <w:p w14:paraId="5858CFFC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75 [50–90]</w:t>
            </w:r>
          </w:p>
        </w:tc>
        <w:tc>
          <w:tcPr>
            <w:tcW w:w="744" w:type="pct"/>
          </w:tcPr>
          <w:p w14:paraId="622FDBFF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70 [50–85]</w:t>
            </w:r>
          </w:p>
        </w:tc>
        <w:tc>
          <w:tcPr>
            <w:tcW w:w="811" w:type="pct"/>
          </w:tcPr>
          <w:p w14:paraId="6117C397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–2.2 (–6.6 to 2.2)</w:t>
            </w:r>
          </w:p>
        </w:tc>
        <w:tc>
          <w:tcPr>
            <w:tcW w:w="474" w:type="pct"/>
          </w:tcPr>
          <w:p w14:paraId="67B75EA8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.33</w:t>
            </w:r>
          </w:p>
        </w:tc>
        <w:tc>
          <w:tcPr>
            <w:tcW w:w="811" w:type="pct"/>
          </w:tcPr>
          <w:p w14:paraId="00B734F7" w14:textId="77777777" w:rsidR="009B2809" w:rsidRPr="006347CC" w:rsidRDefault="009B2809" w:rsidP="00D46F48">
            <w:pPr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  <w:t>–1.6 (–5.9 to 2.7)</w:t>
            </w:r>
          </w:p>
        </w:tc>
        <w:tc>
          <w:tcPr>
            <w:tcW w:w="473" w:type="pct"/>
          </w:tcPr>
          <w:p w14:paraId="0F77AAB8" w14:textId="77777777" w:rsidR="009B2809" w:rsidRPr="006347CC" w:rsidRDefault="009B2809" w:rsidP="00D46F48">
            <w:pPr>
              <w:spacing w:after="80" w:line="240" w:lineRule="auto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  <w:lang w:val="en-US"/>
              </w:rPr>
            </w:pPr>
            <w:r w:rsidRPr="006347C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 = .47</w:t>
            </w:r>
          </w:p>
        </w:tc>
      </w:tr>
    </w:tbl>
    <w:p w14:paraId="48CE355B" w14:textId="77777777" w:rsidR="009B2809" w:rsidRPr="006347CC" w:rsidRDefault="009B2809" w:rsidP="009B2809">
      <w:pPr>
        <w:rPr>
          <w:rFonts w:ascii="Helvetica" w:hAnsi="Helvetica" w:cs="Helvetica"/>
          <w:bCs/>
          <w:color w:val="000000" w:themeColor="text1"/>
          <w:sz w:val="20"/>
          <w:szCs w:val="20"/>
        </w:rPr>
      </w:pPr>
    </w:p>
    <w:p w14:paraId="29E1C1CC" w14:textId="77777777" w:rsidR="009B2809" w:rsidRPr="006347CC" w:rsidRDefault="009B2809" w:rsidP="009B2809">
      <w:pPr>
        <w:rPr>
          <w:rFonts w:ascii="Helvetica" w:hAnsi="Helvetica" w:cs="Helvetica"/>
          <w:i/>
          <w:iCs/>
          <w:color w:val="000000" w:themeColor="text1"/>
          <w:sz w:val="20"/>
          <w:szCs w:val="20"/>
          <w:lang w:val="en-US"/>
        </w:rPr>
      </w:pPr>
      <w:r w:rsidRPr="006347CC">
        <w:rPr>
          <w:rFonts w:ascii="Helvetica" w:hAnsi="Helvetica" w:cs="Helvetica"/>
          <w:bCs/>
          <w:i/>
          <w:iCs/>
          <w:color w:val="000000" w:themeColor="text1"/>
          <w:sz w:val="20"/>
          <w:szCs w:val="20"/>
          <w:lang w:val="en-US"/>
        </w:rPr>
        <w:t>Per protocol analyses of functional outcomes, mortality, and health-related quality of life assessed in trauma patients assigned to either a restrictive or liberal oxygen strategy for the first 8 hours after randomization. Participants were randomized in the prehospital setting or upon arrival in the trauma resuscitation room and were followed for one year after randomization.</w:t>
      </w:r>
      <w:r w:rsidRPr="006347CC">
        <w:rPr>
          <w:rFonts w:ascii="Helvetica" w:hAnsi="Helvetica" w:cs="Helvetica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6347CC">
        <w:rPr>
          <w:rFonts w:ascii="Helvetica" w:hAnsi="Helvetica" w:cs="Helvetica"/>
          <w:i/>
          <w:iCs/>
          <w:color w:val="000000" w:themeColor="text1"/>
          <w:sz w:val="20"/>
          <w:szCs w:val="20"/>
          <w:lang w:val="en-US"/>
        </w:rPr>
        <w:br/>
        <w:t xml:space="preserve">The per protocol analyses include participants with no major protocol violations according to the </w:t>
      </w:r>
      <w:r w:rsidRPr="006347CC">
        <w:rPr>
          <w:rFonts w:ascii="Helvetica" w:hAnsi="Helvetica" w:cs="Helvetica"/>
          <w:i/>
          <w:iCs/>
          <w:color w:val="000000" w:themeColor="text1"/>
          <w:sz w:val="20"/>
          <w:szCs w:val="20"/>
          <w:lang w:val="en-US"/>
        </w:rPr>
        <w:lastRenderedPageBreak/>
        <w:t>definitions in the TRAUMOX2 protocol (Baekgaard J, Arleth T, Siersma V, et al. Comparing restrictive versus liberal oxygen strategies for trauma patients — the TRAUMOX2 trial: protocol for a randomized clinical trial. BMJ Open 2022;12:e064047. doi: 10.1136/bmjopen-2022-064047)</w:t>
      </w:r>
    </w:p>
    <w:p w14:paraId="54D46B80" w14:textId="77777777" w:rsidR="009B2809" w:rsidRPr="006347CC" w:rsidRDefault="009B2809" w:rsidP="009B2809">
      <w:pPr>
        <w:rPr>
          <w:rFonts w:ascii="Helvetica" w:hAnsi="Helvetica" w:cs="Helvetica"/>
          <w:color w:val="000000" w:themeColor="text1"/>
          <w:sz w:val="20"/>
          <w:szCs w:val="20"/>
          <w:lang w:val="en-US"/>
        </w:rPr>
      </w:pPr>
    </w:p>
    <w:p w14:paraId="742CF6C5" w14:textId="77777777" w:rsidR="009B2809" w:rsidRPr="006347CC" w:rsidRDefault="009B2809" w:rsidP="009B2809">
      <w:pPr>
        <w:rPr>
          <w:rFonts w:ascii="Helvetica" w:hAnsi="Helvetica" w:cs="Helvetica"/>
          <w:color w:val="000000" w:themeColor="text1"/>
          <w:sz w:val="20"/>
          <w:szCs w:val="20"/>
          <w:lang w:val="en-US"/>
        </w:rPr>
      </w:pPr>
      <w:r w:rsidRPr="006347CC">
        <w:rPr>
          <w:rFonts w:ascii="Helvetica" w:hAnsi="Helvetica" w:cs="Helvetica"/>
          <w:color w:val="000000" w:themeColor="text1"/>
          <w:sz w:val="20"/>
          <w:szCs w:val="20"/>
          <w:lang w:val="en-US"/>
        </w:rPr>
        <w:t>Abbreviations: GOSE, Glasgow Outcome Scale Extended</w:t>
      </w:r>
    </w:p>
    <w:p w14:paraId="7C03EBA2" w14:textId="77777777" w:rsidR="009B2809" w:rsidRPr="006347CC" w:rsidRDefault="009B2809" w:rsidP="009B2809">
      <w:pPr>
        <w:spacing w:after="0"/>
        <w:rPr>
          <w:rFonts w:ascii="Helvetica" w:hAnsi="Helvetica" w:cs="Helvetica"/>
          <w:i/>
          <w:iCs/>
          <w:color w:val="000000" w:themeColor="text1"/>
          <w:sz w:val="20"/>
          <w:szCs w:val="20"/>
          <w:vertAlign w:val="superscript"/>
          <w:lang w:val="en-US"/>
        </w:rPr>
      </w:pPr>
    </w:p>
    <w:p w14:paraId="3D73A0A9" w14:textId="77777777" w:rsidR="009B2809" w:rsidRPr="006347CC" w:rsidRDefault="009B2809" w:rsidP="009B2809">
      <w:pPr>
        <w:spacing w:after="0"/>
        <w:rPr>
          <w:rFonts w:ascii="Helvetica" w:hAnsi="Helvetica" w:cs="Helvetica"/>
          <w:color w:val="000000" w:themeColor="text1"/>
          <w:sz w:val="20"/>
          <w:szCs w:val="20"/>
          <w:lang w:val="en-US"/>
        </w:rPr>
      </w:pPr>
      <w:r w:rsidRPr="006347CC">
        <w:rPr>
          <w:rFonts w:ascii="Helvetica" w:hAnsi="Helvetica" w:cs="Helvetica"/>
          <w:i/>
          <w:iCs/>
          <w:color w:val="000000" w:themeColor="text1"/>
          <w:sz w:val="20"/>
          <w:szCs w:val="20"/>
          <w:vertAlign w:val="superscript"/>
          <w:lang w:val="en-US"/>
        </w:rPr>
        <w:t>a</w:t>
      </w:r>
      <w:r w:rsidRPr="006347CC">
        <w:rPr>
          <w:rFonts w:ascii="Helvetica" w:hAnsi="Helvetica" w:cs="Helvetica"/>
          <w:color w:val="000000" w:themeColor="text1"/>
          <w:sz w:val="20"/>
          <w:szCs w:val="20"/>
          <w:lang w:val="en-US"/>
        </w:rPr>
        <w:t xml:space="preserve">Adjusted for the stratification variables (site of inclusion and status of endotracheal intubation upon inclusion) and the following variables: age, sex, Injury Severity Scale (ISS) score, predominant type of injury, and first recorded Glasgow Coma Scale (GCS) score. </w:t>
      </w:r>
    </w:p>
    <w:p w14:paraId="17E74226" w14:textId="77777777" w:rsidR="009B2809" w:rsidRPr="006347CC" w:rsidRDefault="009B2809" w:rsidP="009B2809">
      <w:pPr>
        <w:spacing w:after="0"/>
        <w:rPr>
          <w:rFonts w:ascii="Helvetica" w:hAnsi="Helvetica" w:cs="Helvetica"/>
          <w:i/>
          <w:iCs/>
          <w:color w:val="000000" w:themeColor="text1"/>
          <w:sz w:val="20"/>
          <w:szCs w:val="20"/>
          <w:vertAlign w:val="superscript"/>
          <w:lang w:val="en-US"/>
        </w:rPr>
      </w:pPr>
      <w:r w:rsidRPr="006347CC">
        <w:rPr>
          <w:rFonts w:ascii="Helvetica" w:hAnsi="Helvetica" w:cs="Helvetica"/>
          <w:i/>
          <w:iCs/>
          <w:color w:val="000000" w:themeColor="text1"/>
          <w:sz w:val="20"/>
          <w:szCs w:val="20"/>
          <w:vertAlign w:val="superscript"/>
          <w:lang w:val="en-US"/>
        </w:rPr>
        <w:t>b</w:t>
      </w:r>
      <w:r w:rsidRPr="006347CC">
        <w:rPr>
          <w:rFonts w:ascii="Helvetica" w:hAnsi="Helvetica" w:cs="Helvetica"/>
          <w:color w:val="000000" w:themeColor="text1"/>
          <w:sz w:val="20"/>
          <w:szCs w:val="20"/>
          <w:lang w:val="en-US"/>
        </w:rPr>
        <w:t xml:space="preserve"> EQ-5D-5L is a generic instrument that reflects the health-related quality of life. The questionnaire contains five domains, and each domain has five levels of response: no problems, slight problems, moderate problems, severe problems, extreme problems/unable to.</w:t>
      </w:r>
    </w:p>
    <w:p w14:paraId="1DE15B9D" w14:textId="77777777" w:rsidR="009B2809" w:rsidRPr="006347CC" w:rsidRDefault="009B2809" w:rsidP="009B2809">
      <w:pPr>
        <w:spacing w:after="0"/>
        <w:rPr>
          <w:rFonts w:ascii="Helvetica" w:hAnsi="Helvetica" w:cs="Helvetica"/>
          <w:color w:val="000000" w:themeColor="text1"/>
          <w:sz w:val="20"/>
          <w:szCs w:val="20"/>
          <w:lang w:val="en-US"/>
        </w:rPr>
      </w:pPr>
      <w:r w:rsidRPr="006347CC">
        <w:rPr>
          <w:rFonts w:ascii="Helvetica" w:hAnsi="Helvetica" w:cs="Helvetica"/>
          <w:i/>
          <w:iCs/>
          <w:color w:val="000000" w:themeColor="text1"/>
          <w:sz w:val="20"/>
          <w:szCs w:val="20"/>
          <w:vertAlign w:val="superscript"/>
          <w:lang w:val="en-US"/>
        </w:rPr>
        <w:t>c</w:t>
      </w:r>
      <w:r w:rsidRPr="006347CC">
        <w:rPr>
          <w:rFonts w:ascii="Helvetica" w:hAnsi="Helvetica" w:cs="Helvetica"/>
          <w:color w:val="000000" w:themeColor="text1"/>
          <w:sz w:val="20"/>
          <w:szCs w:val="20"/>
          <w:lang w:val="en-US"/>
        </w:rPr>
        <w:t xml:space="preserve"> EQ-5D VAS range from 0 to 100, from worst imaginable health to best imaginable health, and reflect the participant’s perceived health. Participants or a relative were interviewed by telephone to obtain the scores. Up to five attempts for contact were made within each timeframe. </w:t>
      </w:r>
    </w:p>
    <w:p w14:paraId="1A73051E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09"/>
    <w:rsid w:val="002C7D54"/>
    <w:rsid w:val="0033371E"/>
    <w:rsid w:val="005C0D39"/>
    <w:rsid w:val="0070406C"/>
    <w:rsid w:val="00724754"/>
    <w:rsid w:val="009B2809"/>
    <w:rsid w:val="00C321FA"/>
    <w:rsid w:val="00C97210"/>
    <w:rsid w:val="00CB67A8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5161"/>
  <w15:chartTrackingRefBased/>
  <w15:docId w15:val="{81B04EFB-E92F-43DC-AD70-B611B7B6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09"/>
    <w:pPr>
      <w:spacing w:line="259" w:lineRule="auto"/>
    </w:pPr>
    <w:rPr>
      <w:rFonts w:eastAsiaTheme="minorEastAsia"/>
      <w:kern w:val="0"/>
      <w:sz w:val="22"/>
      <w:szCs w:val="22"/>
      <w:lang w:val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8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8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8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8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8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80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8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80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80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8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8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2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80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2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809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2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809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28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8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809"/>
    <w:rPr>
      <w:b/>
      <w:bCs/>
      <w:smallCaps/>
      <w:color w:val="0F4761" w:themeColor="accent1" w:themeShade="BF"/>
      <w:spacing w:val="5"/>
    </w:rPr>
  </w:style>
  <w:style w:type="table" w:customStyle="1" w:styleId="Blank">
    <w:name w:val="Blank"/>
    <w:basedOn w:val="TableNormal"/>
    <w:uiPriority w:val="99"/>
    <w:rsid w:val="009B2809"/>
    <w:pPr>
      <w:spacing w:after="0" w:line="259" w:lineRule="auto"/>
    </w:pPr>
    <w:rPr>
      <w:rFonts w:eastAsiaTheme="minorEastAsia"/>
      <w:kern w:val="0"/>
      <w:sz w:val="22"/>
      <w:szCs w:val="22"/>
      <w:lang w:val="da-DK"/>
      <w14:ligatures w14:val="none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2026-04-24T09:44:00Z</dcterms:created>
  <dcterms:modified xsi:type="dcterms:W3CDTF">2026-04-24T09:44:00Z</dcterms:modified>
</cp:coreProperties>
</file>