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11C5A" w14:textId="56A4D6F9" w:rsidR="005001AC" w:rsidRPr="00394323" w:rsidRDefault="00141F87" w:rsidP="00823FE1">
      <w:pPr>
        <w:spacing w:line="360" w:lineRule="auto"/>
        <w:rPr>
          <w:b/>
          <w:bCs/>
          <w:iCs/>
          <w:sz w:val="21"/>
          <w:szCs w:val="21"/>
        </w:rPr>
      </w:pPr>
      <w:r w:rsidRPr="00394323">
        <w:rPr>
          <w:b/>
          <w:bCs/>
          <w:iCs/>
          <w:sz w:val="21"/>
          <w:szCs w:val="21"/>
        </w:rPr>
        <w:t>Additional file 1</w:t>
      </w:r>
      <w:r w:rsidR="00F401B5" w:rsidRPr="00394323">
        <w:rPr>
          <w:rFonts w:hint="eastAsia"/>
          <w:b/>
          <w:bCs/>
          <w:iCs/>
          <w:sz w:val="21"/>
          <w:szCs w:val="21"/>
          <w:lang w:eastAsia="zh-TW"/>
        </w:rPr>
        <w:t xml:space="preserve"> </w:t>
      </w:r>
    </w:p>
    <w:p w14:paraId="1885A04A" w14:textId="4B19033D" w:rsidR="008C33A2" w:rsidRPr="004D1305" w:rsidRDefault="004B6A9D" w:rsidP="008C33A2">
      <w:pPr>
        <w:spacing w:line="480" w:lineRule="auto"/>
        <w:jc w:val="both"/>
        <w:rPr>
          <w:b/>
          <w:sz w:val="28"/>
          <w:szCs w:val="24"/>
          <w:lang w:val="de-DE" w:eastAsia="zh-TW"/>
        </w:rPr>
      </w:pPr>
      <w:r w:rsidRPr="008F1ADA">
        <w:rPr>
          <w:rFonts w:eastAsia="新細明體"/>
          <w:b/>
          <w:bCs/>
          <w:sz w:val="28"/>
          <w:szCs w:val="32"/>
        </w:rPr>
        <w:t>Multifunctional Carbonized Nanogels to Treat Lethal Acute Hepatopancreatic Necrosis Disease</w:t>
      </w:r>
    </w:p>
    <w:p w14:paraId="3369AEEC" w14:textId="4D5E7202" w:rsidR="006D1A9A" w:rsidRPr="00394323" w:rsidRDefault="008C33A2" w:rsidP="00823FE1">
      <w:pPr>
        <w:pStyle w:val="BBAuthorName"/>
        <w:spacing w:after="0" w:line="360" w:lineRule="auto"/>
        <w:jc w:val="both"/>
        <w:rPr>
          <w:i w:val="0"/>
          <w:iCs/>
          <w:sz w:val="21"/>
          <w:szCs w:val="21"/>
          <w:vertAlign w:val="superscript"/>
        </w:rPr>
      </w:pPr>
      <w:r w:rsidRPr="00394323">
        <w:rPr>
          <w:b/>
          <w:i w:val="0"/>
          <w:iCs/>
          <w:sz w:val="21"/>
          <w:szCs w:val="21"/>
        </w:rPr>
        <w:t>Author</w:t>
      </w:r>
      <w:r w:rsidRPr="00394323">
        <w:rPr>
          <w:rFonts w:hint="eastAsia"/>
          <w:b/>
          <w:i w:val="0"/>
          <w:iCs/>
          <w:sz w:val="21"/>
          <w:szCs w:val="21"/>
          <w:lang w:eastAsia="zh-TW"/>
        </w:rPr>
        <w:t xml:space="preserve">: </w:t>
      </w:r>
      <w:r w:rsidR="006D1A9A" w:rsidRPr="00394323">
        <w:rPr>
          <w:i w:val="0"/>
          <w:iCs/>
          <w:sz w:val="21"/>
          <w:szCs w:val="21"/>
        </w:rPr>
        <w:t>Shao-Chieh Yen</w:t>
      </w:r>
      <w:r w:rsidR="00BD114C" w:rsidRPr="00394323">
        <w:rPr>
          <w:i w:val="0"/>
          <w:iCs/>
          <w:sz w:val="21"/>
          <w:szCs w:val="21"/>
          <w:vertAlign w:val="superscript"/>
          <w:lang w:eastAsia="zh-TW"/>
        </w:rPr>
        <w:t>1</w:t>
      </w:r>
      <w:r w:rsidR="006D1A9A" w:rsidRPr="00394323">
        <w:rPr>
          <w:i w:val="0"/>
          <w:iCs/>
          <w:sz w:val="21"/>
          <w:szCs w:val="21"/>
        </w:rPr>
        <w:t>, Ju-Yi Mao</w:t>
      </w:r>
      <w:r w:rsidR="00BD114C" w:rsidRPr="00394323">
        <w:rPr>
          <w:i w:val="0"/>
          <w:iCs/>
          <w:sz w:val="21"/>
          <w:szCs w:val="21"/>
          <w:vertAlign w:val="superscript"/>
        </w:rPr>
        <w:t>1,2</w:t>
      </w:r>
      <w:r w:rsidR="006D1A9A" w:rsidRPr="00394323">
        <w:rPr>
          <w:i w:val="0"/>
          <w:iCs/>
          <w:sz w:val="21"/>
          <w:szCs w:val="21"/>
        </w:rPr>
        <w:t>, Hung-Yun Lin</w:t>
      </w:r>
      <w:r w:rsidR="00BD114C" w:rsidRPr="00394323">
        <w:rPr>
          <w:i w:val="0"/>
          <w:iCs/>
          <w:sz w:val="21"/>
          <w:szCs w:val="21"/>
          <w:vertAlign w:val="superscript"/>
        </w:rPr>
        <w:t>1</w:t>
      </w:r>
      <w:r w:rsidR="006D1A9A" w:rsidRPr="00394323">
        <w:rPr>
          <w:i w:val="0"/>
          <w:iCs/>
          <w:sz w:val="21"/>
          <w:szCs w:val="21"/>
        </w:rPr>
        <w:t>, Huai-Ting Huang</w:t>
      </w:r>
      <w:r w:rsidR="00BD114C" w:rsidRPr="00394323">
        <w:rPr>
          <w:i w:val="0"/>
          <w:iCs/>
          <w:sz w:val="21"/>
          <w:szCs w:val="21"/>
          <w:vertAlign w:val="superscript"/>
        </w:rPr>
        <w:t>3</w:t>
      </w:r>
      <w:r w:rsidR="006D1A9A" w:rsidRPr="00394323">
        <w:rPr>
          <w:i w:val="0"/>
          <w:iCs/>
          <w:sz w:val="21"/>
          <w:szCs w:val="21"/>
        </w:rPr>
        <w:t>, Scott G. Harroun</w:t>
      </w:r>
      <w:r w:rsidR="00BD114C" w:rsidRPr="00394323">
        <w:rPr>
          <w:i w:val="0"/>
          <w:iCs/>
          <w:sz w:val="21"/>
          <w:szCs w:val="21"/>
          <w:vertAlign w:val="superscript"/>
        </w:rPr>
        <w:t>4</w:t>
      </w:r>
      <w:r w:rsidR="006D1A9A" w:rsidRPr="00394323">
        <w:rPr>
          <w:i w:val="0"/>
          <w:iCs/>
          <w:sz w:val="21"/>
          <w:szCs w:val="21"/>
        </w:rPr>
        <w:t>, Amit Nain</w:t>
      </w:r>
      <w:r w:rsidR="00BD114C" w:rsidRPr="00394323">
        <w:rPr>
          <w:i w:val="0"/>
          <w:iCs/>
          <w:sz w:val="21"/>
          <w:szCs w:val="21"/>
          <w:vertAlign w:val="superscript"/>
        </w:rPr>
        <w:t>5</w:t>
      </w:r>
      <w:r w:rsidR="006D1A9A" w:rsidRPr="00394323">
        <w:rPr>
          <w:i w:val="0"/>
          <w:iCs/>
          <w:sz w:val="21"/>
          <w:szCs w:val="21"/>
        </w:rPr>
        <w:t>, Huan-Tsung Chang</w:t>
      </w:r>
      <w:r w:rsidR="00BD114C" w:rsidRPr="00394323">
        <w:rPr>
          <w:i w:val="0"/>
          <w:iCs/>
          <w:sz w:val="21"/>
          <w:szCs w:val="21"/>
          <w:vertAlign w:val="superscript"/>
        </w:rPr>
        <w:t>5</w:t>
      </w:r>
      <w:r w:rsidR="006D1A9A" w:rsidRPr="00394323">
        <w:rPr>
          <w:i w:val="0"/>
          <w:iCs/>
          <w:sz w:val="21"/>
          <w:szCs w:val="21"/>
        </w:rPr>
        <w:t>, Han-You Lin</w:t>
      </w:r>
      <w:r w:rsidR="00BD114C" w:rsidRPr="00394323">
        <w:rPr>
          <w:i w:val="0"/>
          <w:iCs/>
          <w:sz w:val="21"/>
          <w:szCs w:val="21"/>
          <w:vertAlign w:val="superscript"/>
        </w:rPr>
        <w:t>6</w:t>
      </w:r>
      <w:r w:rsidR="006D1A9A" w:rsidRPr="00394323">
        <w:rPr>
          <w:i w:val="0"/>
          <w:iCs/>
          <w:sz w:val="21"/>
          <w:szCs w:val="21"/>
        </w:rPr>
        <w:t>, Li-Li Chen</w:t>
      </w:r>
      <w:r w:rsidR="00BD114C" w:rsidRPr="00394323">
        <w:rPr>
          <w:i w:val="0"/>
          <w:iCs/>
          <w:sz w:val="21"/>
          <w:szCs w:val="21"/>
          <w:vertAlign w:val="superscript"/>
          <w:lang w:eastAsia="zh-TW"/>
        </w:rPr>
        <w:t>7</w:t>
      </w:r>
      <w:r w:rsidR="006D1A9A" w:rsidRPr="00394323">
        <w:rPr>
          <w:i w:val="0"/>
          <w:iCs/>
          <w:sz w:val="21"/>
          <w:szCs w:val="21"/>
          <w:vertAlign w:val="superscript"/>
          <w:lang w:eastAsia="zh-TW"/>
        </w:rPr>
        <w:t>,</w:t>
      </w:r>
      <w:r w:rsidR="00BD114C" w:rsidRPr="00394323">
        <w:rPr>
          <w:i w:val="0"/>
          <w:iCs/>
          <w:sz w:val="21"/>
          <w:szCs w:val="21"/>
          <w:vertAlign w:val="superscript"/>
          <w:lang w:eastAsia="zh-TW"/>
        </w:rPr>
        <w:t>8</w:t>
      </w:r>
      <w:r w:rsidR="006D1A9A" w:rsidRPr="00394323">
        <w:rPr>
          <w:i w:val="0"/>
          <w:iCs/>
          <w:sz w:val="21"/>
          <w:szCs w:val="21"/>
        </w:rPr>
        <w:t>, Chih-Ching Huang</w:t>
      </w:r>
      <w:r w:rsidR="00BD114C" w:rsidRPr="00394323">
        <w:rPr>
          <w:i w:val="0"/>
          <w:iCs/>
          <w:sz w:val="21"/>
          <w:szCs w:val="21"/>
          <w:vertAlign w:val="superscript"/>
        </w:rPr>
        <w:t>1</w:t>
      </w:r>
      <w:r w:rsidR="006D1A9A" w:rsidRPr="00394323">
        <w:rPr>
          <w:i w:val="0"/>
          <w:iCs/>
          <w:sz w:val="21"/>
          <w:szCs w:val="21"/>
          <w:vertAlign w:val="superscript"/>
        </w:rPr>
        <w:t>,</w:t>
      </w:r>
      <w:r w:rsidR="00BD114C" w:rsidRPr="00394323">
        <w:rPr>
          <w:i w:val="0"/>
          <w:iCs/>
          <w:sz w:val="21"/>
          <w:szCs w:val="21"/>
          <w:vertAlign w:val="superscript"/>
        </w:rPr>
        <w:t>8</w:t>
      </w:r>
      <w:r w:rsidR="006D1A9A" w:rsidRPr="00394323">
        <w:rPr>
          <w:i w:val="0"/>
          <w:iCs/>
          <w:sz w:val="21"/>
          <w:szCs w:val="21"/>
          <w:vertAlign w:val="superscript"/>
        </w:rPr>
        <w:t>,</w:t>
      </w:r>
      <w:r w:rsidR="00BD114C" w:rsidRPr="00394323">
        <w:rPr>
          <w:i w:val="0"/>
          <w:iCs/>
          <w:sz w:val="21"/>
          <w:szCs w:val="21"/>
          <w:vertAlign w:val="superscript"/>
        </w:rPr>
        <w:t>9</w:t>
      </w:r>
      <w:r w:rsidR="006D1A9A" w:rsidRPr="00394323">
        <w:rPr>
          <w:i w:val="0"/>
          <w:iCs/>
          <w:sz w:val="21"/>
          <w:szCs w:val="21"/>
          <w:vertAlign w:val="superscript"/>
        </w:rPr>
        <w:t>,*</w:t>
      </w:r>
      <w:r w:rsidR="00156D19">
        <w:rPr>
          <w:i w:val="0"/>
          <w:iCs/>
          <w:sz w:val="21"/>
          <w:szCs w:val="21"/>
        </w:rPr>
        <w:t xml:space="preserve"> and</w:t>
      </w:r>
      <w:r w:rsidR="006D1A9A" w:rsidRPr="00394323">
        <w:rPr>
          <w:i w:val="0"/>
          <w:iCs/>
          <w:sz w:val="21"/>
          <w:szCs w:val="21"/>
        </w:rPr>
        <w:t xml:space="preserve"> Han-Jia Lin</w:t>
      </w:r>
      <w:r w:rsidR="00BD114C" w:rsidRPr="00394323">
        <w:rPr>
          <w:i w:val="0"/>
          <w:iCs/>
          <w:sz w:val="21"/>
          <w:szCs w:val="21"/>
          <w:vertAlign w:val="superscript"/>
        </w:rPr>
        <w:t>1</w:t>
      </w:r>
      <w:r w:rsidR="006D1A9A" w:rsidRPr="00394323">
        <w:rPr>
          <w:i w:val="0"/>
          <w:iCs/>
          <w:sz w:val="21"/>
          <w:szCs w:val="21"/>
          <w:vertAlign w:val="superscript"/>
        </w:rPr>
        <w:t>,</w:t>
      </w:r>
      <w:r w:rsidR="00BD114C" w:rsidRPr="00394323">
        <w:rPr>
          <w:i w:val="0"/>
          <w:iCs/>
          <w:sz w:val="21"/>
          <w:szCs w:val="21"/>
          <w:vertAlign w:val="superscript"/>
        </w:rPr>
        <w:t>8</w:t>
      </w:r>
      <w:r w:rsidR="006D1A9A" w:rsidRPr="00394323">
        <w:rPr>
          <w:i w:val="0"/>
          <w:iCs/>
          <w:sz w:val="21"/>
          <w:szCs w:val="21"/>
          <w:vertAlign w:val="superscript"/>
        </w:rPr>
        <w:t>,*</w:t>
      </w:r>
      <w:r w:rsidR="00F401B5" w:rsidRPr="00394323">
        <w:rPr>
          <w:i w:val="0"/>
          <w:iCs/>
          <w:sz w:val="21"/>
          <w:szCs w:val="21"/>
          <w:vertAlign w:val="superscript"/>
        </w:rPr>
        <w:t xml:space="preserve"> </w:t>
      </w:r>
    </w:p>
    <w:p w14:paraId="41BA491F" w14:textId="22940347" w:rsidR="008C33A2" w:rsidRDefault="008C33A2" w:rsidP="008C33A2">
      <w:pPr>
        <w:pStyle w:val="BCAuthorAddress"/>
        <w:jc w:val="left"/>
      </w:pPr>
    </w:p>
    <w:p w14:paraId="234E8C8B" w14:textId="5F3A4D16" w:rsidR="008C33A2" w:rsidRPr="00394323" w:rsidRDefault="008C33A2" w:rsidP="008C33A2">
      <w:pPr>
        <w:rPr>
          <w:b/>
          <w:sz w:val="21"/>
          <w:szCs w:val="21"/>
        </w:rPr>
      </w:pPr>
      <w:r w:rsidRPr="00394323">
        <w:rPr>
          <w:b/>
          <w:sz w:val="21"/>
          <w:szCs w:val="21"/>
        </w:rPr>
        <w:t xml:space="preserve">Affiliations: </w:t>
      </w:r>
    </w:p>
    <w:p w14:paraId="78686A33" w14:textId="0429971B"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bCs/>
          <w:iCs/>
          <w:sz w:val="21"/>
          <w:szCs w:val="21"/>
          <w:vertAlign w:val="superscript"/>
          <w:lang w:eastAsia="zh-TW"/>
        </w:rPr>
        <w:t>1</w:t>
      </w:r>
      <w:r w:rsidR="006D1A9A" w:rsidRPr="00394323">
        <w:rPr>
          <w:rFonts w:ascii="Times New Roman" w:hAnsi="Times New Roman"/>
          <w:bCs/>
          <w:iCs/>
          <w:sz w:val="21"/>
          <w:szCs w:val="21"/>
          <w:vertAlign w:val="superscript"/>
        </w:rPr>
        <w:t xml:space="preserve"> </w:t>
      </w:r>
      <w:r w:rsidR="006D1A9A" w:rsidRPr="00394323">
        <w:rPr>
          <w:rFonts w:ascii="Times New Roman" w:hAnsi="Times New Roman"/>
          <w:iCs/>
          <w:sz w:val="21"/>
          <w:szCs w:val="21"/>
        </w:rPr>
        <w:t xml:space="preserve">Department of Bioscience and Biotechnology, National Taiwan Ocean University, Keelung 202301, Taiwan </w:t>
      </w:r>
    </w:p>
    <w:p w14:paraId="58BF17E5" w14:textId="0ECAC2B5"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bCs/>
          <w:iCs/>
          <w:sz w:val="21"/>
          <w:szCs w:val="21"/>
          <w:vertAlign w:val="superscript"/>
          <w:lang w:eastAsia="zh-TW"/>
        </w:rPr>
        <w:t>2</w:t>
      </w:r>
      <w:r w:rsidR="006D1A9A" w:rsidRPr="00394323">
        <w:rPr>
          <w:rFonts w:ascii="Times New Roman" w:hAnsi="Times New Roman"/>
          <w:bCs/>
          <w:iCs/>
          <w:sz w:val="21"/>
          <w:szCs w:val="21"/>
          <w:vertAlign w:val="superscript"/>
        </w:rPr>
        <w:t xml:space="preserve"> </w:t>
      </w:r>
      <w:r w:rsidR="006D1A9A" w:rsidRPr="00394323">
        <w:rPr>
          <w:rFonts w:ascii="Times New Roman" w:hAnsi="Times New Roman"/>
          <w:iCs/>
          <w:sz w:val="21"/>
          <w:szCs w:val="21"/>
        </w:rPr>
        <w:t xml:space="preserve">Doctoral Degree Program in Marine Biotechnology, National Taiwan Ocean University, Keelung 202301, Taiwan </w:t>
      </w:r>
    </w:p>
    <w:p w14:paraId="36047F4A" w14:textId="6FBE716B"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sz w:val="21"/>
          <w:szCs w:val="21"/>
          <w:vertAlign w:val="superscript"/>
          <w:lang w:eastAsia="zh-TW"/>
        </w:rPr>
        <w:t>3</w:t>
      </w:r>
      <w:r w:rsidR="006D1A9A" w:rsidRPr="00394323">
        <w:rPr>
          <w:rFonts w:ascii="Times New Roman" w:hAnsi="Times New Roman"/>
          <w:sz w:val="21"/>
          <w:szCs w:val="21"/>
        </w:rPr>
        <w:t xml:space="preserve"> </w:t>
      </w:r>
      <w:r w:rsidR="006D1A9A" w:rsidRPr="00394323">
        <w:rPr>
          <w:rFonts w:ascii="Times New Roman" w:hAnsi="Times New Roman"/>
          <w:iCs/>
          <w:sz w:val="21"/>
          <w:szCs w:val="21"/>
        </w:rPr>
        <w:t>Department of Aquaculture, National Taiwan Ocean University, Keelung 202301, Taiwan</w:t>
      </w:r>
    </w:p>
    <w:p w14:paraId="6593FE37" w14:textId="69A6400F"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iCs/>
          <w:sz w:val="21"/>
          <w:szCs w:val="21"/>
          <w:vertAlign w:val="superscript"/>
          <w:lang w:eastAsia="zh-TW"/>
        </w:rPr>
        <w:t>4</w:t>
      </w:r>
      <w:r w:rsidR="006D1A9A" w:rsidRPr="00394323">
        <w:rPr>
          <w:rFonts w:ascii="Times New Roman" w:hAnsi="Times New Roman"/>
          <w:sz w:val="21"/>
          <w:szCs w:val="21"/>
        </w:rPr>
        <w:t xml:space="preserve"> </w:t>
      </w:r>
      <w:r w:rsidR="006D1A9A" w:rsidRPr="00394323">
        <w:rPr>
          <w:rFonts w:ascii="Times New Roman" w:hAnsi="Times New Roman"/>
          <w:iCs/>
          <w:sz w:val="21"/>
          <w:szCs w:val="21"/>
        </w:rPr>
        <w:t>Department of Chemistry, Université de Montréal, Montréal, Québec H3C 3J7, Canada</w:t>
      </w:r>
    </w:p>
    <w:p w14:paraId="798C76FE" w14:textId="1EF83336" w:rsidR="006D1A9A" w:rsidRPr="00394323" w:rsidRDefault="000F0842" w:rsidP="00823FE1">
      <w:pPr>
        <w:pStyle w:val="BCAuthorAddress"/>
        <w:spacing w:after="0" w:line="360" w:lineRule="auto"/>
        <w:ind w:left="124" w:hangingChars="59" w:hanging="124"/>
        <w:jc w:val="left"/>
        <w:rPr>
          <w:rFonts w:ascii="Times New Roman" w:hAnsi="Times New Roman"/>
          <w:iCs/>
          <w:sz w:val="21"/>
          <w:szCs w:val="21"/>
        </w:rPr>
      </w:pPr>
      <w:r w:rsidRPr="00394323">
        <w:rPr>
          <w:rFonts w:ascii="Times New Roman" w:hAnsi="Times New Roman"/>
          <w:iCs/>
          <w:sz w:val="21"/>
          <w:szCs w:val="21"/>
          <w:vertAlign w:val="superscript"/>
          <w:lang w:eastAsia="zh-TW"/>
        </w:rPr>
        <w:t>5</w:t>
      </w:r>
      <w:r w:rsidR="006D1A9A" w:rsidRPr="00394323">
        <w:rPr>
          <w:rFonts w:ascii="Times New Roman" w:hAnsi="Times New Roman"/>
          <w:sz w:val="21"/>
          <w:szCs w:val="21"/>
        </w:rPr>
        <w:t xml:space="preserve"> </w:t>
      </w:r>
      <w:r w:rsidR="006D1A9A" w:rsidRPr="00394323">
        <w:rPr>
          <w:rFonts w:ascii="Times New Roman" w:hAnsi="Times New Roman"/>
          <w:iCs/>
          <w:sz w:val="21"/>
          <w:szCs w:val="21"/>
        </w:rPr>
        <w:t xml:space="preserve">Department of Chemistry, National Taiwan University, Taipei, 10617, Taiwan </w:t>
      </w:r>
    </w:p>
    <w:p w14:paraId="1CBDE783" w14:textId="258BDA45"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iCs/>
          <w:sz w:val="21"/>
          <w:szCs w:val="21"/>
          <w:vertAlign w:val="superscript"/>
          <w:lang w:eastAsia="zh-TW"/>
        </w:rPr>
        <w:t>6</w:t>
      </w:r>
      <w:r w:rsidR="006D1A9A" w:rsidRPr="00394323">
        <w:rPr>
          <w:rFonts w:ascii="Times New Roman" w:hAnsi="Times New Roman"/>
          <w:sz w:val="21"/>
          <w:szCs w:val="21"/>
        </w:rPr>
        <w:t xml:space="preserve"> </w:t>
      </w:r>
      <w:r w:rsidR="006D1A9A" w:rsidRPr="00394323">
        <w:rPr>
          <w:rFonts w:ascii="Times New Roman" w:hAnsi="Times New Roman"/>
          <w:iCs/>
          <w:sz w:val="21"/>
          <w:szCs w:val="21"/>
        </w:rPr>
        <w:t>Department of Veterinary Medicine, School of Veterinary Medicine, National Taiwan University, Taipei 10617, Taiwan</w:t>
      </w:r>
      <w:r w:rsidR="006D1A9A" w:rsidRPr="00394323" w:rsidDel="00977EE6">
        <w:rPr>
          <w:rFonts w:ascii="Times New Roman" w:hAnsi="Times New Roman"/>
          <w:iCs/>
          <w:sz w:val="21"/>
          <w:szCs w:val="21"/>
        </w:rPr>
        <w:t xml:space="preserve"> </w:t>
      </w:r>
    </w:p>
    <w:p w14:paraId="3C673C2B" w14:textId="4065DF07"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iCs/>
          <w:sz w:val="21"/>
          <w:szCs w:val="21"/>
          <w:vertAlign w:val="superscript"/>
        </w:rPr>
        <w:t>7</w:t>
      </w:r>
      <w:r w:rsidR="006D1A9A" w:rsidRPr="00394323">
        <w:rPr>
          <w:rFonts w:ascii="Times New Roman" w:hAnsi="Times New Roman"/>
          <w:sz w:val="21"/>
          <w:szCs w:val="21"/>
          <w:vertAlign w:val="superscript"/>
        </w:rPr>
        <w:t xml:space="preserve"> </w:t>
      </w:r>
      <w:r w:rsidR="006D1A9A" w:rsidRPr="00394323">
        <w:rPr>
          <w:rFonts w:ascii="Times New Roman" w:hAnsi="Times New Roman"/>
          <w:iCs/>
          <w:sz w:val="21"/>
          <w:szCs w:val="21"/>
        </w:rPr>
        <w:t>Institute of Marine Biology, National Taiwan Ocean University, Keelung 202301, Taiwan</w:t>
      </w:r>
    </w:p>
    <w:p w14:paraId="5F7C2492" w14:textId="266F6BCA" w:rsidR="006D1A9A" w:rsidRPr="00394323" w:rsidRDefault="000F0842" w:rsidP="00823FE1">
      <w:pPr>
        <w:pStyle w:val="BCAuthorAddress"/>
        <w:spacing w:after="0" w:line="360" w:lineRule="auto"/>
        <w:ind w:left="124" w:hangingChars="59" w:hanging="124"/>
        <w:jc w:val="left"/>
        <w:rPr>
          <w:rFonts w:ascii="Times New Roman" w:hAnsi="Times New Roman"/>
          <w:sz w:val="21"/>
          <w:szCs w:val="21"/>
        </w:rPr>
      </w:pPr>
      <w:r w:rsidRPr="00394323">
        <w:rPr>
          <w:rFonts w:ascii="Times New Roman" w:hAnsi="Times New Roman"/>
          <w:bCs/>
          <w:iCs/>
          <w:sz w:val="21"/>
          <w:szCs w:val="21"/>
          <w:vertAlign w:val="superscript"/>
        </w:rPr>
        <w:lastRenderedPageBreak/>
        <w:t>8</w:t>
      </w:r>
      <w:r w:rsidR="006D1A9A" w:rsidRPr="00394323">
        <w:rPr>
          <w:rFonts w:ascii="Times New Roman" w:hAnsi="Times New Roman"/>
          <w:bCs/>
          <w:iCs/>
          <w:sz w:val="21"/>
          <w:szCs w:val="21"/>
          <w:vertAlign w:val="superscript"/>
        </w:rPr>
        <w:t xml:space="preserve"> </w:t>
      </w:r>
      <w:r w:rsidR="006D1A9A" w:rsidRPr="00394323">
        <w:rPr>
          <w:rFonts w:ascii="Times New Roman" w:hAnsi="Times New Roman"/>
          <w:iCs/>
          <w:sz w:val="21"/>
          <w:szCs w:val="21"/>
        </w:rPr>
        <w:t xml:space="preserve">Center of Excellence for the Oceans, National Taiwan Ocean University, Keelung 202301, Taiwan </w:t>
      </w:r>
    </w:p>
    <w:p w14:paraId="3893E4E8" w14:textId="23E50D1D" w:rsidR="006D1A9A" w:rsidRPr="00394323" w:rsidRDefault="000F0842" w:rsidP="00823FE1">
      <w:pPr>
        <w:pStyle w:val="BCAuthorAddress"/>
        <w:spacing w:after="0" w:line="360" w:lineRule="auto"/>
        <w:ind w:left="124" w:hangingChars="59" w:hanging="124"/>
        <w:jc w:val="left"/>
        <w:rPr>
          <w:rFonts w:ascii="Times New Roman" w:hAnsi="Times New Roman"/>
          <w:iCs/>
          <w:sz w:val="21"/>
          <w:szCs w:val="21"/>
        </w:rPr>
      </w:pPr>
      <w:r w:rsidRPr="00394323">
        <w:rPr>
          <w:rFonts w:ascii="Times New Roman" w:hAnsi="Times New Roman"/>
          <w:bCs/>
          <w:iCs/>
          <w:sz w:val="21"/>
          <w:szCs w:val="21"/>
          <w:vertAlign w:val="superscript"/>
        </w:rPr>
        <w:t>9</w:t>
      </w:r>
      <w:r w:rsidR="006D1A9A" w:rsidRPr="00394323">
        <w:rPr>
          <w:rFonts w:ascii="Times New Roman" w:hAnsi="Times New Roman"/>
          <w:bCs/>
          <w:iCs/>
          <w:sz w:val="21"/>
          <w:szCs w:val="21"/>
          <w:vertAlign w:val="superscript"/>
        </w:rPr>
        <w:t xml:space="preserve"> </w:t>
      </w:r>
      <w:r w:rsidR="006D1A9A" w:rsidRPr="00394323">
        <w:rPr>
          <w:rFonts w:ascii="Times New Roman" w:hAnsi="Times New Roman"/>
          <w:iCs/>
          <w:sz w:val="21"/>
          <w:szCs w:val="21"/>
        </w:rPr>
        <w:t xml:space="preserve">School of Pharmacy, College of Pharmacy, Kaohsiung Medical University, Kaohsiung 80708, Taiwan </w:t>
      </w:r>
    </w:p>
    <w:p w14:paraId="04A95B28" w14:textId="77777777" w:rsidR="006D1A9A" w:rsidRPr="00671239" w:rsidRDefault="006D1A9A" w:rsidP="00823FE1">
      <w:pPr>
        <w:spacing w:line="360" w:lineRule="auto"/>
      </w:pPr>
    </w:p>
    <w:p w14:paraId="455AB464" w14:textId="72FFFC24" w:rsidR="006D1A9A" w:rsidRPr="00394323" w:rsidRDefault="006D1A9A" w:rsidP="00823FE1">
      <w:pPr>
        <w:pStyle w:val="BCAuthorAddress"/>
        <w:spacing w:after="0" w:line="360" w:lineRule="auto"/>
        <w:ind w:left="124" w:hangingChars="59" w:hanging="124"/>
        <w:jc w:val="left"/>
        <w:rPr>
          <w:b/>
          <w:i/>
          <w:iCs/>
          <w:sz w:val="21"/>
          <w:szCs w:val="21"/>
        </w:rPr>
      </w:pPr>
      <w:r w:rsidRPr="00394323">
        <w:rPr>
          <w:b/>
          <w:sz w:val="21"/>
          <w:szCs w:val="21"/>
        </w:rPr>
        <w:t>* Corresponding authors</w:t>
      </w:r>
      <w:r w:rsidR="008C33A2" w:rsidRPr="00394323">
        <w:rPr>
          <w:rFonts w:hint="eastAsia"/>
          <w:b/>
          <w:sz w:val="21"/>
          <w:szCs w:val="21"/>
          <w:lang w:eastAsia="zh-TW"/>
        </w:rPr>
        <w:t xml:space="preserve">: </w:t>
      </w:r>
    </w:p>
    <w:p w14:paraId="3A781834" w14:textId="2C45431B" w:rsidR="008C33A2" w:rsidRPr="00394323" w:rsidRDefault="006D1A9A" w:rsidP="008C33A2">
      <w:pPr>
        <w:pStyle w:val="FACorrespondingAuthorFootnote"/>
        <w:spacing w:line="360" w:lineRule="auto"/>
        <w:rPr>
          <w:bCs/>
          <w:sz w:val="21"/>
          <w:szCs w:val="21"/>
        </w:rPr>
      </w:pPr>
      <w:r w:rsidRPr="00394323">
        <w:rPr>
          <w:sz w:val="21"/>
          <w:szCs w:val="21"/>
        </w:rPr>
        <w:t>E-mail addresses:</w:t>
      </w:r>
      <w:r w:rsidRPr="00394323">
        <w:rPr>
          <w:rStyle w:val="affff5"/>
          <w:bCs/>
          <w:color w:val="auto"/>
          <w:sz w:val="21"/>
          <w:szCs w:val="21"/>
          <w:u w:val="none"/>
        </w:rPr>
        <w:t xml:space="preserve"> huanging@ntou.edu.tw (C.-C. Huang),</w:t>
      </w:r>
      <w:r w:rsidRPr="00394323">
        <w:rPr>
          <w:sz w:val="21"/>
          <w:szCs w:val="21"/>
        </w:rPr>
        <w:t xml:space="preserve"> </w:t>
      </w:r>
      <w:hyperlink r:id="rId11" w:history="1">
        <w:r w:rsidRPr="00394323">
          <w:rPr>
            <w:rStyle w:val="affff5"/>
            <w:bCs/>
            <w:color w:val="auto"/>
            <w:sz w:val="21"/>
            <w:szCs w:val="21"/>
            <w:u w:val="none"/>
          </w:rPr>
          <w:t>hanjia@ntou.edu.tw</w:t>
        </w:r>
      </w:hyperlink>
      <w:r w:rsidRPr="00394323">
        <w:rPr>
          <w:rStyle w:val="affff5"/>
          <w:bCs/>
          <w:color w:val="auto"/>
          <w:sz w:val="21"/>
          <w:szCs w:val="21"/>
          <w:u w:val="none"/>
        </w:rPr>
        <w:t xml:space="preserve"> (H.</w:t>
      </w:r>
      <w:r w:rsidR="002D0928" w:rsidRPr="00394323">
        <w:rPr>
          <w:rStyle w:val="affff5"/>
          <w:bCs/>
          <w:color w:val="auto"/>
          <w:sz w:val="21"/>
          <w:szCs w:val="21"/>
          <w:u w:val="none"/>
        </w:rPr>
        <w:t>-</w:t>
      </w:r>
      <w:r w:rsidRPr="00394323">
        <w:rPr>
          <w:rStyle w:val="affff5"/>
          <w:bCs/>
          <w:color w:val="auto"/>
          <w:sz w:val="21"/>
          <w:szCs w:val="21"/>
          <w:u w:val="none"/>
        </w:rPr>
        <w:t xml:space="preserve">J. Lin) </w:t>
      </w:r>
    </w:p>
    <w:p w14:paraId="7A874292" w14:textId="79DF46AF" w:rsidR="00455D0C" w:rsidRPr="00394323" w:rsidRDefault="00394323" w:rsidP="00394323">
      <w:pPr>
        <w:pageBreakBefore/>
        <w:spacing w:afterLines="100" w:after="360" w:line="480" w:lineRule="auto"/>
        <w:jc w:val="both"/>
        <w:rPr>
          <w:rFonts w:eastAsia="新細明體"/>
          <w:b/>
          <w:bCs/>
          <w:iCs/>
          <w:sz w:val="28"/>
        </w:rPr>
      </w:pPr>
      <w:r w:rsidRPr="00394323">
        <w:rPr>
          <w:rFonts w:eastAsia="新細明體"/>
          <w:b/>
          <w:bCs/>
          <w:iCs/>
          <w:sz w:val="28"/>
        </w:rPr>
        <w:lastRenderedPageBreak/>
        <w:t>Additional method</w:t>
      </w:r>
      <w:r w:rsidR="00455D0C" w:rsidRPr="00394323">
        <w:rPr>
          <w:rFonts w:eastAsia="新細明體"/>
          <w:b/>
          <w:bCs/>
          <w:iCs/>
          <w:sz w:val="28"/>
        </w:rPr>
        <w:t xml:space="preserve"> </w:t>
      </w:r>
    </w:p>
    <w:p w14:paraId="4D8A4336" w14:textId="77777777" w:rsidR="00394323" w:rsidRDefault="00D3257C" w:rsidP="00394323">
      <w:pPr>
        <w:spacing w:line="480" w:lineRule="auto"/>
        <w:jc w:val="both"/>
        <w:rPr>
          <w:rFonts w:eastAsia="新細明體"/>
        </w:rPr>
      </w:pPr>
      <w:r w:rsidRPr="00394323">
        <w:rPr>
          <w:rFonts w:eastAsia="新細明體"/>
          <w:b/>
          <w:bCs/>
        </w:rPr>
        <w:t>Synthesis of Spd-CQDs</w:t>
      </w:r>
      <w:r w:rsidRPr="00671239">
        <w:rPr>
          <w:rFonts w:eastAsia="新細明體"/>
        </w:rPr>
        <w:t xml:space="preserve"> </w:t>
      </w:r>
    </w:p>
    <w:p w14:paraId="58744485" w14:textId="41B22E2E" w:rsidR="00D3257C" w:rsidRDefault="00D3257C" w:rsidP="00394323">
      <w:pPr>
        <w:spacing w:line="480" w:lineRule="auto"/>
        <w:jc w:val="both"/>
        <w:rPr>
          <w:rFonts w:eastAsia="新細明體"/>
        </w:rPr>
      </w:pPr>
      <w:r w:rsidRPr="00671239">
        <w:rPr>
          <w:rFonts w:eastAsia="新細明體"/>
        </w:rPr>
        <w:t>The synthesis of spermidine-carbon quantum dots (Spd-CQDs) has been described in our previous study</w:t>
      </w:r>
      <w:r w:rsidR="00001FB5" w:rsidRPr="00671239">
        <w:rPr>
          <w:rFonts w:eastAsia="新細明體"/>
        </w:rPr>
        <w:t xml:space="preserve"> </w:t>
      </w:r>
      <w:r w:rsidR="00843151" w:rsidRPr="00671239">
        <w:rPr>
          <w:rFonts w:eastAsia="新細明體"/>
        </w:rPr>
        <w:t>[1]</w:t>
      </w:r>
      <w:r w:rsidRPr="00671239">
        <w:rPr>
          <w:rFonts w:eastAsia="新細明體"/>
        </w:rPr>
        <w:t>. Briefly, spermidine trihydrochloride (20 mg) was dry heated in an oven at 270 ℃ for 3 h. After pyrolysis, the solid residue was cooled to ambient temperature and then dissolved in DI water (5.0 mL). The solution was then sonicated, centrifuged, and dialyzed to purify Spd-CQDs. The purified solutions of Spd-CQDs were stored at 4 ℃ when not in use.</w:t>
      </w:r>
      <w:r w:rsidR="00843151" w:rsidRPr="00671239">
        <w:rPr>
          <w:rFonts w:eastAsia="新細明體"/>
        </w:rPr>
        <w:t xml:space="preserve"> </w:t>
      </w:r>
    </w:p>
    <w:p w14:paraId="6BA26A0F" w14:textId="77777777" w:rsidR="0035496B" w:rsidRPr="00671239" w:rsidRDefault="0035496B" w:rsidP="00394323">
      <w:pPr>
        <w:spacing w:line="480" w:lineRule="auto"/>
        <w:jc w:val="both"/>
        <w:rPr>
          <w:rFonts w:eastAsia="新細明體"/>
          <w:b/>
          <w:bCs/>
        </w:rPr>
      </w:pPr>
    </w:p>
    <w:p w14:paraId="37E33F66" w14:textId="6CEDDDB6" w:rsidR="00444A40" w:rsidRPr="0035496B" w:rsidRDefault="00D3257C" w:rsidP="00444A40">
      <w:pPr>
        <w:spacing w:line="480" w:lineRule="auto"/>
        <w:jc w:val="both"/>
        <w:rPr>
          <w:rFonts w:eastAsia="新細明體"/>
          <w:b/>
          <w:bCs/>
        </w:rPr>
      </w:pPr>
      <w:r w:rsidRPr="0035496B">
        <w:rPr>
          <w:rFonts w:eastAsia="新細明體"/>
          <w:b/>
          <w:bCs/>
        </w:rPr>
        <w:t>Characterization of CNGs</w:t>
      </w:r>
      <w:r w:rsidR="0035496B">
        <w:rPr>
          <w:rFonts w:eastAsia="新細明體"/>
          <w:b/>
          <w:bCs/>
        </w:rPr>
        <w:t xml:space="preserve"> </w:t>
      </w:r>
    </w:p>
    <w:p w14:paraId="65B20960" w14:textId="301F400A" w:rsidR="00D3257C" w:rsidRDefault="00D3257C" w:rsidP="00444A40">
      <w:pPr>
        <w:spacing w:line="480" w:lineRule="auto"/>
        <w:jc w:val="both"/>
        <w:rPr>
          <w:rFonts w:eastAsia="新細明體"/>
        </w:rPr>
      </w:pPr>
      <w:r w:rsidRPr="00671239">
        <w:rPr>
          <w:rFonts w:eastAsia="新細明體"/>
        </w:rPr>
        <w:t xml:space="preserve">The hydrodynamic sizes and zeta potential (ζ) of the CNGs were measured by a Zetasizer (Nano ZS, Malvern Instruments, Worcestershire, UK) in 5 mM sodium phosphate buffer (pH 7.4). The fluorescence quantum yield (QY) of the CNGs was determined using quinine </w:t>
      </w:r>
      <w:r w:rsidRPr="00671239">
        <w:rPr>
          <w:rFonts w:eastAsia="新細明體"/>
          <w:bCs/>
        </w:rPr>
        <w:t xml:space="preserve">sulfate </w:t>
      </w:r>
      <w:r w:rsidRPr="00671239">
        <w:rPr>
          <w:rFonts w:eastAsia="新細明體"/>
        </w:rPr>
        <w:t>(QY = 54% in 0.1 M H</w:t>
      </w:r>
      <w:r w:rsidRPr="00671239">
        <w:rPr>
          <w:rFonts w:eastAsia="新細明體"/>
          <w:vertAlign w:val="subscript"/>
        </w:rPr>
        <w:t>2</w:t>
      </w:r>
      <w:r w:rsidRPr="00671239">
        <w:rPr>
          <w:rFonts w:eastAsia="新細明體"/>
        </w:rPr>
        <w:t>SO</w:t>
      </w:r>
      <w:r w:rsidRPr="00671239">
        <w:rPr>
          <w:rFonts w:eastAsia="新細明體"/>
          <w:vertAlign w:val="subscript"/>
        </w:rPr>
        <w:t>4</w:t>
      </w:r>
      <w:r w:rsidRPr="00671239">
        <w:rPr>
          <w:rFonts w:eastAsia="新細明體"/>
        </w:rPr>
        <w:t xml:space="preserve">) </w:t>
      </w:r>
      <w:r w:rsidRPr="00671239">
        <w:rPr>
          <w:rFonts w:eastAsia="新細明體"/>
          <w:bCs/>
        </w:rPr>
        <w:t>as the standard</w:t>
      </w:r>
      <w:r w:rsidRPr="00671239">
        <w:rPr>
          <w:rFonts w:eastAsia="新細明體"/>
        </w:rPr>
        <w:t>. The fluorescence and UV</w:t>
      </w:r>
      <w:r w:rsidRPr="00671239">
        <w:rPr>
          <w:rFonts w:eastAsia="新細明體"/>
        </w:rPr>
        <w:sym w:font="Symbol" w:char="F02D"/>
      </w:r>
      <w:r w:rsidRPr="00671239">
        <w:rPr>
          <w:rFonts w:eastAsia="新細明體"/>
        </w:rPr>
        <w:t>Vis absorption spectra of CNGs were recorded using a monochromatic microplate spectrophotometer (Synergy 4 Multi-Mode; Biotek Instruments, Winooski, VT, USA). Fourier</w:t>
      </w:r>
      <w:r w:rsidRPr="00671239" w:rsidDel="00253002">
        <w:rPr>
          <w:rFonts w:eastAsia="新細明體"/>
        </w:rPr>
        <w:t xml:space="preserve"> </w:t>
      </w:r>
      <w:r w:rsidR="00B93287" w:rsidRPr="00671239">
        <w:rPr>
          <w:rFonts w:eastAsia="新細明體"/>
        </w:rPr>
        <w:t>transform in</w:t>
      </w:r>
      <w:r w:rsidRPr="00671239">
        <w:rPr>
          <w:rFonts w:eastAsia="新細明體"/>
        </w:rPr>
        <w:t>frared (FT</w:t>
      </w:r>
      <w:r w:rsidR="00B93287" w:rsidRPr="00671239">
        <w:rPr>
          <w:rFonts w:eastAsia="新細明體"/>
        </w:rPr>
        <w:t>-</w:t>
      </w:r>
      <w:r w:rsidRPr="00671239">
        <w:rPr>
          <w:rFonts w:eastAsia="新細明體"/>
        </w:rPr>
        <w:t>IR) spectra</w:t>
      </w:r>
      <w:r w:rsidRPr="00671239">
        <w:rPr>
          <w:rFonts w:eastAsia="新細明體"/>
          <w:bCs/>
        </w:rPr>
        <w:t xml:space="preserve"> in transmission mode within 500</w:t>
      </w:r>
      <w:r w:rsidRPr="00671239">
        <w:rPr>
          <w:rFonts w:eastAsia="新細明體"/>
          <w:bCs/>
          <w:lang w:val="de-DE"/>
        </w:rPr>
        <w:sym w:font="Symbol" w:char="F02D"/>
      </w:r>
      <w:r w:rsidRPr="00671239">
        <w:rPr>
          <w:rFonts w:eastAsia="新細明體"/>
          <w:bCs/>
        </w:rPr>
        <w:t>4,000 cm</w:t>
      </w:r>
      <w:r w:rsidRPr="00671239">
        <w:rPr>
          <w:rFonts w:eastAsia="新細明體"/>
          <w:bCs/>
          <w:vertAlign w:val="superscript"/>
          <w:lang w:val="de-DE"/>
        </w:rPr>
        <w:sym w:font="Symbol" w:char="F02D"/>
      </w:r>
      <w:r w:rsidRPr="00671239">
        <w:rPr>
          <w:rFonts w:eastAsia="新細明體"/>
          <w:bCs/>
          <w:vertAlign w:val="superscript"/>
        </w:rPr>
        <w:t>1</w:t>
      </w:r>
      <w:r w:rsidRPr="00671239">
        <w:rPr>
          <w:rFonts w:eastAsia="新細明體"/>
          <w:bCs/>
        </w:rPr>
        <w:t xml:space="preserve"> were recorded by </w:t>
      </w:r>
      <w:r w:rsidR="008E3F94" w:rsidRPr="00671239">
        <w:rPr>
          <w:rFonts w:eastAsia="新細明體"/>
          <w:bCs/>
        </w:rPr>
        <w:t>the</w:t>
      </w:r>
      <w:r w:rsidRPr="00671239">
        <w:rPr>
          <w:rFonts w:eastAsia="新細明體"/>
        </w:rPr>
        <w:t xml:space="preserve"> FT-IR-6100 (JASCO, Tokyo, Japan) to identify the possible functional groups in the CNGs. </w:t>
      </w:r>
      <w:r w:rsidRPr="00671239">
        <w:rPr>
          <w:rFonts w:eastAsia="新細明體"/>
          <w:bCs/>
        </w:rPr>
        <w:t xml:space="preserve">Elemental analysis (EA) of the </w:t>
      </w:r>
      <w:r w:rsidRPr="00671239">
        <w:rPr>
          <w:rFonts w:eastAsia="新細明體"/>
        </w:rPr>
        <w:t>CNGs</w:t>
      </w:r>
      <w:r w:rsidRPr="00671239">
        <w:rPr>
          <w:rFonts w:eastAsia="新細明體"/>
          <w:bCs/>
        </w:rPr>
        <w:t xml:space="preserve"> was performed by using a Vario EL cube analyzer (Elementar, Hanau, Germany) for C, H, O, and N. </w:t>
      </w:r>
      <w:r w:rsidRPr="00671239">
        <w:rPr>
          <w:rFonts w:eastAsia="新細明體"/>
        </w:rPr>
        <w:t xml:space="preserve">The X-ray photoelectron spectroscopy (XPS) analysis of CNGs was performed using a ES-CALAB 250 spectrometer (VG Scientific, East Grinstead, UK) with Al Kα X-ray radiation as the X-ray source for excitation. The CNGs (100 </w:t>
      </w:r>
      <w:r w:rsidRPr="00671239">
        <w:rPr>
          <w:rFonts w:eastAsia="新細明體"/>
        </w:rPr>
        <w:sym w:font="Symbol" w:char="F06D"/>
      </w:r>
      <w:r w:rsidRPr="00671239">
        <w:rPr>
          <w:rFonts w:eastAsia="新細明體"/>
        </w:rPr>
        <w:t>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were fixed onto poly-D-lysine-coated slide to obtain fluorescence images under an optical microscope (Olympus BX61, Tokyo, Japan) with a digital camera (Olympus DP71). The average particle size of CNGs was determined using a transmission electron microscope (TEM; FEI Tecnai G2 F20 S-TWIN). 15 </w:t>
      </w:r>
      <w:r w:rsidRPr="00671239">
        <w:rPr>
          <w:rFonts w:eastAsia="新細明體"/>
        </w:rPr>
        <w:sym w:font="Symbol" w:char="F06D"/>
      </w:r>
      <w:r w:rsidRPr="00671239">
        <w:rPr>
          <w:rFonts w:eastAsia="新細明體"/>
        </w:rPr>
        <w:t xml:space="preserve">L of CNGs (100 </w:t>
      </w:r>
      <w:r w:rsidRPr="00671239">
        <w:rPr>
          <w:rFonts w:eastAsia="新細明體"/>
        </w:rPr>
        <w:sym w:font="Symbol" w:char="F06D"/>
      </w:r>
      <w:r w:rsidRPr="00671239">
        <w:rPr>
          <w:rFonts w:eastAsia="新細明體"/>
        </w:rPr>
        <w:t>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was dropped onto a 300-mesh copper grid (formvar/carbon-coated) and dried under vacuum for 24 h. The lattice fringes of the CNGs were analyzed by DigitalMicrograph software (Gatan, Pleasanton, CA, USA). The cryo-electron microscope (cryo-EM) images of the CNGs prepared from an automated specimen-preparation device (FEI Vitrobot system) were recorded by Tecnai G2 F20 S-TWIN systems with cryo-holder (Philips/FEI, OG, USA). Briefly, the CNGs (1 mg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10 </w:t>
      </w:r>
      <w:r w:rsidRPr="00671239">
        <w:rPr>
          <w:rFonts w:eastAsia="新細明體"/>
        </w:rPr>
        <w:sym w:font="Symbol" w:char="F06D"/>
      </w:r>
      <w:r w:rsidRPr="00671239">
        <w:rPr>
          <w:rFonts w:eastAsia="新細明體"/>
        </w:rPr>
        <w:t xml:space="preserve">L) were dropped onto 300-mesh copper grid (formvar/carbon-coated) and held by tweezers in the Vitrobot system. The sample droplet was blotted with a filter paper, after which the sample was immediately plunged into liquid ethane to produce a vitrified sample, and then transferred to liquid nitrogen storage for 24 h before use. The CNGs on the copper grid were mounted onto SEM specimen stubs and sputtered with gold, then the SEM images were captured with a Hitachi S-4800 SEM (JEOL, Tokyo, Japan). </w:t>
      </w:r>
    </w:p>
    <w:p w14:paraId="39E88DB5" w14:textId="77777777" w:rsidR="0035496B" w:rsidRPr="00671239" w:rsidRDefault="0035496B" w:rsidP="00444A40">
      <w:pPr>
        <w:spacing w:line="480" w:lineRule="auto"/>
        <w:jc w:val="both"/>
        <w:rPr>
          <w:rFonts w:eastAsia="新細明體"/>
          <w:b/>
        </w:rPr>
      </w:pPr>
    </w:p>
    <w:p w14:paraId="2BE97357" w14:textId="77777777" w:rsidR="0035496B" w:rsidRDefault="00D3257C" w:rsidP="00444A40">
      <w:pPr>
        <w:spacing w:line="480" w:lineRule="auto"/>
        <w:jc w:val="both"/>
        <w:rPr>
          <w:rFonts w:eastAsia="新細明體"/>
          <w:b/>
          <w:bCs/>
        </w:rPr>
      </w:pPr>
      <w:r w:rsidRPr="0035496B">
        <w:rPr>
          <w:rFonts w:eastAsia="新細明體"/>
          <w:b/>
        </w:rPr>
        <w:t>Bacterial labeling</w:t>
      </w:r>
      <w:r w:rsidRPr="00671239">
        <w:rPr>
          <w:rFonts w:eastAsia="新細明體"/>
          <w:b/>
          <w:bCs/>
        </w:rPr>
        <w:t xml:space="preserve"> </w:t>
      </w:r>
    </w:p>
    <w:p w14:paraId="07881FF3" w14:textId="78CA2AEC" w:rsidR="00D3257C" w:rsidRDefault="00D3257C" w:rsidP="00444A40">
      <w:pPr>
        <w:spacing w:line="480" w:lineRule="auto"/>
        <w:jc w:val="both"/>
        <w:rPr>
          <w:rFonts w:eastAsia="新細明體"/>
        </w:rPr>
      </w:pPr>
      <w:r w:rsidRPr="00671239">
        <w:rPr>
          <w:rFonts w:eastAsia="新細明體"/>
          <w:bCs/>
        </w:rPr>
        <w:t>Bacterial suspensions (</w:t>
      </w:r>
      <w:r w:rsidRPr="00671239">
        <w:rPr>
          <w:rFonts w:eastAsia="新細明體"/>
        </w:rPr>
        <w:t>10</w:t>
      </w:r>
      <w:r w:rsidRPr="00671239">
        <w:rPr>
          <w:rFonts w:eastAsia="新細明體"/>
          <w:vertAlign w:val="superscript"/>
        </w:rPr>
        <w:t>7</w:t>
      </w:r>
      <w:r w:rsidRPr="00671239">
        <w:rPr>
          <w:rFonts w:eastAsia="新細明體"/>
        </w:rPr>
        <w:t xml:space="preserve"> CFU mL</w:t>
      </w:r>
      <w:r w:rsidRPr="00671239">
        <w:rPr>
          <w:rFonts w:eastAsia="新細明體"/>
          <w:vertAlign w:val="superscript"/>
        </w:rPr>
        <w:t>−1</w:t>
      </w:r>
      <w:r w:rsidRPr="00671239">
        <w:rPr>
          <w:rFonts w:eastAsia="新細明體"/>
          <w:bCs/>
        </w:rPr>
        <w:t>) of</w:t>
      </w:r>
      <w:r w:rsidRPr="00671239">
        <w:rPr>
          <w:rFonts w:eastAsia="新細明體"/>
          <w:b/>
          <w:bCs/>
        </w:rPr>
        <w:t xml:space="preserve"> </w:t>
      </w:r>
      <w:r w:rsidRPr="00671239">
        <w:rPr>
          <w:rFonts w:eastAsia="新細明體"/>
          <w:i/>
          <w:lang w:val="en-GB"/>
        </w:rPr>
        <w:t>E. coli</w:t>
      </w:r>
      <w:r w:rsidRPr="00671239">
        <w:rPr>
          <w:rFonts w:eastAsia="新細明體"/>
        </w:rPr>
        <w:t xml:space="preserve">, </w:t>
      </w:r>
      <w:r w:rsidRPr="00671239">
        <w:rPr>
          <w:rFonts w:eastAsia="新細明體"/>
          <w:i/>
        </w:rPr>
        <w:t>S</w:t>
      </w:r>
      <w:r w:rsidRPr="00671239">
        <w:rPr>
          <w:rFonts w:eastAsia="新細明體"/>
        </w:rPr>
        <w:t>.</w:t>
      </w:r>
      <w:r w:rsidRPr="00671239">
        <w:rPr>
          <w:rFonts w:eastAsia="新細明體"/>
          <w:i/>
        </w:rPr>
        <w:t xml:space="preserve"> aureus</w:t>
      </w:r>
      <w:r w:rsidRPr="00671239">
        <w:rPr>
          <w:rFonts w:eastAsia="新細明體"/>
        </w:rPr>
        <w:t xml:space="preserve">, and </w:t>
      </w:r>
      <w:r w:rsidRPr="00671239">
        <w:rPr>
          <w:rFonts w:eastAsia="新細明體"/>
          <w:i/>
        </w:rPr>
        <w:t>V. parahaemolyticus</w:t>
      </w:r>
      <w:r w:rsidRPr="00671239">
        <w:rPr>
          <w:rFonts w:eastAsia="新細明體"/>
        </w:rPr>
        <w:t xml:space="preserve"> were separately incubated with CNGs (100 </w:t>
      </w:r>
      <w:r w:rsidRPr="00671239">
        <w:rPr>
          <w:rFonts w:eastAsia="新細明體"/>
        </w:rPr>
        <w:sym w:font="Symbol" w:char="F06D"/>
      </w:r>
      <w:r w:rsidRPr="00671239">
        <w:rPr>
          <w:rFonts w:eastAsia="新細明體"/>
        </w:rPr>
        <w:t>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in 5 mM sodium phosphate (pH 7.4) at 25 ℃ under orbital shaking (150 rpm) for 1 h. The mixture was then centrifuged at 3,000 </w:t>
      </w:r>
      <w:r w:rsidRPr="00671239">
        <w:rPr>
          <w:rFonts w:eastAsia="新細明體"/>
          <w:i/>
        </w:rPr>
        <w:t>g</w:t>
      </w:r>
      <w:r w:rsidRPr="00671239">
        <w:rPr>
          <w:rFonts w:eastAsia="新細明體"/>
        </w:rPr>
        <w:t xml:space="preserve"> for 5 min and washed three times with PBS solution or 5 mM sodium phosphate (pH 7.4) with 3% NaCl. Then, the CNGs-treated bacteria solution was dropped onto glass slides coated with poly-L-lysine (Thermo Fisher Scientific, Inc., Waltham, MA, USA) for fluorescence observation. The fluorescence images of untreated and treated bacteria under various excitation wavelengths (UV light; 330–385 nm), (blue; 450–480 nm), and (green light; 510–540 nm) were captured using an Olympus BX61 microscope (Tokyo, Japan) with an Olympus DP71 digital camera. </w:t>
      </w:r>
    </w:p>
    <w:p w14:paraId="7EDDA09C" w14:textId="77777777" w:rsidR="00E340D9" w:rsidRPr="00671239" w:rsidRDefault="00E340D9" w:rsidP="00444A40">
      <w:pPr>
        <w:spacing w:line="480" w:lineRule="auto"/>
        <w:jc w:val="both"/>
        <w:rPr>
          <w:rFonts w:eastAsia="新細明體"/>
          <w:b/>
          <w:bCs/>
        </w:rPr>
      </w:pPr>
    </w:p>
    <w:p w14:paraId="25F68CFC" w14:textId="77777777" w:rsidR="00E340D9" w:rsidRDefault="00D3257C" w:rsidP="00444A40">
      <w:pPr>
        <w:spacing w:line="480" w:lineRule="auto"/>
        <w:jc w:val="both"/>
        <w:rPr>
          <w:rFonts w:eastAsia="新細明體"/>
          <w:bCs/>
          <w:i/>
        </w:rPr>
      </w:pPr>
      <w:r w:rsidRPr="00E340D9">
        <w:rPr>
          <w:rFonts w:eastAsia="新細明體"/>
          <w:b/>
          <w:bCs/>
        </w:rPr>
        <w:t>TEM images of bacteria</w:t>
      </w:r>
      <w:r w:rsidRPr="00671239">
        <w:rPr>
          <w:rFonts w:eastAsia="新細明體"/>
          <w:bCs/>
          <w:i/>
        </w:rPr>
        <w:t xml:space="preserve"> </w:t>
      </w:r>
    </w:p>
    <w:p w14:paraId="3A1C58AD" w14:textId="7E8B6DFE" w:rsidR="00D3257C" w:rsidRDefault="00D3257C" w:rsidP="00444A40">
      <w:pPr>
        <w:spacing w:line="480" w:lineRule="auto"/>
        <w:jc w:val="both"/>
        <w:rPr>
          <w:rFonts w:eastAsia="新細明體"/>
        </w:rPr>
      </w:pPr>
      <w:r w:rsidRPr="00671239">
        <w:rPr>
          <w:rFonts w:eastAsia="新細明體"/>
        </w:rPr>
        <w:t>The suspensions (10</w:t>
      </w:r>
      <w:r w:rsidRPr="00671239">
        <w:rPr>
          <w:rFonts w:eastAsia="新細明體"/>
          <w:vertAlign w:val="superscript"/>
        </w:rPr>
        <w:t>9</w:t>
      </w:r>
      <w:r w:rsidRPr="00671239">
        <w:rPr>
          <w:rFonts w:eastAsia="新細明體"/>
        </w:rPr>
        <w:t xml:space="preserve"> CFU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of </w:t>
      </w:r>
      <w:r w:rsidRPr="00671239">
        <w:rPr>
          <w:rFonts w:eastAsia="新細明體"/>
          <w:i/>
          <w:lang w:val="en-GB"/>
        </w:rPr>
        <w:t>E. coli</w:t>
      </w:r>
      <w:r w:rsidRPr="00671239">
        <w:rPr>
          <w:rFonts w:eastAsia="新細明體"/>
        </w:rPr>
        <w:t xml:space="preserve">, </w:t>
      </w:r>
      <w:r w:rsidRPr="00671239">
        <w:rPr>
          <w:rFonts w:eastAsia="新細明體"/>
          <w:i/>
        </w:rPr>
        <w:t>S</w:t>
      </w:r>
      <w:r w:rsidRPr="00671239">
        <w:rPr>
          <w:rFonts w:eastAsia="新細明體"/>
        </w:rPr>
        <w:t>.</w:t>
      </w:r>
      <w:r w:rsidRPr="00671239">
        <w:rPr>
          <w:rFonts w:eastAsia="新細明體"/>
          <w:i/>
        </w:rPr>
        <w:t xml:space="preserve"> aureus</w:t>
      </w:r>
      <w:r w:rsidRPr="00671239">
        <w:rPr>
          <w:rFonts w:eastAsia="新細明體"/>
        </w:rPr>
        <w:t xml:space="preserve">, and </w:t>
      </w:r>
      <w:r w:rsidRPr="00671239">
        <w:rPr>
          <w:rFonts w:eastAsia="新細明體"/>
          <w:i/>
        </w:rPr>
        <w:t>V. parahaemolyticus</w:t>
      </w:r>
      <w:r w:rsidRPr="00671239">
        <w:rPr>
          <w:rFonts w:eastAsia="新細明體"/>
        </w:rPr>
        <w:t xml:space="preserve"> were centrifuged at 3,000 </w:t>
      </w:r>
      <w:r w:rsidRPr="00671239">
        <w:rPr>
          <w:rFonts w:eastAsia="新細明體"/>
          <w:i/>
        </w:rPr>
        <w:t>g</w:t>
      </w:r>
      <w:r w:rsidRPr="00671239">
        <w:rPr>
          <w:rFonts w:eastAsia="新細明體"/>
        </w:rPr>
        <w:t xml:space="preserve"> for 5 min and washed three times with the respective buffer solution. Then, each bacterial culture was incubated with </w:t>
      </w:r>
      <w:r w:rsidRPr="00671239">
        <w:rPr>
          <w:rFonts w:eastAsia="新細明體"/>
          <w:bCs/>
        </w:rPr>
        <w:t>DAO/DEX</w:t>
      </w:r>
      <w:r w:rsidRPr="00671239">
        <w:rPr>
          <w:rFonts w:eastAsia="新細明體"/>
          <w:bCs/>
          <w:vertAlign w:val="subscript"/>
        </w:rPr>
        <w:t>5.0</w:t>
      </w:r>
      <w:r w:rsidRPr="00671239">
        <w:rPr>
          <w:rFonts w:eastAsia="新細明體"/>
          <w:bCs/>
        </w:rPr>
        <w:t>-CNGs</w:t>
      </w:r>
      <w:r w:rsidRPr="00671239">
        <w:rPr>
          <w:rFonts w:eastAsia="新細明體"/>
        </w:rPr>
        <w:t xml:space="preserve"> (100 </w:t>
      </w:r>
      <w:r w:rsidRPr="00671239">
        <w:rPr>
          <w:rFonts w:eastAsia="新細明體"/>
        </w:rPr>
        <w:sym w:font="Symbol" w:char="F06D"/>
      </w:r>
      <w:r w:rsidRPr="00671239">
        <w:rPr>
          <w:rFonts w:eastAsia="新細明體"/>
        </w:rPr>
        <w:t>g mL</w:t>
      </w:r>
      <w:r w:rsidRPr="00671239">
        <w:rPr>
          <w:rFonts w:eastAsia="新細明體"/>
          <w:vertAlign w:val="superscript"/>
        </w:rPr>
        <w:t>−1</w:t>
      </w:r>
      <w:r w:rsidRPr="00671239">
        <w:rPr>
          <w:rFonts w:eastAsia="新細明體"/>
        </w:rPr>
        <w:t xml:space="preserve">) for 1 h, and subsequently the mixtures were centrifuged at 3,000 </w:t>
      </w:r>
      <w:r w:rsidRPr="00671239">
        <w:rPr>
          <w:rFonts w:eastAsia="新細明體"/>
          <w:i/>
        </w:rPr>
        <w:t>g</w:t>
      </w:r>
      <w:r w:rsidRPr="00671239">
        <w:rPr>
          <w:rFonts w:eastAsia="新細明體"/>
        </w:rPr>
        <w:t xml:space="preserve"> for 10 min and washed three times to remove the unbound </w:t>
      </w:r>
      <w:r w:rsidRPr="00671239">
        <w:rPr>
          <w:rFonts w:eastAsia="新細明體"/>
          <w:bCs/>
        </w:rPr>
        <w:t>DAO/DEX</w:t>
      </w:r>
      <w:r w:rsidRPr="00671239">
        <w:rPr>
          <w:rFonts w:eastAsia="新細明體"/>
          <w:bCs/>
          <w:vertAlign w:val="subscript"/>
        </w:rPr>
        <w:t>5.0</w:t>
      </w:r>
      <w:r w:rsidRPr="00671239">
        <w:rPr>
          <w:rFonts w:eastAsia="新細明體"/>
          <w:bCs/>
        </w:rPr>
        <w:t>-CNGs</w:t>
      </w:r>
      <w:r w:rsidRPr="00671239">
        <w:rPr>
          <w:rFonts w:eastAsia="新細明體"/>
        </w:rPr>
        <w:t>. The bacteria (10</w:t>
      </w:r>
      <w:r w:rsidRPr="00671239">
        <w:rPr>
          <w:rFonts w:eastAsia="新細明體"/>
          <w:vertAlign w:val="superscript"/>
        </w:rPr>
        <w:t xml:space="preserve">4 </w:t>
      </w:r>
      <w:r w:rsidRPr="00671239">
        <w:rPr>
          <w:rFonts w:eastAsia="新細明體"/>
        </w:rPr>
        <w:t>CFU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were fixed onto the copper grid and dried under vacuum for 1 h to observe using a TEM (HITACHI, Tokyo, Japan). </w:t>
      </w:r>
    </w:p>
    <w:p w14:paraId="4607B04B" w14:textId="77777777" w:rsidR="00E340D9" w:rsidRPr="00671239" w:rsidRDefault="00E340D9" w:rsidP="00444A40">
      <w:pPr>
        <w:spacing w:line="480" w:lineRule="auto"/>
        <w:jc w:val="both"/>
        <w:rPr>
          <w:rFonts w:eastAsia="新細明體"/>
          <w:b/>
        </w:rPr>
      </w:pPr>
    </w:p>
    <w:p w14:paraId="20F63138" w14:textId="77777777" w:rsidR="00E340D9" w:rsidRDefault="00D3257C" w:rsidP="00444A40">
      <w:pPr>
        <w:spacing w:line="480" w:lineRule="auto"/>
        <w:jc w:val="both"/>
        <w:rPr>
          <w:rFonts w:eastAsia="新細明體"/>
          <w:b/>
        </w:rPr>
      </w:pPr>
      <w:r w:rsidRPr="00E340D9">
        <w:rPr>
          <w:rFonts w:eastAsia="新細明體"/>
          <w:b/>
        </w:rPr>
        <w:t>Intracellular ROS assays</w:t>
      </w:r>
      <w:r w:rsidRPr="00671239">
        <w:rPr>
          <w:rFonts w:eastAsia="新細明體"/>
          <w:b/>
        </w:rPr>
        <w:t xml:space="preserve"> </w:t>
      </w:r>
    </w:p>
    <w:p w14:paraId="5853CC57" w14:textId="010B1375" w:rsidR="00D3257C" w:rsidRDefault="00D3257C" w:rsidP="00444A40">
      <w:pPr>
        <w:spacing w:line="480" w:lineRule="auto"/>
        <w:jc w:val="both"/>
        <w:rPr>
          <w:rFonts w:eastAsia="新細明體"/>
        </w:rPr>
      </w:pPr>
      <w:r w:rsidRPr="00671239">
        <w:rPr>
          <w:rFonts w:eastAsia="新細明體"/>
          <w:bCs/>
        </w:rPr>
        <w:t xml:space="preserve">The </w:t>
      </w:r>
      <w:r w:rsidRPr="00671239">
        <w:rPr>
          <w:rFonts w:eastAsia="新細明體"/>
          <w:i/>
        </w:rPr>
        <w:t>V. parahaemolyticus</w:t>
      </w:r>
      <w:r w:rsidRPr="00671239" w:rsidDel="005C1884">
        <w:rPr>
          <w:rFonts w:eastAsia="新細明體"/>
          <w:bCs/>
        </w:rPr>
        <w:t xml:space="preserve"> </w:t>
      </w:r>
      <w:r w:rsidRPr="00671239">
        <w:rPr>
          <w:rFonts w:eastAsia="新細明體"/>
        </w:rPr>
        <w:t>(10</w:t>
      </w:r>
      <w:r w:rsidRPr="00671239">
        <w:rPr>
          <w:rFonts w:eastAsia="新細明體"/>
          <w:vertAlign w:val="superscript"/>
        </w:rPr>
        <w:t>7</w:t>
      </w:r>
      <w:r w:rsidRPr="00671239">
        <w:rPr>
          <w:rFonts w:eastAsia="新細明體"/>
        </w:rPr>
        <w:t xml:space="preserve"> CFU mL</w:t>
      </w:r>
      <w:r w:rsidRPr="00671239">
        <w:rPr>
          <w:rFonts w:eastAsia="新細明體"/>
          <w:vertAlign w:val="superscript"/>
        </w:rPr>
        <w:t>−1</w:t>
      </w:r>
      <w:r w:rsidRPr="00671239">
        <w:rPr>
          <w:rFonts w:eastAsia="新細明體"/>
        </w:rPr>
        <w:t>)</w:t>
      </w:r>
      <w:r w:rsidRPr="00671239">
        <w:rPr>
          <w:rFonts w:eastAsia="新細明體"/>
          <w:bCs/>
        </w:rPr>
        <w:t xml:space="preserve"> suspensions in </w:t>
      </w:r>
      <w:r w:rsidRPr="00671239">
        <w:rPr>
          <w:rFonts w:eastAsia="新細明體"/>
        </w:rPr>
        <w:t>sodium phosphate</w:t>
      </w:r>
      <w:r w:rsidRPr="00671239" w:rsidDel="005C1884">
        <w:rPr>
          <w:rFonts w:eastAsia="新細明體"/>
        </w:rPr>
        <w:t xml:space="preserve"> </w:t>
      </w:r>
      <w:r w:rsidRPr="00671239">
        <w:rPr>
          <w:rFonts w:eastAsia="新細明體"/>
        </w:rPr>
        <w:t>buffer (</w:t>
      </w:r>
      <w:r w:rsidRPr="00671239">
        <w:rPr>
          <w:rFonts w:eastAsia="新細明體"/>
          <w:bCs/>
        </w:rPr>
        <w:t>5 mM</w:t>
      </w:r>
      <w:r w:rsidRPr="00671239">
        <w:rPr>
          <w:rFonts w:eastAsia="新細明體"/>
        </w:rPr>
        <w:t xml:space="preserve">, pH 7.4) </w:t>
      </w:r>
      <w:r w:rsidRPr="00671239">
        <w:rPr>
          <w:rFonts w:eastAsia="新細明體"/>
          <w:bCs/>
        </w:rPr>
        <w:t>containing 3% NaCl were incubated with hydrogen peroxide (H</w:t>
      </w:r>
      <w:r w:rsidRPr="00671239">
        <w:rPr>
          <w:rFonts w:eastAsia="新細明體"/>
          <w:bCs/>
          <w:vertAlign w:val="subscript"/>
        </w:rPr>
        <w:t>2</w:t>
      </w:r>
      <w:r w:rsidRPr="00671239">
        <w:rPr>
          <w:rFonts w:eastAsia="新細明體"/>
          <w:bCs/>
        </w:rPr>
        <w:t>O</w:t>
      </w:r>
      <w:r w:rsidRPr="00671239">
        <w:rPr>
          <w:rFonts w:eastAsia="新細明體"/>
          <w:bCs/>
          <w:vertAlign w:val="subscript"/>
        </w:rPr>
        <w:t>2</w:t>
      </w:r>
      <w:r w:rsidRPr="00671239">
        <w:rPr>
          <w:rFonts w:eastAsia="新細明體"/>
          <w:bCs/>
        </w:rPr>
        <w:t>, 10 μg mL</w:t>
      </w:r>
      <w:r w:rsidRPr="00671239">
        <w:rPr>
          <w:rFonts w:eastAsia="新細明體"/>
          <w:bCs/>
          <w:vertAlign w:val="superscript"/>
        </w:rPr>
        <w:sym w:font="Symbol" w:char="F02D"/>
      </w:r>
      <w:r w:rsidRPr="00671239">
        <w:rPr>
          <w:rFonts w:eastAsia="新細明體"/>
          <w:bCs/>
          <w:vertAlign w:val="superscript"/>
        </w:rPr>
        <w:t>1</w:t>
      </w:r>
      <w:r w:rsidRPr="00671239">
        <w:rPr>
          <w:rFonts w:eastAsia="新細明體"/>
          <w:bCs/>
        </w:rPr>
        <w:t>) and DAO/DEX</w:t>
      </w:r>
      <w:r w:rsidRPr="00671239">
        <w:rPr>
          <w:rFonts w:eastAsia="新細明體"/>
          <w:bCs/>
          <w:vertAlign w:val="subscript"/>
        </w:rPr>
        <w:t>5.0</w:t>
      </w:r>
      <w:r w:rsidRPr="00671239">
        <w:rPr>
          <w:rFonts w:eastAsia="新細明體"/>
          <w:bCs/>
        </w:rPr>
        <w:t>-CNGs (10</w:t>
      </w:r>
      <w:r w:rsidRPr="00671239">
        <w:rPr>
          <w:rFonts w:eastAsia="新細明體"/>
          <w:bCs/>
        </w:rPr>
        <w:sym w:font="Symbol" w:char="F02D"/>
      </w:r>
      <w:r w:rsidRPr="00671239">
        <w:rPr>
          <w:rFonts w:eastAsia="新細明體"/>
          <w:bCs/>
        </w:rPr>
        <w:t xml:space="preserve">100 </w:t>
      </w:r>
      <w:r w:rsidRPr="00671239">
        <w:rPr>
          <w:rFonts w:eastAsia="新細明體"/>
        </w:rPr>
        <w:t>µg mL</w:t>
      </w:r>
      <w:r w:rsidRPr="00671239">
        <w:rPr>
          <w:rFonts w:eastAsia="新細明體"/>
          <w:vertAlign w:val="superscript"/>
        </w:rPr>
        <w:sym w:font="Symbol" w:char="F02D"/>
      </w:r>
      <w:r w:rsidRPr="00671239">
        <w:rPr>
          <w:rFonts w:eastAsia="新細明體"/>
          <w:vertAlign w:val="superscript"/>
        </w:rPr>
        <w:t>1</w:t>
      </w:r>
      <w:r w:rsidRPr="00671239">
        <w:rPr>
          <w:rFonts w:eastAsia="新細明體"/>
          <w:bCs/>
        </w:rPr>
        <w:t>) at 25 ℃ for 3 h</w:t>
      </w:r>
      <w:r w:rsidRPr="00671239">
        <w:rPr>
          <w:rFonts w:eastAsia="新細明體"/>
        </w:rPr>
        <w:t xml:space="preserve">. Then the mixtures were centrifuged at 3,000 </w:t>
      </w:r>
      <w:r w:rsidRPr="00671239">
        <w:rPr>
          <w:rFonts w:eastAsia="新細明體"/>
          <w:i/>
        </w:rPr>
        <w:t>g</w:t>
      </w:r>
      <w:r w:rsidRPr="00671239">
        <w:rPr>
          <w:rFonts w:eastAsia="新細明體"/>
        </w:rPr>
        <w:t xml:space="preserve"> for 10 min and washed three times with their </w:t>
      </w:r>
      <w:r w:rsidRPr="00671239">
        <w:rPr>
          <w:rFonts w:eastAsia="新細明體"/>
          <w:bCs/>
        </w:rPr>
        <w:t xml:space="preserve">respective buffer. </w:t>
      </w:r>
      <w:r w:rsidRPr="00671239">
        <w:rPr>
          <w:rFonts w:eastAsia="新細明體"/>
        </w:rPr>
        <w:t xml:space="preserve">Each of the bacterial suspension </w:t>
      </w:r>
      <w:r w:rsidRPr="00671239">
        <w:rPr>
          <w:rFonts w:eastAsia="新細明體"/>
          <w:bCs/>
        </w:rPr>
        <w:t xml:space="preserve">was further incubated with DCFH-DA (10 </w:t>
      </w:r>
      <w:r w:rsidRPr="00671239">
        <w:rPr>
          <w:rFonts w:eastAsia="新細明體"/>
          <w:bCs/>
        </w:rPr>
        <w:sym w:font="Symbol" w:char="F06D"/>
      </w:r>
      <w:r w:rsidRPr="00671239">
        <w:rPr>
          <w:rFonts w:eastAsia="新細明體"/>
          <w:bCs/>
        </w:rPr>
        <w:t xml:space="preserve">M) at 25 ℃ for 30 min in dark, centrifuged </w:t>
      </w:r>
      <w:r w:rsidRPr="00671239">
        <w:rPr>
          <w:rFonts w:eastAsia="新細明體"/>
        </w:rPr>
        <w:t xml:space="preserve">(3,000 </w:t>
      </w:r>
      <w:r w:rsidRPr="00671239">
        <w:rPr>
          <w:rFonts w:eastAsia="新細明體"/>
          <w:i/>
        </w:rPr>
        <w:t>g</w:t>
      </w:r>
      <w:r w:rsidRPr="00671239">
        <w:rPr>
          <w:rFonts w:eastAsia="新細明體"/>
        </w:rPr>
        <w:t>, 10 min), and washed thrice to remove unbound DCFH-DA</w:t>
      </w:r>
      <w:r w:rsidRPr="00671239">
        <w:rPr>
          <w:rFonts w:eastAsia="新細明體"/>
          <w:bCs/>
        </w:rPr>
        <w:t>. 200 μL from each resuspended solution was transferred into a 96-well flat</w:t>
      </w:r>
      <w:r w:rsidR="008E3F94" w:rsidRPr="00671239">
        <w:rPr>
          <w:rFonts w:eastAsia="新細明體"/>
          <w:bCs/>
        </w:rPr>
        <w:t>-</w:t>
      </w:r>
      <w:r w:rsidRPr="00671239">
        <w:rPr>
          <w:rFonts w:eastAsia="新細明體"/>
          <w:bCs/>
        </w:rPr>
        <w:t xml:space="preserve">bottom plate to measure the </w:t>
      </w:r>
      <w:r w:rsidRPr="00671239">
        <w:rPr>
          <w:rFonts w:eastAsia="新細明體"/>
        </w:rPr>
        <w:t xml:space="preserve">fluorescence intensity </w:t>
      </w:r>
      <w:r w:rsidRPr="00671239">
        <w:rPr>
          <w:rFonts w:eastAsia="新細明體"/>
          <w:bCs/>
        </w:rPr>
        <w:t>at</w:t>
      </w:r>
      <w:r w:rsidRPr="00671239">
        <w:rPr>
          <w:rFonts w:eastAsia="新細明體"/>
        </w:rPr>
        <w:t xml:space="preserve"> excitation/emission wavelengths of 488/525 nm, respectively using a </w:t>
      </w:r>
      <w:r w:rsidRPr="00671239">
        <w:rPr>
          <w:rFonts w:eastAsia="新細明體"/>
          <w:bCs/>
        </w:rPr>
        <w:t>Synergy 4 multimode microplate spectrophotometer</w:t>
      </w:r>
      <w:r w:rsidRPr="00671239">
        <w:rPr>
          <w:rFonts w:eastAsia="新細明體"/>
        </w:rPr>
        <w:t xml:space="preserve">. The fluorescence images of </w:t>
      </w:r>
      <w:r w:rsidRPr="00671239">
        <w:rPr>
          <w:rFonts w:eastAsia="新細明體"/>
          <w:i/>
        </w:rPr>
        <w:t>V. parahaemolyticus</w:t>
      </w:r>
      <w:r w:rsidRPr="00671239">
        <w:rPr>
          <w:rFonts w:eastAsia="新細明體"/>
          <w:bCs/>
        </w:rPr>
        <w:t xml:space="preserve"> using</w:t>
      </w:r>
      <w:r w:rsidRPr="00671239">
        <w:rPr>
          <w:rFonts w:eastAsia="新細明體"/>
        </w:rPr>
        <w:t xml:space="preserve"> excitation (330−385 nm) and emission (420 nm) filters were acquired </w:t>
      </w:r>
      <w:r w:rsidRPr="00671239">
        <w:rPr>
          <w:rFonts w:eastAsia="新細明體"/>
          <w:bCs/>
        </w:rPr>
        <w:t>by an Olympus BX61 microscope with a digital camera (Olympus DP71).</w:t>
      </w:r>
      <w:r w:rsidRPr="00671239">
        <w:rPr>
          <w:rFonts w:eastAsia="新細明體"/>
        </w:rPr>
        <w:t xml:space="preserve"> </w:t>
      </w:r>
    </w:p>
    <w:p w14:paraId="3E6A3FA7" w14:textId="77777777" w:rsidR="0035496B" w:rsidRPr="0035496B" w:rsidRDefault="0035496B" w:rsidP="00444A40">
      <w:pPr>
        <w:spacing w:line="480" w:lineRule="auto"/>
        <w:jc w:val="both"/>
        <w:rPr>
          <w:rFonts w:eastAsia="新細明體"/>
          <w:bCs/>
        </w:rPr>
      </w:pPr>
    </w:p>
    <w:p w14:paraId="01B80820" w14:textId="38E87F68" w:rsidR="0035496B" w:rsidRPr="0035496B" w:rsidRDefault="00D3257C" w:rsidP="00444A40">
      <w:pPr>
        <w:spacing w:line="480" w:lineRule="auto"/>
        <w:jc w:val="both"/>
        <w:rPr>
          <w:rFonts w:eastAsia="新細明體"/>
          <w:b/>
          <w:bCs/>
        </w:rPr>
      </w:pPr>
      <w:r w:rsidRPr="0035496B">
        <w:rPr>
          <w:rFonts w:eastAsia="新細明體"/>
          <w:b/>
          <w:bCs/>
        </w:rPr>
        <w:t xml:space="preserve">In </w:t>
      </w:r>
      <w:r w:rsidR="0027440A" w:rsidRPr="0035496B">
        <w:rPr>
          <w:rFonts w:eastAsia="新細明體"/>
          <w:b/>
          <w:bCs/>
        </w:rPr>
        <w:t>v</w:t>
      </w:r>
      <w:r w:rsidRPr="0035496B">
        <w:rPr>
          <w:rFonts w:eastAsia="新細明體"/>
          <w:b/>
          <w:bCs/>
        </w:rPr>
        <w:t>itro cytotoxicity assays</w:t>
      </w:r>
      <w:r w:rsidR="0035496B" w:rsidRPr="0035496B">
        <w:rPr>
          <w:rFonts w:eastAsia="新細明體"/>
          <w:b/>
          <w:bCs/>
        </w:rPr>
        <w:t xml:space="preserve"> </w:t>
      </w:r>
    </w:p>
    <w:p w14:paraId="145A50A4" w14:textId="082E39A1" w:rsidR="00D3257C" w:rsidRDefault="00D3257C" w:rsidP="00444A40">
      <w:pPr>
        <w:spacing w:line="480" w:lineRule="auto"/>
        <w:jc w:val="both"/>
        <w:rPr>
          <w:rFonts w:eastAsia="新細明體"/>
        </w:rPr>
      </w:pPr>
      <w:r w:rsidRPr="00671239">
        <w:rPr>
          <w:rFonts w:eastAsia="新細明體"/>
          <w:bCs/>
        </w:rPr>
        <w:t>Cytotoxicity of DAO/DEX</w:t>
      </w:r>
      <w:r w:rsidRPr="00671239">
        <w:rPr>
          <w:rFonts w:eastAsia="新細明體"/>
          <w:bCs/>
          <w:vertAlign w:val="subscript"/>
        </w:rPr>
        <w:t>5.0</w:t>
      </w:r>
      <w:r w:rsidRPr="00671239">
        <w:rPr>
          <w:rFonts w:eastAsia="新細明體"/>
          <w:bCs/>
        </w:rPr>
        <w:t xml:space="preserve">-CNGs was investigated against four different </w:t>
      </w:r>
      <w:r w:rsidRPr="00671239">
        <w:rPr>
          <w:rFonts w:eastAsia="新細明體"/>
        </w:rPr>
        <w:t>human cell lines from lung fibroblast (IMR-90), embryonic kidney 293 (HEK-293T), liver epithelial (HepG2), and keratinocyte (HaCaT). Cell lines were obtained from American Type Culture Collection (ATCC, Manassas, VA, USA). HEK-293T &amp; HaCaT and IMR-90 &amp; HepG2 were cultured in Dulbecco’s modified Eagle’s medium (DMEM) and Eagle's Minimum Essential Medium (EMEM), respectively, and were supplemented with fetal bovine serum (FBS, 10%), antibiotic-antimycotic (1%), L-glutamine (2 mM), and nonessential amino acids (NEAA, 1%), and incubated with 5% CO</w:t>
      </w:r>
      <w:r w:rsidRPr="00671239">
        <w:rPr>
          <w:rFonts w:eastAsia="新細明體"/>
          <w:vertAlign w:val="subscript"/>
        </w:rPr>
        <w:t>2</w:t>
      </w:r>
      <w:r w:rsidRPr="00671239">
        <w:rPr>
          <w:rFonts w:eastAsia="新細明體"/>
        </w:rPr>
        <w:t xml:space="preserve"> at 37 ℃. The cell number was determined by the trypan blue exclusion method. The cell viability was determined using an alamarBlue assay. Briefly, each of the cell lines (</w:t>
      </w:r>
      <w:r w:rsidRPr="00671239">
        <w:rPr>
          <w:rFonts w:eastAsia="新細明體"/>
          <w:i/>
        </w:rPr>
        <w:t>ca.</w:t>
      </w:r>
      <w:r w:rsidRPr="00671239">
        <w:rPr>
          <w:rFonts w:eastAsia="新細明體"/>
        </w:rPr>
        <w:t xml:space="preserve"> 1.0 × 10</w:t>
      </w:r>
      <w:r w:rsidRPr="00671239">
        <w:rPr>
          <w:rFonts w:eastAsia="新細明體"/>
          <w:vertAlign w:val="superscript"/>
        </w:rPr>
        <w:t>4</w:t>
      </w:r>
      <w:r w:rsidRPr="00671239">
        <w:rPr>
          <w:rFonts w:eastAsia="新細明體"/>
        </w:rPr>
        <w:t xml:space="preserve"> cells per well) were separately seeded in 96-well plates with respective culture medium containing 5% CO</w:t>
      </w:r>
      <w:r w:rsidRPr="00671239">
        <w:rPr>
          <w:rFonts w:eastAsia="新細明體"/>
          <w:vertAlign w:val="subscript"/>
        </w:rPr>
        <w:t xml:space="preserve">2 </w:t>
      </w:r>
      <w:r w:rsidRPr="00671239">
        <w:rPr>
          <w:rFonts w:eastAsia="新細明體"/>
        </w:rPr>
        <w:t xml:space="preserve">at 37 ℃ for 12 h. Then, 100 </w:t>
      </w:r>
      <w:r w:rsidRPr="00671239">
        <w:rPr>
          <w:rFonts w:eastAsia="新細明體"/>
          <w:lang w:val="de-DE"/>
        </w:rPr>
        <w:sym w:font="Symbol" w:char="F06D"/>
      </w:r>
      <w:r w:rsidRPr="00671239">
        <w:rPr>
          <w:rFonts w:eastAsia="新細明體"/>
        </w:rPr>
        <w:t xml:space="preserve">L of the culture medium from each well was replaced with </w:t>
      </w:r>
      <w:r w:rsidR="008E3F94" w:rsidRPr="00671239">
        <w:rPr>
          <w:rFonts w:eastAsia="新細明體"/>
        </w:rPr>
        <w:t xml:space="preserve">a </w:t>
      </w:r>
      <w:r w:rsidRPr="00671239">
        <w:rPr>
          <w:rFonts w:eastAsia="新細明體"/>
        </w:rPr>
        <w:t>fresh medium containing</w:t>
      </w:r>
      <w:r w:rsidRPr="00671239">
        <w:rPr>
          <w:rFonts w:eastAsia="新細明體"/>
          <w:bCs/>
        </w:rPr>
        <w:t xml:space="preserve"> various concentrations of DAO/DEX</w:t>
      </w:r>
      <w:r w:rsidRPr="00671239">
        <w:rPr>
          <w:rFonts w:eastAsia="新細明體"/>
          <w:bCs/>
          <w:vertAlign w:val="subscript"/>
        </w:rPr>
        <w:t>5.0</w:t>
      </w:r>
      <w:r w:rsidRPr="00671239">
        <w:rPr>
          <w:rFonts w:eastAsia="新細明體"/>
          <w:bCs/>
        </w:rPr>
        <w:t>-CNGs</w:t>
      </w:r>
      <w:r w:rsidRPr="00671239">
        <w:rPr>
          <w:rFonts w:eastAsia="新細明體"/>
        </w:rPr>
        <w:t xml:space="preserve"> (</w:t>
      </w:r>
      <w:r w:rsidRPr="00671239">
        <w:rPr>
          <w:rFonts w:eastAsia="新細明體"/>
          <w:bCs/>
        </w:rPr>
        <w:t>0</w:t>
      </w:r>
      <w:r w:rsidRPr="00671239">
        <w:rPr>
          <w:rFonts w:eastAsia="新細明體"/>
          <w:bCs/>
          <w:lang w:val="de-DE"/>
        </w:rPr>
        <w:sym w:font="Symbol" w:char="F02D"/>
      </w:r>
      <w:r w:rsidRPr="00671239">
        <w:rPr>
          <w:rFonts w:eastAsia="新細明體"/>
        </w:rPr>
        <w:t xml:space="preserve">100 </w:t>
      </w:r>
      <w:r w:rsidRPr="00671239">
        <w:rPr>
          <w:rFonts w:eastAsia="新細明體"/>
          <w:lang w:val="de-DE"/>
        </w:rPr>
        <w:sym w:font="Symbol" w:char="F06D"/>
      </w:r>
      <w:r w:rsidRPr="00671239">
        <w:rPr>
          <w:rFonts w:eastAsia="新細明體"/>
        </w:rPr>
        <w:t xml:space="preserve">g </w:t>
      </w:r>
      <w:r w:rsidRPr="00671239">
        <w:rPr>
          <w:rFonts w:eastAsia="新細明體"/>
          <w:bCs/>
        </w:rPr>
        <w:t>mL</w:t>
      </w:r>
      <w:r w:rsidRPr="00671239">
        <w:rPr>
          <w:rFonts w:eastAsia="新細明體"/>
          <w:bCs/>
          <w:vertAlign w:val="superscript"/>
          <w:lang w:val="de-DE"/>
        </w:rPr>
        <w:sym w:font="Symbol" w:char="F02D"/>
      </w:r>
      <w:r w:rsidRPr="00671239">
        <w:rPr>
          <w:rFonts w:eastAsia="新細明體"/>
          <w:bCs/>
          <w:vertAlign w:val="superscript"/>
        </w:rPr>
        <w:t>1</w:t>
      </w:r>
      <w:r w:rsidRPr="00671239">
        <w:rPr>
          <w:rFonts w:eastAsia="新細明體"/>
        </w:rPr>
        <w:t>)</w:t>
      </w:r>
      <w:r w:rsidRPr="00671239">
        <w:rPr>
          <w:rFonts w:eastAsia="新細明體"/>
          <w:bCs/>
        </w:rPr>
        <w:t xml:space="preserve"> and further incubated with </w:t>
      </w:r>
      <w:r w:rsidRPr="00671239">
        <w:rPr>
          <w:rFonts w:eastAsia="新細明體"/>
        </w:rPr>
        <w:t>5% CO</w:t>
      </w:r>
      <w:r w:rsidRPr="00671239">
        <w:rPr>
          <w:rFonts w:eastAsia="新細明體"/>
          <w:vertAlign w:val="subscript"/>
        </w:rPr>
        <w:t xml:space="preserve">2 </w:t>
      </w:r>
      <w:r w:rsidRPr="00671239">
        <w:rPr>
          <w:rFonts w:eastAsia="新細明體"/>
        </w:rPr>
        <w:t xml:space="preserve">at 37 ℃ for 48 h. The cells were carefully rinsed thrice with sterile PBS solution and treated with the alamarBlue reagent (ten-fold dilution, 100 </w:t>
      </w:r>
      <w:r w:rsidRPr="00671239">
        <w:rPr>
          <w:rFonts w:eastAsia="新細明體"/>
          <w:lang w:val="de-DE"/>
        </w:rPr>
        <w:t>μ</w:t>
      </w:r>
      <w:r w:rsidRPr="00671239">
        <w:rPr>
          <w:rFonts w:eastAsia="新細明體"/>
        </w:rPr>
        <w:t xml:space="preserve">L per well) for 4 h at 37 ℃. The fluorescence intensities at excitation/emission wavelength of 560/590 nm, respectively were measured using </w:t>
      </w:r>
      <w:r w:rsidRPr="00671239">
        <w:rPr>
          <w:rFonts w:eastAsia="新細明體"/>
          <w:bCs/>
        </w:rPr>
        <w:t>Synergy 4 multimode microplate spectrophotometer</w:t>
      </w:r>
      <w:r w:rsidRPr="00671239">
        <w:rPr>
          <w:rFonts w:eastAsia="新細明體"/>
        </w:rPr>
        <w:t>.</w:t>
      </w:r>
      <w:r w:rsidR="0035496B">
        <w:rPr>
          <w:rFonts w:eastAsia="新細明體"/>
        </w:rPr>
        <w:t xml:space="preserve"> </w:t>
      </w:r>
    </w:p>
    <w:p w14:paraId="70658A4F" w14:textId="77777777" w:rsidR="0035496B" w:rsidRPr="00671239" w:rsidRDefault="0035496B" w:rsidP="00444A40">
      <w:pPr>
        <w:spacing w:line="480" w:lineRule="auto"/>
        <w:jc w:val="both"/>
        <w:rPr>
          <w:rFonts w:eastAsia="新細明體"/>
          <w:b/>
          <w:bCs/>
        </w:rPr>
      </w:pPr>
    </w:p>
    <w:p w14:paraId="4FE7E3D7" w14:textId="0E1C8414" w:rsidR="0035496B" w:rsidRDefault="00D3257C" w:rsidP="00444A40">
      <w:pPr>
        <w:spacing w:line="480" w:lineRule="auto"/>
        <w:jc w:val="both"/>
        <w:rPr>
          <w:rFonts w:eastAsia="新細明體"/>
          <w:b/>
          <w:bCs/>
        </w:rPr>
      </w:pPr>
      <w:r w:rsidRPr="0035496B">
        <w:rPr>
          <w:rFonts w:eastAsia="新細明體"/>
          <w:b/>
          <w:bCs/>
        </w:rPr>
        <w:t>Hemolysis assays</w:t>
      </w:r>
      <w:r w:rsidRPr="00671239">
        <w:rPr>
          <w:rFonts w:eastAsia="新細明體"/>
          <w:b/>
          <w:bCs/>
        </w:rPr>
        <w:t xml:space="preserve"> </w:t>
      </w:r>
    </w:p>
    <w:p w14:paraId="5C4CB585" w14:textId="0277FB14" w:rsidR="00D3257C" w:rsidRPr="00671239" w:rsidRDefault="00D3257C" w:rsidP="00444A40">
      <w:pPr>
        <w:spacing w:line="480" w:lineRule="auto"/>
        <w:jc w:val="both"/>
        <w:rPr>
          <w:rFonts w:eastAsia="新細明體"/>
        </w:rPr>
      </w:pPr>
      <w:r w:rsidRPr="00671239">
        <w:rPr>
          <w:rFonts w:eastAsia="新細明體"/>
        </w:rPr>
        <w:t xml:space="preserve">The blood sample was collected from a healthy volunteer (male, 25 years old) in a sterile test tube containing ethylenediaminetetraacetic acid (EDTA). The red blood cells (RBCs) collection procedure was in accordance with institutional guidelines and relevant laws. The RBCs were centrifuged (3,000 </w:t>
      </w:r>
      <w:r w:rsidRPr="00671239">
        <w:rPr>
          <w:rFonts w:eastAsia="新細明體"/>
          <w:i/>
        </w:rPr>
        <w:t>g</w:t>
      </w:r>
      <w:r w:rsidRPr="00671239">
        <w:rPr>
          <w:rFonts w:eastAsia="新細明體"/>
        </w:rPr>
        <w:t xml:space="preserve">, 10 min, 4 ℃) immediately and washed thrice (PBS; pH 7.4) to remove the serum. The </w:t>
      </w:r>
      <w:r w:rsidRPr="00671239">
        <w:rPr>
          <w:rFonts w:eastAsia="新細明體"/>
          <w:bCs/>
        </w:rPr>
        <w:t>DAO/DEX</w:t>
      </w:r>
      <w:r w:rsidRPr="00671239">
        <w:rPr>
          <w:rFonts w:eastAsia="新細明體"/>
          <w:bCs/>
          <w:vertAlign w:val="subscript"/>
        </w:rPr>
        <w:t>5.0</w:t>
      </w:r>
      <w:r w:rsidRPr="00671239">
        <w:rPr>
          <w:rFonts w:eastAsia="新細明體"/>
          <w:bCs/>
        </w:rPr>
        <w:t>-CNGs</w:t>
      </w:r>
      <w:r w:rsidRPr="00671239">
        <w:rPr>
          <w:rFonts w:eastAsia="新細明體"/>
        </w:rPr>
        <w:t xml:space="preserve"> (1</w:t>
      </w:r>
      <w:r w:rsidRPr="00671239">
        <w:rPr>
          <w:rFonts w:eastAsia="新細明體"/>
        </w:rPr>
        <w:sym w:font="Symbol" w:char="F02D"/>
      </w:r>
      <w:r w:rsidRPr="00671239">
        <w:rPr>
          <w:rFonts w:eastAsia="新細明體"/>
        </w:rPr>
        <w:t>100 µg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were incubated with RBCs (</w:t>
      </w:r>
      <w:r w:rsidRPr="00671239">
        <w:rPr>
          <w:rFonts w:eastAsia="新細明體"/>
          <w:i/>
        </w:rPr>
        <w:t>ca.</w:t>
      </w:r>
      <w:r w:rsidRPr="00671239">
        <w:rPr>
          <w:rFonts w:eastAsia="新細明體"/>
        </w:rPr>
        <w:t xml:space="preserve"> 4.0 vol% blood cells) at 37 ℃ for 1 h. Then, the aliquots were centrifuged at 1,000 </w:t>
      </w:r>
      <w:r w:rsidRPr="00671239">
        <w:rPr>
          <w:rFonts w:eastAsia="新細明體"/>
          <w:i/>
        </w:rPr>
        <w:t>g</w:t>
      </w:r>
      <w:r w:rsidRPr="00671239">
        <w:rPr>
          <w:rFonts w:eastAsia="新細明體"/>
        </w:rPr>
        <w:t xml:space="preserve"> for 10 min and absorbance at 576 nm w</w:t>
      </w:r>
      <w:r w:rsidR="008E3F94" w:rsidRPr="00671239">
        <w:rPr>
          <w:rFonts w:eastAsia="新細明體"/>
        </w:rPr>
        <w:t>as</w:t>
      </w:r>
      <w:r w:rsidRPr="00671239">
        <w:rPr>
          <w:rFonts w:eastAsia="新細明體"/>
        </w:rPr>
        <w:t xml:space="preserve"> recorded from the supernatant. RBCs treated with PBS (pH 7.4) and DI water were used as </w:t>
      </w:r>
      <w:r w:rsidR="008E3F94" w:rsidRPr="00671239">
        <w:rPr>
          <w:rFonts w:eastAsia="新細明體"/>
        </w:rPr>
        <w:t xml:space="preserve">a </w:t>
      </w:r>
      <w:r w:rsidRPr="00671239">
        <w:rPr>
          <w:rFonts w:eastAsia="新細明體"/>
        </w:rPr>
        <w:t xml:space="preserve">negative and positive control, respectively. The hemolysis (%) was calculated using </w:t>
      </w:r>
      <w:r w:rsidR="008E3F94" w:rsidRPr="00671239">
        <w:rPr>
          <w:rFonts w:eastAsia="新細明體"/>
        </w:rPr>
        <w:t xml:space="preserve">the </w:t>
      </w:r>
      <w:r w:rsidRPr="00671239">
        <w:rPr>
          <w:rFonts w:eastAsia="新細明體"/>
        </w:rPr>
        <w:t xml:space="preserve">following equation: </w:t>
      </w:r>
    </w:p>
    <w:p w14:paraId="7810BA81" w14:textId="7703BCFE" w:rsidR="00D3257C" w:rsidRDefault="00D3257C" w:rsidP="00444A40">
      <w:pPr>
        <w:spacing w:line="480" w:lineRule="auto"/>
        <w:jc w:val="both"/>
        <w:rPr>
          <w:rFonts w:eastAsia="新細明體"/>
        </w:rPr>
      </w:pPr>
      <w:r w:rsidRPr="00671239">
        <w:rPr>
          <w:rFonts w:eastAsia="新細明體"/>
        </w:rPr>
        <w:t>Hemolysis (%) = [(OD</w:t>
      </w:r>
      <w:r w:rsidRPr="00671239">
        <w:rPr>
          <w:rFonts w:eastAsia="新細明體"/>
          <w:vertAlign w:val="subscript"/>
        </w:rPr>
        <w:t>576</w:t>
      </w:r>
      <w:r w:rsidRPr="00671239">
        <w:rPr>
          <w:rFonts w:eastAsia="新細明體"/>
        </w:rPr>
        <w:t xml:space="preserve"> </w:t>
      </w:r>
      <w:r w:rsidRPr="00671239">
        <w:rPr>
          <w:rFonts w:eastAsia="新細明體"/>
          <w:bCs/>
          <w:vertAlign w:val="subscript"/>
        </w:rPr>
        <w:t>DAO/DEX5.0-CNGs</w:t>
      </w:r>
      <w:r w:rsidRPr="00671239">
        <w:rPr>
          <w:rFonts w:eastAsia="新細明體"/>
        </w:rPr>
        <w:t xml:space="preserve"> </w:t>
      </w:r>
      <w:r w:rsidRPr="00671239">
        <w:rPr>
          <w:rFonts w:eastAsia="新細明體"/>
          <w:lang w:val="de-DE"/>
        </w:rPr>
        <w:sym w:font="Symbol" w:char="F02D"/>
      </w:r>
      <w:r w:rsidRPr="00671239">
        <w:rPr>
          <w:rFonts w:eastAsia="新細明體"/>
        </w:rPr>
        <w:t xml:space="preserve"> OD</w:t>
      </w:r>
      <w:r w:rsidRPr="00671239">
        <w:rPr>
          <w:rFonts w:eastAsia="新細明體"/>
          <w:vertAlign w:val="subscript"/>
        </w:rPr>
        <w:t>576</w:t>
      </w:r>
      <w:r w:rsidRPr="00671239">
        <w:rPr>
          <w:rFonts w:eastAsia="新細明體"/>
        </w:rPr>
        <w:t xml:space="preserve"> </w:t>
      </w:r>
      <w:r w:rsidRPr="00671239">
        <w:rPr>
          <w:rFonts w:eastAsia="新細明體"/>
          <w:vertAlign w:val="subscript"/>
        </w:rPr>
        <w:t>blank</w:t>
      </w:r>
      <w:r w:rsidRPr="00671239">
        <w:rPr>
          <w:rFonts w:eastAsia="新細明體"/>
        </w:rPr>
        <w:t>)/(OD</w:t>
      </w:r>
      <w:r w:rsidRPr="00671239">
        <w:rPr>
          <w:rFonts w:eastAsia="新細明體"/>
          <w:vertAlign w:val="subscript"/>
        </w:rPr>
        <w:t>576</w:t>
      </w:r>
      <w:r w:rsidRPr="00671239">
        <w:rPr>
          <w:rFonts w:eastAsia="新細明體"/>
        </w:rPr>
        <w:t xml:space="preserve"> </w:t>
      </w:r>
      <w:r w:rsidRPr="00671239">
        <w:rPr>
          <w:rFonts w:eastAsia="新細明體"/>
          <w:vertAlign w:val="subscript"/>
        </w:rPr>
        <w:t>deionized water</w:t>
      </w:r>
      <w:r w:rsidRPr="00671239">
        <w:rPr>
          <w:rFonts w:eastAsia="新細明體"/>
        </w:rPr>
        <w:t xml:space="preserve"> </w:t>
      </w:r>
      <w:r w:rsidRPr="00671239">
        <w:rPr>
          <w:rFonts w:eastAsia="新細明體"/>
          <w:lang w:val="de-DE"/>
        </w:rPr>
        <w:sym w:font="Symbol" w:char="F02D"/>
      </w:r>
      <w:r w:rsidRPr="00671239">
        <w:rPr>
          <w:rFonts w:eastAsia="新細明體"/>
        </w:rPr>
        <w:t xml:space="preserve"> OD</w:t>
      </w:r>
      <w:r w:rsidRPr="00671239">
        <w:rPr>
          <w:rFonts w:eastAsia="新細明體"/>
          <w:vertAlign w:val="subscript"/>
        </w:rPr>
        <w:t>576</w:t>
      </w:r>
      <w:r w:rsidRPr="00671239">
        <w:rPr>
          <w:rFonts w:eastAsia="新細明體"/>
        </w:rPr>
        <w:t xml:space="preserve"> </w:t>
      </w:r>
      <w:r w:rsidRPr="00671239">
        <w:rPr>
          <w:rFonts w:eastAsia="新細明體"/>
          <w:vertAlign w:val="subscript"/>
        </w:rPr>
        <w:t>blank</w:t>
      </w:r>
      <w:r w:rsidRPr="00671239">
        <w:rPr>
          <w:rFonts w:eastAsia="新細明體"/>
        </w:rPr>
        <w:t xml:space="preserve">)]×100% </w:t>
      </w:r>
    </w:p>
    <w:p w14:paraId="65765249" w14:textId="77777777" w:rsidR="0035496B" w:rsidRPr="00671239" w:rsidRDefault="0035496B" w:rsidP="00444A40">
      <w:pPr>
        <w:spacing w:line="480" w:lineRule="auto"/>
        <w:jc w:val="both"/>
        <w:rPr>
          <w:rFonts w:eastAsia="新細明體"/>
          <w:b/>
          <w:bCs/>
        </w:rPr>
      </w:pPr>
    </w:p>
    <w:p w14:paraId="2DA9D968" w14:textId="61A17591" w:rsidR="0035496B" w:rsidRPr="0035496B" w:rsidRDefault="00D3257C" w:rsidP="00444A40">
      <w:pPr>
        <w:spacing w:line="480" w:lineRule="auto"/>
        <w:jc w:val="both"/>
        <w:rPr>
          <w:rFonts w:eastAsia="新細明體"/>
          <w:b/>
          <w:bCs/>
        </w:rPr>
      </w:pPr>
      <w:r w:rsidRPr="0035496B">
        <w:rPr>
          <w:rFonts w:eastAsia="新細明體"/>
          <w:b/>
          <w:bCs/>
        </w:rPr>
        <w:t xml:space="preserve">Histopathological analysis of shrimp hepatopancreas </w:t>
      </w:r>
    </w:p>
    <w:p w14:paraId="0DCCE23B" w14:textId="42FB8A84" w:rsidR="00D3257C" w:rsidRDefault="00D3257C" w:rsidP="00444A40">
      <w:pPr>
        <w:spacing w:line="480" w:lineRule="auto"/>
        <w:jc w:val="both"/>
        <w:rPr>
          <w:rFonts w:eastAsia="新細明體"/>
          <w:iCs/>
        </w:rPr>
      </w:pPr>
      <w:r w:rsidRPr="00671239">
        <w:rPr>
          <w:rFonts w:eastAsia="新細明體"/>
        </w:rPr>
        <w:t xml:space="preserve">Histological analysis was performed through staining hepatopancreas of shrimp with </w:t>
      </w:r>
      <w:r w:rsidR="00B93287" w:rsidRPr="00671239">
        <w:rPr>
          <w:rFonts w:eastAsia="新細明體"/>
        </w:rPr>
        <w:t>h</w:t>
      </w:r>
      <w:r w:rsidRPr="00671239">
        <w:rPr>
          <w:rFonts w:eastAsia="新細明體"/>
        </w:rPr>
        <w:t xml:space="preserve">ematoxylin and eosin stain (H&amp;E). After </w:t>
      </w:r>
      <w:r w:rsidRPr="00671239">
        <w:rPr>
          <w:rFonts w:eastAsia="新細明體"/>
          <w:i/>
          <w:iCs/>
        </w:rPr>
        <w:t>V. parahaemolyticus</w:t>
      </w:r>
      <w:r w:rsidRPr="00671239">
        <w:rPr>
          <w:rFonts w:eastAsia="新細明體"/>
        </w:rPr>
        <w:t xml:space="preserve"> challenge assay (Day 3), the shrimp were euthanized and the hepatopancreas was harvested from the untreated and treated groups. Then, the sections embedded in the optimal cutting temperature compound (Sakura Finetek, Torrance, CA, USA) were cryo</w:t>
      </w:r>
      <w:r w:rsidR="00001FB5" w:rsidRPr="00671239">
        <w:rPr>
          <w:rFonts w:eastAsia="新細明體"/>
        </w:rPr>
        <w:t>-</w:t>
      </w:r>
      <w:r w:rsidRPr="00671239">
        <w:rPr>
          <w:rFonts w:eastAsia="新細明體"/>
        </w:rPr>
        <w:t>sectioned at 6 µm thickness onto Superfrost Plus Glass Slides (Thermo Fisher Scientific, Inc., Waltham, MA, USA) (</w:t>
      </w:r>
      <w:r w:rsidRPr="004D74C1">
        <w:rPr>
          <w:rFonts w:eastAsia="新細明體"/>
          <w:i/>
        </w:rPr>
        <w:t>n</w:t>
      </w:r>
      <w:r w:rsidRPr="00671239">
        <w:rPr>
          <w:rFonts w:eastAsia="新細明體"/>
        </w:rPr>
        <w:t xml:space="preserve"> = 5). The hepatopancreas from all the groups was stained with H&amp;E and fixed with multi</w:t>
      </w:r>
      <w:r w:rsidR="008E3F94" w:rsidRPr="00671239">
        <w:rPr>
          <w:rFonts w:eastAsia="新細明體"/>
        </w:rPr>
        <w:t>-</w:t>
      </w:r>
      <w:r w:rsidRPr="00671239">
        <w:rPr>
          <w:rFonts w:eastAsia="新細明體"/>
        </w:rPr>
        <w:t xml:space="preserve">medium to examine under an </w:t>
      </w:r>
      <w:r w:rsidRPr="00671239">
        <w:rPr>
          <w:rFonts w:eastAsia="新細明體"/>
          <w:iCs/>
        </w:rPr>
        <w:t>Olympus 1X71 microscope (Tokyo, Japan).</w:t>
      </w:r>
      <w:r w:rsidR="0035496B">
        <w:rPr>
          <w:rFonts w:eastAsia="新細明體" w:hint="eastAsia"/>
          <w:iCs/>
          <w:lang w:eastAsia="zh-TW"/>
        </w:rPr>
        <w:t xml:space="preserve"> </w:t>
      </w:r>
    </w:p>
    <w:p w14:paraId="46FDC4D7" w14:textId="77777777" w:rsidR="0035496B" w:rsidRPr="00671239" w:rsidRDefault="0035496B" w:rsidP="00444A40">
      <w:pPr>
        <w:spacing w:line="480" w:lineRule="auto"/>
        <w:jc w:val="both"/>
        <w:rPr>
          <w:rFonts w:eastAsia="新細明體"/>
          <w:b/>
          <w:bCs/>
        </w:rPr>
      </w:pPr>
    </w:p>
    <w:p w14:paraId="0C960968" w14:textId="77777777" w:rsidR="0035496B" w:rsidRDefault="00D3257C" w:rsidP="00444A40">
      <w:pPr>
        <w:spacing w:line="480" w:lineRule="auto"/>
        <w:jc w:val="both"/>
        <w:rPr>
          <w:rFonts w:eastAsia="新細明體"/>
          <w:b/>
          <w:bCs/>
        </w:rPr>
      </w:pPr>
      <w:r w:rsidRPr="0035496B">
        <w:rPr>
          <w:rFonts w:eastAsia="新細明體"/>
          <w:b/>
          <w:bCs/>
        </w:rPr>
        <w:t>Shrimp hemocytes RNA extraction and cDNA synthesis</w:t>
      </w:r>
      <w:r w:rsidRPr="00671239">
        <w:rPr>
          <w:rFonts w:eastAsia="新細明體"/>
          <w:b/>
          <w:bCs/>
        </w:rPr>
        <w:t xml:space="preserve"> </w:t>
      </w:r>
    </w:p>
    <w:p w14:paraId="59D813D7" w14:textId="72F39BBE" w:rsidR="00D3257C" w:rsidRDefault="00D3257C" w:rsidP="00444A40">
      <w:pPr>
        <w:spacing w:line="480" w:lineRule="auto"/>
        <w:jc w:val="both"/>
        <w:rPr>
          <w:rFonts w:eastAsia="新細明體"/>
        </w:rPr>
      </w:pPr>
      <w:r w:rsidRPr="00671239">
        <w:rPr>
          <w:rFonts w:eastAsia="新細明體"/>
        </w:rPr>
        <w:t xml:space="preserve">After the </w:t>
      </w:r>
      <w:r w:rsidRPr="00671239">
        <w:rPr>
          <w:rFonts w:eastAsia="新細明體"/>
          <w:i/>
          <w:iCs/>
        </w:rPr>
        <w:t>V. parahaemolyticus</w:t>
      </w:r>
      <w:r w:rsidRPr="00671239">
        <w:rPr>
          <w:rFonts w:eastAsia="新細明體"/>
        </w:rPr>
        <w:t xml:space="preserve"> challenge assay, each group of </w:t>
      </w:r>
      <w:r w:rsidR="00B93287" w:rsidRPr="00671239">
        <w:rPr>
          <w:rFonts w:eastAsia="新細明體"/>
        </w:rPr>
        <w:t>shrimps</w:t>
      </w:r>
      <w:r w:rsidRPr="00671239">
        <w:rPr>
          <w:rFonts w:eastAsia="新細明體"/>
        </w:rPr>
        <w:t xml:space="preserve"> was euthanized </w:t>
      </w:r>
      <w:r w:rsidR="008E3F94" w:rsidRPr="00671239">
        <w:rPr>
          <w:rFonts w:eastAsia="新細明體"/>
        </w:rPr>
        <w:t>on</w:t>
      </w:r>
      <w:r w:rsidRPr="00671239">
        <w:rPr>
          <w:rFonts w:eastAsia="新細明體"/>
        </w:rPr>
        <w:t xml:space="preserve"> day 1. The shrimp hemocytes were collected and the RNA extraction protocol was followed as per the manufacturer’s instruction for the Direct-zol RNA Miniprep Kits (Zymo Research, Irvine, CA, USA). The shrimp blood samples were centrifuged at 3000 </w:t>
      </w:r>
      <w:r w:rsidRPr="00671239">
        <w:rPr>
          <w:rFonts w:eastAsia="新細明體"/>
          <w:i/>
        </w:rPr>
        <w:t>g</w:t>
      </w:r>
      <w:r w:rsidRPr="00671239">
        <w:rPr>
          <w:rFonts w:eastAsia="新細明體"/>
        </w:rPr>
        <w:t xml:space="preserve"> for 10 min to remove the supernatant, to which 400 </w:t>
      </w:r>
      <w:r w:rsidRPr="00671239">
        <w:rPr>
          <w:rFonts w:eastAsia="新細明體"/>
        </w:rPr>
        <w:sym w:font="Symbol" w:char="F06D"/>
      </w:r>
      <w:r w:rsidRPr="00671239">
        <w:rPr>
          <w:rFonts w:eastAsia="新細明體"/>
        </w:rPr>
        <w:t xml:space="preserve">L of Trizol (95% v/v ethanol) was added to dissolve the pellets. The aliquots were subsequently loaded into the extraction column. After washing, In-Column DNase I digestion, and RNA elution by diethyl pyrocarbonate (DEPC) water was performed. The extracted RNA was stored at </w:t>
      </w:r>
      <w:r w:rsidRPr="00671239">
        <w:rPr>
          <w:rFonts w:eastAsia="新細明體"/>
        </w:rPr>
        <w:sym w:font="Symbol" w:char="F02D"/>
      </w:r>
      <w:r w:rsidRPr="00671239">
        <w:rPr>
          <w:rFonts w:eastAsia="新細明體"/>
        </w:rPr>
        <w:t xml:space="preserve">80 ℃ when not in use. The extracted RNA (1 </w:t>
      </w:r>
      <w:r w:rsidRPr="00671239">
        <w:rPr>
          <w:rFonts w:eastAsia="新細明體"/>
        </w:rPr>
        <w:sym w:font="Symbol" w:char="F06D"/>
      </w:r>
      <w:r w:rsidRPr="00671239">
        <w:rPr>
          <w:rFonts w:eastAsia="新細明體"/>
        </w:rPr>
        <w:t xml:space="preserve">g) was used to synthesize cDNA according to the manufacturer’s instruction for the RevertAid RT Reverse Transcription Kit (Thermo Fisher Scientific, Inc., Waltham, MA, USA). </w:t>
      </w:r>
    </w:p>
    <w:p w14:paraId="06AAB460" w14:textId="77777777" w:rsidR="0035496B" w:rsidRPr="00671239" w:rsidRDefault="0035496B" w:rsidP="00444A40">
      <w:pPr>
        <w:spacing w:line="480" w:lineRule="auto"/>
        <w:jc w:val="both"/>
        <w:rPr>
          <w:rFonts w:eastAsia="新細明體"/>
          <w:b/>
          <w:bCs/>
        </w:rPr>
      </w:pPr>
    </w:p>
    <w:p w14:paraId="0626B722" w14:textId="164C42C9" w:rsidR="0035496B" w:rsidRPr="0035496B" w:rsidRDefault="00D3257C" w:rsidP="00444A40">
      <w:pPr>
        <w:spacing w:line="480" w:lineRule="auto"/>
        <w:jc w:val="both"/>
        <w:rPr>
          <w:rFonts w:eastAsia="新細明體"/>
        </w:rPr>
      </w:pPr>
      <w:r w:rsidRPr="0035496B">
        <w:rPr>
          <w:rFonts w:eastAsia="新細明體"/>
          <w:b/>
          <w:bCs/>
        </w:rPr>
        <w:t>Real-time PCR analysis</w:t>
      </w:r>
      <w:r w:rsidRPr="0035496B">
        <w:rPr>
          <w:rFonts w:eastAsia="新細明體"/>
        </w:rPr>
        <w:t xml:space="preserve"> </w:t>
      </w:r>
    </w:p>
    <w:p w14:paraId="5ACF42FD" w14:textId="06AACBAD" w:rsidR="00D3257C" w:rsidRDefault="00D3257C" w:rsidP="00444A40">
      <w:pPr>
        <w:spacing w:line="480" w:lineRule="auto"/>
        <w:jc w:val="both"/>
        <w:rPr>
          <w:rFonts w:eastAsia="新細明體"/>
        </w:rPr>
      </w:pPr>
      <w:r w:rsidRPr="00671239">
        <w:rPr>
          <w:rFonts w:eastAsia="新細明體"/>
        </w:rPr>
        <w:t xml:space="preserve">All primers used in this study are shown in </w:t>
      </w:r>
      <w:r w:rsidR="00D74CB2" w:rsidRPr="00671239">
        <w:rPr>
          <w:rFonts w:eastAsia="新細明體"/>
          <w:b/>
        </w:rPr>
        <w:t>T</w:t>
      </w:r>
      <w:r w:rsidRPr="00671239">
        <w:rPr>
          <w:rFonts w:eastAsia="新細明體"/>
          <w:b/>
        </w:rPr>
        <w:t>able S4</w:t>
      </w:r>
      <w:r w:rsidRPr="00671239">
        <w:rPr>
          <w:rFonts w:eastAsia="新細明體"/>
        </w:rPr>
        <w:t xml:space="preserve">. The FastStart Universal SYBR Green Master (ROX) reagents were quantified for gene expression by an Agilent Technologies (Santa Clara, CA, USA) Stratagene Mx3000P for real-time PCR. The thermal profile was as follows: pre-incubation at 95 ℃ for 10 min, then the amplification process, followed by the denaturing step at 95 ℃ for 30 s, annealing step at 60 ℃ for 20 s, and extension step at 72 ℃ for 1 min for 40 cycles. Analysis of the melting curve confirmed the purified product after PCR. </w:t>
      </w:r>
    </w:p>
    <w:p w14:paraId="6154573B" w14:textId="77777777" w:rsidR="0035496B" w:rsidRPr="00671239" w:rsidRDefault="0035496B" w:rsidP="00444A40">
      <w:pPr>
        <w:spacing w:line="480" w:lineRule="auto"/>
        <w:jc w:val="both"/>
        <w:rPr>
          <w:rFonts w:eastAsia="新細明體"/>
          <w:b/>
          <w:bCs/>
          <w:lang w:val="fr-CA"/>
        </w:rPr>
      </w:pPr>
    </w:p>
    <w:p w14:paraId="43ABFFDA" w14:textId="38831A66" w:rsidR="0035496B" w:rsidRPr="0035496B" w:rsidRDefault="00D3257C" w:rsidP="00444A40">
      <w:pPr>
        <w:spacing w:line="480" w:lineRule="auto"/>
        <w:jc w:val="both"/>
        <w:rPr>
          <w:rFonts w:eastAsia="新細明體"/>
          <w:b/>
          <w:lang w:val="fr-CA"/>
        </w:rPr>
      </w:pPr>
      <w:r w:rsidRPr="0035496B">
        <w:rPr>
          <w:rFonts w:eastAsia="新細明體"/>
          <w:b/>
          <w:bCs/>
          <w:lang w:val="fr-CA"/>
        </w:rPr>
        <w:t>Microbiota analysis</w:t>
      </w:r>
      <w:r w:rsidRPr="0035496B">
        <w:rPr>
          <w:rFonts w:eastAsia="新細明體"/>
          <w:b/>
          <w:lang w:val="fr-CA"/>
        </w:rPr>
        <w:t xml:space="preserve"> </w:t>
      </w:r>
    </w:p>
    <w:p w14:paraId="2FE2E223" w14:textId="6D75421A" w:rsidR="00D3257C" w:rsidRDefault="00D3257C" w:rsidP="00444A40">
      <w:pPr>
        <w:spacing w:line="480" w:lineRule="auto"/>
        <w:jc w:val="both"/>
        <w:rPr>
          <w:rFonts w:eastAsia="新細明體"/>
        </w:rPr>
      </w:pPr>
      <w:r w:rsidRPr="00671239">
        <w:rPr>
          <w:rFonts w:eastAsia="新細明體"/>
        </w:rPr>
        <w:t xml:space="preserve">After the </w:t>
      </w:r>
      <w:r w:rsidRPr="00671239">
        <w:rPr>
          <w:rFonts w:eastAsia="新細明體"/>
          <w:i/>
          <w:iCs/>
        </w:rPr>
        <w:t>V. parahaemolyticus</w:t>
      </w:r>
      <w:r w:rsidRPr="00671239">
        <w:rPr>
          <w:rFonts w:eastAsia="新細明體"/>
        </w:rPr>
        <w:t xml:space="preserve"> challenge assay, each group of shrimp was euthanized </w:t>
      </w:r>
      <w:r w:rsidR="008E3F94" w:rsidRPr="00671239">
        <w:rPr>
          <w:rFonts w:eastAsia="新細明體"/>
        </w:rPr>
        <w:t>on</w:t>
      </w:r>
      <w:r w:rsidRPr="00671239">
        <w:rPr>
          <w:rFonts w:eastAsia="新細明體"/>
        </w:rPr>
        <w:t xml:space="preserve"> day 1. We collected the stool sample from the midgut of white</w:t>
      </w:r>
      <w:r w:rsidR="008E3F94" w:rsidRPr="00671239">
        <w:rPr>
          <w:rFonts w:eastAsia="新細明體"/>
        </w:rPr>
        <w:t>-</w:t>
      </w:r>
      <w:r w:rsidRPr="00671239">
        <w:rPr>
          <w:rFonts w:eastAsia="新細明體"/>
        </w:rPr>
        <w:t xml:space="preserve">leg shrimp and stored it at </w:t>
      </w:r>
      <w:r w:rsidR="00B93287" w:rsidRPr="00671239">
        <w:rPr>
          <w:rFonts w:eastAsia="新細明體"/>
        </w:rPr>
        <w:sym w:font="Symbol" w:char="F02D"/>
      </w:r>
      <w:r w:rsidRPr="00671239">
        <w:rPr>
          <w:rFonts w:eastAsia="新細明體"/>
        </w:rPr>
        <w:t>80</w:t>
      </w:r>
      <w:r w:rsidR="00B93287" w:rsidRPr="00671239">
        <w:rPr>
          <w:rFonts w:eastAsia="新細明體"/>
        </w:rPr>
        <w:t xml:space="preserve"> ℃</w:t>
      </w:r>
      <w:r w:rsidRPr="00671239">
        <w:rPr>
          <w:rFonts w:eastAsia="新細明體"/>
        </w:rPr>
        <w:t xml:space="preserve"> for subsequent microbiota analysis. The DNA extraction and microbiota analysis from the stool samples were conducted by the Biotools Biotechnology Company (Taipei, Taiwan). The effective tags were obtained from the sequence data processing by FLASH, QIIME, UCHIME Algorithm, and USEARCH software</w:t>
      </w:r>
      <w:r w:rsidR="00001FB5" w:rsidRPr="00671239">
        <w:rPr>
          <w:rFonts w:eastAsia="新細明體"/>
        </w:rPr>
        <w:t xml:space="preserve"> </w:t>
      </w:r>
      <w:r w:rsidR="00D74CB2" w:rsidRPr="00671239">
        <w:rPr>
          <w:rFonts w:eastAsia="新細明體" w:hint="eastAsia"/>
          <w:lang w:eastAsia="zh-TW"/>
        </w:rPr>
        <w:t>[2</w:t>
      </w:r>
      <w:r w:rsidR="00D74CB2" w:rsidRPr="00671239">
        <w:rPr>
          <w:rFonts w:eastAsia="新細明體"/>
          <w:lang w:eastAsia="zh-TW"/>
        </w:rPr>
        <w:sym w:font="Symbol" w:char="F02D"/>
      </w:r>
      <w:r w:rsidR="00D74CB2" w:rsidRPr="00671239">
        <w:rPr>
          <w:rFonts w:eastAsia="新細明體"/>
          <w:lang w:eastAsia="zh-TW"/>
        </w:rPr>
        <w:t>6]</w:t>
      </w:r>
      <w:r w:rsidR="008E3F94" w:rsidRPr="00671239">
        <w:rPr>
          <w:rFonts w:eastAsia="新細明體"/>
          <w:lang w:eastAsia="zh-TW"/>
        </w:rPr>
        <w:t>,</w:t>
      </w:r>
      <w:r w:rsidRPr="00671239">
        <w:rPr>
          <w:rFonts w:eastAsia="新細明體"/>
        </w:rPr>
        <w:t xml:space="preserve"> and the UPARSE software was used to get the sequence assignment in the data set with </w:t>
      </w:r>
      <w:r w:rsidRPr="00671239">
        <w:rPr>
          <w:rFonts w:ascii="新細明體" w:eastAsia="新細明體" w:hAnsi="新細明體" w:cs="新細明體" w:hint="eastAsia"/>
        </w:rPr>
        <w:t>≧</w:t>
      </w:r>
      <w:r w:rsidRPr="00671239">
        <w:rPr>
          <w:rFonts w:eastAsia="新細明體"/>
        </w:rPr>
        <w:t xml:space="preserve"> 97% similarity to the same operational taxonomic units (OTUs)</w:t>
      </w:r>
      <w:r w:rsidR="00001FB5" w:rsidRPr="00671239">
        <w:rPr>
          <w:rFonts w:eastAsia="新細明體"/>
        </w:rPr>
        <w:t xml:space="preserve"> </w:t>
      </w:r>
      <w:r w:rsidR="00D74CB2" w:rsidRPr="00671239">
        <w:rPr>
          <w:rFonts w:eastAsia="新細明體"/>
        </w:rPr>
        <w:t>[7,8]</w:t>
      </w:r>
      <w:r w:rsidRPr="00671239">
        <w:rPr>
          <w:rFonts w:eastAsia="新細明體"/>
        </w:rPr>
        <w:t>. The DNA sequence with species annotation was used</w:t>
      </w:r>
      <w:r w:rsidRPr="00671239" w:rsidDel="00D44543">
        <w:rPr>
          <w:rFonts w:eastAsia="新細明體"/>
        </w:rPr>
        <w:t xml:space="preserve"> </w:t>
      </w:r>
      <w:r w:rsidRPr="00671239">
        <w:rPr>
          <w:rFonts w:eastAsia="新細明體"/>
        </w:rPr>
        <w:t>for RDP 3 classifier software and Silva Database v.132</w:t>
      </w:r>
      <w:r w:rsidR="00001FB5" w:rsidRPr="00671239">
        <w:rPr>
          <w:rFonts w:eastAsia="新細明體"/>
        </w:rPr>
        <w:t xml:space="preserve"> </w:t>
      </w:r>
      <w:r w:rsidR="00927549" w:rsidRPr="00671239">
        <w:rPr>
          <w:rFonts w:eastAsia="新細明體"/>
        </w:rPr>
        <w:t>[9,10]</w:t>
      </w:r>
      <w:r w:rsidRPr="00671239">
        <w:rPr>
          <w:rFonts w:eastAsia="新細明體"/>
        </w:rPr>
        <w:t>. The OTUs abundance information was normalized using QIIME. Subsequent analysis of alpha and beta diversity, relative abundance, and evenness accounting for diversity w</w:t>
      </w:r>
      <w:r w:rsidR="008E3F94" w:rsidRPr="00671239">
        <w:rPr>
          <w:rFonts w:eastAsia="新細明體"/>
        </w:rPr>
        <w:t>as</w:t>
      </w:r>
      <w:r w:rsidRPr="00671239">
        <w:rPr>
          <w:rFonts w:eastAsia="新細明體"/>
        </w:rPr>
        <w:t xml:space="preserve"> conducted. These data were also used for the top 100 OTU heat map and taxonomic composition. </w:t>
      </w:r>
    </w:p>
    <w:p w14:paraId="4675CD11" w14:textId="77777777" w:rsidR="004D74C1" w:rsidRPr="00671239" w:rsidRDefault="004D74C1" w:rsidP="00444A40">
      <w:pPr>
        <w:spacing w:line="480" w:lineRule="auto"/>
        <w:jc w:val="both"/>
        <w:rPr>
          <w:rFonts w:eastAsia="新細明體"/>
        </w:rPr>
      </w:pPr>
    </w:p>
    <w:p w14:paraId="2F0558D7" w14:textId="7B2E06DF" w:rsidR="0035496B" w:rsidRDefault="00D3257C" w:rsidP="00444A40">
      <w:pPr>
        <w:spacing w:line="480" w:lineRule="auto"/>
        <w:jc w:val="both"/>
        <w:rPr>
          <w:rFonts w:eastAsia="新細明體"/>
          <w:bCs/>
          <w:i/>
        </w:rPr>
      </w:pPr>
      <w:r w:rsidRPr="0035496B">
        <w:rPr>
          <w:rFonts w:eastAsia="新細明體"/>
          <w:b/>
          <w:bCs/>
        </w:rPr>
        <w:t>Expression and purification of toxin recombinant protein</w:t>
      </w:r>
      <w:r w:rsidRPr="00671239">
        <w:rPr>
          <w:rFonts w:eastAsia="新細明體"/>
          <w:bCs/>
          <w:i/>
        </w:rPr>
        <w:t xml:space="preserve"> </w:t>
      </w:r>
    </w:p>
    <w:p w14:paraId="3A159ED3" w14:textId="7524FF31" w:rsidR="00D3257C" w:rsidRDefault="00D3257C" w:rsidP="00444A40">
      <w:pPr>
        <w:spacing w:line="480" w:lineRule="auto"/>
        <w:jc w:val="both"/>
        <w:rPr>
          <w:rFonts w:eastAsia="新細明體"/>
        </w:rPr>
      </w:pPr>
      <w:r w:rsidRPr="00671239">
        <w:rPr>
          <w:rFonts w:eastAsia="新細明體"/>
        </w:rPr>
        <w:t xml:space="preserve">The </w:t>
      </w:r>
      <w:r w:rsidRPr="00671239">
        <w:rPr>
          <w:rFonts w:eastAsia="新細明體"/>
          <w:i/>
          <w:iCs/>
        </w:rPr>
        <w:t>V. parahaemolytic</w:t>
      </w:r>
      <w:r w:rsidRPr="00671239">
        <w:rPr>
          <w:rFonts w:eastAsia="新細明體"/>
        </w:rPr>
        <w:t xml:space="preserve">us pirA and pirB toxin proteins were obtained by molecular cloning and recombinant protein expression techniques. Briefly, the genes are amplified by PCR and cloned into pET21a plasmids with the restriction enzyme </w:t>
      </w:r>
      <w:r w:rsidRPr="00671239">
        <w:rPr>
          <w:rFonts w:eastAsia="新細明體"/>
          <w:i/>
          <w:iCs/>
        </w:rPr>
        <w:t>Eco</w:t>
      </w:r>
      <w:r w:rsidRPr="00671239">
        <w:rPr>
          <w:rFonts w:eastAsia="新細明體"/>
        </w:rPr>
        <w:t xml:space="preserve">RI and </w:t>
      </w:r>
      <w:r w:rsidRPr="00671239">
        <w:rPr>
          <w:rFonts w:eastAsia="新細明體"/>
          <w:i/>
          <w:iCs/>
        </w:rPr>
        <w:t>Xho</w:t>
      </w:r>
      <w:r w:rsidRPr="00671239">
        <w:rPr>
          <w:rFonts w:eastAsia="新細明體"/>
        </w:rPr>
        <w:t xml:space="preserve">I using Gibson assembly kit (NEB; Ipswich, MA, USA). The plasmids were transformed into Rosetta (DE3) competent cells of </w:t>
      </w:r>
      <w:r w:rsidRPr="00671239">
        <w:rPr>
          <w:rFonts w:eastAsia="新細明體"/>
          <w:i/>
        </w:rPr>
        <w:t>E. coli</w:t>
      </w:r>
      <w:r w:rsidRPr="00671239">
        <w:rPr>
          <w:rFonts w:eastAsia="新細明體"/>
        </w:rPr>
        <w:t xml:space="preserve"> to express recombinant </w:t>
      </w:r>
      <w:r w:rsidRPr="00671239">
        <w:rPr>
          <w:rFonts w:eastAsia="新細明體"/>
          <w:iCs/>
        </w:rPr>
        <w:t>pirA</w:t>
      </w:r>
      <w:r w:rsidRPr="00671239">
        <w:rPr>
          <w:rFonts w:eastAsia="新細明體"/>
        </w:rPr>
        <w:t xml:space="preserve"> (rPirA) and recombinant </w:t>
      </w:r>
      <w:r w:rsidRPr="00671239">
        <w:rPr>
          <w:rFonts w:eastAsia="新細明體"/>
          <w:iCs/>
        </w:rPr>
        <w:t>pirB</w:t>
      </w:r>
      <w:r w:rsidRPr="00671239">
        <w:rPr>
          <w:rFonts w:eastAsia="新細明體"/>
        </w:rPr>
        <w:t xml:space="preserve"> (rPirB) protein. The recombinant protein was induced by treating with isopropyl thiogalactoside (IPTG, 4 x 10</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xml:space="preserve"> </w:t>
      </w:r>
      <w:r w:rsidRPr="00671239">
        <w:rPr>
          <w:rFonts w:eastAsia="新細明體"/>
        </w:rPr>
        <w:sym w:font="Symbol" w:char="F06D"/>
      </w:r>
      <w:r w:rsidRPr="00671239">
        <w:rPr>
          <w:rFonts w:eastAsia="新細明體"/>
        </w:rPr>
        <w:t>M) at 16 ℃ for 16 h under orbital shaking (150 rpm). The recombinant protein of rPirA and rPirB with 6x His-tag were purified using nickel NTA agarose resin (ABT, FL, USA). Purification conditions were as per the user manual, and the purified rPirA and rPirB were concentrated with Amicon</w:t>
      </w:r>
      <w:r w:rsidRPr="00671239">
        <w:rPr>
          <w:rFonts w:eastAsia="新細明體"/>
          <w:vertAlign w:val="superscript"/>
        </w:rPr>
        <w:t>®</w:t>
      </w:r>
      <w:r w:rsidRPr="00671239">
        <w:rPr>
          <w:rFonts w:eastAsia="新細明體"/>
        </w:rPr>
        <w:t xml:space="preserve"> ultra-15 centrifugal filters (Merck Millipore, Burlington, MA, USA), and dialyzed in PBS solution. The protein concentration was measured using Pierce BCA Protein Assay Kit (Thermo Fisher Scientific, Waltham, MA, USA).</w:t>
      </w:r>
      <w:r w:rsidR="004D74C1">
        <w:rPr>
          <w:rFonts w:eastAsia="新細明體" w:hint="eastAsia"/>
          <w:lang w:eastAsia="zh-TW"/>
        </w:rPr>
        <w:t xml:space="preserve"> </w:t>
      </w:r>
    </w:p>
    <w:p w14:paraId="275F0173" w14:textId="77777777" w:rsidR="004D74C1" w:rsidRPr="00671239" w:rsidRDefault="004D74C1" w:rsidP="00444A40">
      <w:pPr>
        <w:spacing w:line="480" w:lineRule="auto"/>
        <w:jc w:val="both"/>
        <w:rPr>
          <w:rFonts w:eastAsia="新細明體"/>
          <w:b/>
          <w:bCs/>
        </w:rPr>
      </w:pPr>
    </w:p>
    <w:p w14:paraId="46DD45F3" w14:textId="77777777" w:rsidR="004D74C1" w:rsidRDefault="00D3257C" w:rsidP="00444A40">
      <w:pPr>
        <w:spacing w:line="480" w:lineRule="auto"/>
        <w:jc w:val="both"/>
        <w:rPr>
          <w:rFonts w:eastAsia="新細明體"/>
          <w:b/>
          <w:bCs/>
        </w:rPr>
      </w:pPr>
      <w:r w:rsidRPr="004D74C1">
        <w:rPr>
          <w:rFonts w:eastAsia="新細明體"/>
          <w:b/>
          <w:bCs/>
        </w:rPr>
        <w:t>The toxin adsorption assay of CNGs</w:t>
      </w:r>
      <w:r w:rsidRPr="00671239">
        <w:rPr>
          <w:rFonts w:eastAsia="新細明體"/>
          <w:b/>
          <w:bCs/>
        </w:rPr>
        <w:t xml:space="preserve"> </w:t>
      </w:r>
    </w:p>
    <w:p w14:paraId="736F4625" w14:textId="3520D021" w:rsidR="00D3257C" w:rsidRDefault="00D3257C" w:rsidP="00444A40">
      <w:pPr>
        <w:spacing w:line="480" w:lineRule="auto"/>
        <w:jc w:val="both"/>
        <w:rPr>
          <w:rFonts w:eastAsia="新細明體"/>
        </w:rPr>
      </w:pPr>
      <w:r w:rsidRPr="00671239">
        <w:rPr>
          <w:rFonts w:eastAsia="新細明體"/>
        </w:rPr>
        <w:t>As-prepared DAO/DEX</w:t>
      </w:r>
      <w:r w:rsidRPr="00671239">
        <w:rPr>
          <w:rFonts w:eastAsia="新細明體"/>
          <w:vertAlign w:val="subscript"/>
        </w:rPr>
        <w:t>5.0</w:t>
      </w:r>
      <w:r w:rsidRPr="00671239">
        <w:rPr>
          <w:rFonts w:eastAsia="新細明體"/>
        </w:rPr>
        <w:t>-CNGs (0.5</w:t>
      </w:r>
      <w:r w:rsidRPr="00671239">
        <w:rPr>
          <w:rFonts w:eastAsia="新細明體"/>
        </w:rPr>
        <w:sym w:font="Symbol" w:char="F02D"/>
      </w:r>
      <w:r w:rsidRPr="00671239">
        <w:rPr>
          <w:rFonts w:eastAsia="新細明體"/>
        </w:rPr>
        <w:t>10 mg mL</w:t>
      </w:r>
      <w:r w:rsidRPr="00671239">
        <w:rPr>
          <w:rFonts w:eastAsia="新細明體"/>
          <w:vertAlign w:val="superscript"/>
        </w:rPr>
        <w:sym w:font="Symbol" w:char="F02D"/>
      </w:r>
      <w:r w:rsidRPr="00671239">
        <w:rPr>
          <w:rFonts w:eastAsia="新細明體"/>
          <w:vertAlign w:val="superscript"/>
        </w:rPr>
        <w:t>1</w:t>
      </w:r>
      <w:r w:rsidRPr="00671239">
        <w:rPr>
          <w:rFonts w:eastAsia="新細明體"/>
        </w:rPr>
        <w:t>) were mixed with 0.1 mg of rPirA or rPirB in PBS solution (pH 7.4)</w:t>
      </w:r>
      <w:r w:rsidRPr="00671239">
        <w:rPr>
          <w:rFonts w:eastAsia="新細明體"/>
          <w:bCs/>
        </w:rPr>
        <w:t xml:space="preserve"> at 25 ℃ for 30 min. Then, the mixtures were centrifuged at 10,000 </w:t>
      </w:r>
      <w:r w:rsidRPr="00671239">
        <w:rPr>
          <w:rFonts w:eastAsia="新細明體"/>
          <w:bCs/>
          <w:i/>
        </w:rPr>
        <w:t>g</w:t>
      </w:r>
      <w:r w:rsidRPr="00671239">
        <w:rPr>
          <w:rFonts w:eastAsia="新細明體"/>
          <w:bCs/>
        </w:rPr>
        <w:t xml:space="preserve"> to remove the absorbed toxins. The supernatant (20 </w:t>
      </w:r>
      <w:r w:rsidRPr="00671239">
        <w:rPr>
          <w:rFonts w:eastAsia="新細明體"/>
          <w:bCs/>
        </w:rPr>
        <w:sym w:font="Symbol" w:char="F06D"/>
      </w:r>
      <w:r w:rsidRPr="00671239">
        <w:rPr>
          <w:rFonts w:eastAsia="新細明體"/>
          <w:bCs/>
        </w:rPr>
        <w:t xml:space="preserve">L) was electrophoresed in 12% SDS-PAGE gel, and then the separated proteins were transferred to </w:t>
      </w:r>
      <w:r w:rsidRPr="00671239">
        <w:rPr>
          <w:rFonts w:eastAsia="新細明體"/>
        </w:rPr>
        <w:t>polyvinylidene difluoride</w:t>
      </w:r>
      <w:r w:rsidRPr="00671239">
        <w:rPr>
          <w:rFonts w:eastAsia="新細明體"/>
          <w:bCs/>
        </w:rPr>
        <w:t xml:space="preserve"> (PVDF) membrane (400 mA, 1.5 h). The membrane was </w:t>
      </w:r>
      <w:r w:rsidRPr="00671239">
        <w:rPr>
          <w:rFonts w:eastAsia="新細明體"/>
        </w:rPr>
        <w:t xml:space="preserve">blocked with </w:t>
      </w:r>
      <w:r w:rsidRPr="00671239">
        <w:rPr>
          <w:rFonts w:eastAsia="新細明體"/>
          <w:bCs/>
        </w:rPr>
        <w:t xml:space="preserve">blocking buffer [3% (wt./vol.) skim milk in 0.5% TBST buffer (0.5 M NaCl, 50 mM Tris·HCl, pH 7.5, 0.5% Tween 20)] for 1 h </w:t>
      </w:r>
      <w:r w:rsidRPr="00671239">
        <w:rPr>
          <w:rFonts w:eastAsia="新細明體"/>
        </w:rPr>
        <w:t>at room temperature and then incubated with</w:t>
      </w:r>
      <w:r w:rsidRPr="00671239">
        <w:rPr>
          <w:rFonts w:eastAsia="新細明體"/>
          <w:bCs/>
        </w:rPr>
        <w:t xml:space="preserve"> His-tag antibody </w:t>
      </w:r>
      <w:r w:rsidRPr="00671239">
        <w:rPr>
          <w:rFonts w:eastAsia="新細明體"/>
        </w:rPr>
        <w:t xml:space="preserve">(1:5000; GeneTex Inc., Irvine, CA, USA) </w:t>
      </w:r>
      <w:r w:rsidRPr="00671239">
        <w:rPr>
          <w:rFonts w:eastAsia="新細明體"/>
          <w:bCs/>
        </w:rPr>
        <w:t xml:space="preserve">for 1 h at room temperature. The membrane was then washed three times with 0.5% TBST buffer and incubated </w:t>
      </w:r>
      <w:r w:rsidRPr="00671239">
        <w:rPr>
          <w:rFonts w:eastAsia="新細明體"/>
        </w:rPr>
        <w:t>with corresponding horseradish peroxidase (HRP)-conjugated sheep anti-mouse antibody (1:5000; GeneTex)</w:t>
      </w:r>
      <w:r w:rsidRPr="00671239">
        <w:rPr>
          <w:rFonts w:eastAsia="新細明體"/>
          <w:bCs/>
        </w:rPr>
        <w:t xml:space="preserve"> for 1 h at room temperature. </w:t>
      </w:r>
      <w:r w:rsidRPr="00671239">
        <w:rPr>
          <w:rFonts w:eastAsia="新細明體"/>
        </w:rPr>
        <w:t xml:space="preserve">The membranes were washed again four times with 0.5% TBST and detected by ECL Western Blotting Detection Reagents (GE Healthcare Bio-Sciences, Piscataway, NJ, USA). </w:t>
      </w:r>
    </w:p>
    <w:p w14:paraId="06991071" w14:textId="77777777" w:rsidR="0035496B" w:rsidRPr="00671239" w:rsidRDefault="0035496B" w:rsidP="00444A40">
      <w:pPr>
        <w:spacing w:line="480" w:lineRule="auto"/>
        <w:jc w:val="both"/>
        <w:rPr>
          <w:rFonts w:eastAsia="新細明體"/>
        </w:rPr>
      </w:pPr>
    </w:p>
    <w:p w14:paraId="55B07B15" w14:textId="77777777" w:rsidR="0035496B" w:rsidRDefault="00D3257C" w:rsidP="00444A40">
      <w:pPr>
        <w:spacing w:line="480" w:lineRule="auto"/>
        <w:jc w:val="both"/>
        <w:rPr>
          <w:rFonts w:eastAsia="新細明體"/>
          <w:b/>
          <w:bCs/>
        </w:rPr>
      </w:pPr>
      <w:r w:rsidRPr="0035496B">
        <w:rPr>
          <w:rFonts w:eastAsia="新細明體"/>
          <w:b/>
          <w:bCs/>
        </w:rPr>
        <w:t>Statistics</w:t>
      </w:r>
      <w:r w:rsidRPr="00671239">
        <w:rPr>
          <w:rFonts w:eastAsia="新細明體"/>
          <w:b/>
          <w:bCs/>
        </w:rPr>
        <w:t xml:space="preserve"> </w:t>
      </w:r>
    </w:p>
    <w:p w14:paraId="4B448789" w14:textId="0FA2030F" w:rsidR="002C030F" w:rsidRDefault="00D3257C" w:rsidP="00E97520">
      <w:pPr>
        <w:spacing w:line="480" w:lineRule="auto"/>
        <w:jc w:val="both"/>
        <w:rPr>
          <w:rFonts w:eastAsia="新細明體"/>
          <w:bCs/>
        </w:rPr>
      </w:pPr>
      <w:r w:rsidRPr="00671239">
        <w:rPr>
          <w:rFonts w:eastAsia="新細明體"/>
          <w:bCs/>
        </w:rPr>
        <w:t xml:space="preserve">Results were expressed as mean ± standard deviation. Comparative studies of means were carried out using </w:t>
      </w:r>
      <w:r w:rsidR="008E3F94" w:rsidRPr="00671239">
        <w:rPr>
          <w:rFonts w:eastAsia="新細明體"/>
          <w:bCs/>
        </w:rPr>
        <w:t xml:space="preserve">a </w:t>
      </w:r>
      <w:r w:rsidRPr="00671239">
        <w:rPr>
          <w:rFonts w:eastAsia="新細明體"/>
          <w:bCs/>
        </w:rPr>
        <w:t xml:space="preserve">one-way analysis of variance (one-way ANOVA). Signiﬁcance was accepted with </w:t>
      </w:r>
      <w:r w:rsidRPr="00671239">
        <w:rPr>
          <w:rFonts w:eastAsia="新細明體"/>
          <w:bCs/>
          <w:i/>
        </w:rPr>
        <w:t>p</w:t>
      </w:r>
      <w:r w:rsidRPr="00671239">
        <w:rPr>
          <w:rFonts w:eastAsia="新細明體"/>
          <w:bCs/>
        </w:rPr>
        <w:t xml:space="preserve"> &lt; 0.05. </w:t>
      </w:r>
    </w:p>
    <w:p w14:paraId="08318299" w14:textId="77777777" w:rsidR="00E97520" w:rsidRDefault="00E97520" w:rsidP="00E97520">
      <w:pPr>
        <w:spacing w:line="480" w:lineRule="auto"/>
        <w:jc w:val="both"/>
        <w:rPr>
          <w:b/>
          <w:bCs/>
        </w:rPr>
      </w:pPr>
    </w:p>
    <w:p w14:paraId="39BFCBA2" w14:textId="77777777" w:rsidR="00E97520" w:rsidRDefault="00E97520" w:rsidP="00E97520">
      <w:pPr>
        <w:spacing w:line="480" w:lineRule="auto"/>
        <w:jc w:val="both"/>
        <w:rPr>
          <w:b/>
          <w:bCs/>
        </w:rPr>
      </w:pPr>
    </w:p>
    <w:p w14:paraId="5D4438B7" w14:textId="77777777" w:rsidR="00E97520" w:rsidRDefault="00E97520" w:rsidP="00E97520">
      <w:pPr>
        <w:spacing w:line="480" w:lineRule="auto"/>
        <w:jc w:val="both"/>
        <w:rPr>
          <w:b/>
          <w:bCs/>
        </w:rPr>
      </w:pPr>
    </w:p>
    <w:p w14:paraId="5705D36B" w14:textId="77777777" w:rsidR="00E97520" w:rsidRDefault="00E97520" w:rsidP="00E97520">
      <w:pPr>
        <w:spacing w:line="480" w:lineRule="auto"/>
        <w:jc w:val="both"/>
        <w:rPr>
          <w:b/>
          <w:bCs/>
        </w:rPr>
      </w:pPr>
    </w:p>
    <w:p w14:paraId="555C08F3" w14:textId="158CA656" w:rsidR="00E97520" w:rsidRPr="00671239" w:rsidRDefault="00E97520" w:rsidP="00E97520">
      <w:pPr>
        <w:spacing w:line="480" w:lineRule="auto"/>
        <w:jc w:val="both"/>
      </w:pPr>
      <w:r>
        <w:rPr>
          <w:b/>
          <w:bCs/>
        </w:rPr>
        <w:t xml:space="preserve">Additional </w:t>
      </w:r>
      <w:r w:rsidRPr="009C1040">
        <w:rPr>
          <w:b/>
          <w:bCs/>
        </w:rPr>
        <w:t>Figures</w:t>
      </w:r>
    </w:p>
    <w:p w14:paraId="6323EF87" w14:textId="77777777" w:rsidR="00D638B1" w:rsidRPr="00671239" w:rsidRDefault="00D638B1" w:rsidP="008E351E">
      <w:pPr>
        <w:spacing w:line="360" w:lineRule="auto"/>
        <w:jc w:val="center"/>
        <w:rPr>
          <w:rFonts w:eastAsia="新細明體"/>
        </w:rPr>
      </w:pPr>
      <w:r w:rsidRPr="00671239">
        <w:rPr>
          <w:rFonts w:eastAsia="新細明體"/>
          <w:noProof/>
          <w:lang w:eastAsia="zh-TW"/>
        </w:rPr>
        <w:drawing>
          <wp:inline distT="0" distB="0" distL="0" distR="0" wp14:anchorId="4DFA7B96" wp14:editId="1D63FCBD">
            <wp:extent cx="5270500" cy="4500880"/>
            <wp:effectExtent l="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0500" cy="4500880"/>
                    </a:xfrm>
                    <a:prstGeom prst="rect">
                      <a:avLst/>
                    </a:prstGeom>
                  </pic:spPr>
                </pic:pic>
              </a:graphicData>
            </a:graphic>
          </wp:inline>
        </w:drawing>
      </w:r>
    </w:p>
    <w:p w14:paraId="74A8F91D" w14:textId="741ED823" w:rsidR="00D638B1" w:rsidRDefault="00D638B1" w:rsidP="008A45DC">
      <w:pPr>
        <w:spacing w:line="360" w:lineRule="auto"/>
        <w:jc w:val="both"/>
        <w:rPr>
          <w:rFonts w:eastAsia="新細明體"/>
        </w:rPr>
      </w:pPr>
      <w:r w:rsidRPr="00671239">
        <w:rPr>
          <w:rFonts w:eastAsia="新細明體"/>
          <w:b/>
          <w:bCs/>
          <w:iCs/>
        </w:rPr>
        <w:t>Fig. S1</w:t>
      </w:r>
      <w:r w:rsidRPr="00671239">
        <w:rPr>
          <w:rFonts w:eastAsia="新細明體"/>
          <w:b/>
          <w:bCs/>
          <w:i/>
          <w:iCs/>
        </w:rPr>
        <w:t xml:space="preserve"> </w:t>
      </w:r>
      <w:r w:rsidRPr="00671239">
        <w:rPr>
          <w:rFonts w:eastAsia="新細明體"/>
        </w:rPr>
        <w:t>The photographs of (A) as-prepared products and (B) after being dissolved in deionized water (4 mL) for mixtures of 1,8-diaminooctane (DAO) and dextran 70 (DEX) heated at 180 ℃ for 3 h.</w:t>
      </w:r>
      <w:r w:rsidR="00E97520">
        <w:rPr>
          <w:rFonts w:eastAsia="新細明體" w:hint="eastAsia"/>
          <w:lang w:eastAsia="zh-TW"/>
        </w:rPr>
        <w:t xml:space="preserve"> </w:t>
      </w:r>
    </w:p>
    <w:p w14:paraId="493A553D" w14:textId="5DE4F0C2" w:rsidR="00E97520" w:rsidRDefault="00E97520" w:rsidP="00D638B1">
      <w:pPr>
        <w:spacing w:line="360" w:lineRule="auto"/>
        <w:jc w:val="both"/>
        <w:rPr>
          <w:rFonts w:eastAsia="新細明體"/>
        </w:rPr>
      </w:pPr>
    </w:p>
    <w:p w14:paraId="32F52D07" w14:textId="02CD2443" w:rsidR="00E97520" w:rsidRDefault="00E97520" w:rsidP="00D638B1">
      <w:pPr>
        <w:spacing w:line="360" w:lineRule="auto"/>
        <w:jc w:val="both"/>
        <w:rPr>
          <w:rFonts w:eastAsia="新細明體"/>
        </w:rPr>
      </w:pPr>
    </w:p>
    <w:p w14:paraId="12F4D318" w14:textId="5552EE67" w:rsidR="00E97520" w:rsidRDefault="00E97520" w:rsidP="00D638B1">
      <w:pPr>
        <w:spacing w:line="360" w:lineRule="auto"/>
        <w:jc w:val="both"/>
        <w:rPr>
          <w:rFonts w:eastAsia="新細明體"/>
        </w:rPr>
      </w:pPr>
    </w:p>
    <w:p w14:paraId="6990B61D" w14:textId="6FA7686C" w:rsidR="00E97520" w:rsidRDefault="00E97520" w:rsidP="00D638B1">
      <w:pPr>
        <w:spacing w:line="360" w:lineRule="auto"/>
        <w:jc w:val="both"/>
        <w:rPr>
          <w:rFonts w:eastAsia="新細明體"/>
        </w:rPr>
      </w:pPr>
    </w:p>
    <w:p w14:paraId="045DFB0A" w14:textId="24744F3B" w:rsidR="00E97520" w:rsidRDefault="00E97520" w:rsidP="00D638B1">
      <w:pPr>
        <w:spacing w:line="360" w:lineRule="auto"/>
        <w:jc w:val="both"/>
        <w:rPr>
          <w:rFonts w:eastAsia="新細明體"/>
        </w:rPr>
      </w:pPr>
    </w:p>
    <w:p w14:paraId="1D103E70" w14:textId="1338046A" w:rsidR="00E97520" w:rsidRDefault="00E97520" w:rsidP="00D638B1">
      <w:pPr>
        <w:spacing w:line="360" w:lineRule="auto"/>
        <w:jc w:val="both"/>
        <w:rPr>
          <w:rFonts w:eastAsia="新細明體"/>
        </w:rPr>
      </w:pPr>
    </w:p>
    <w:p w14:paraId="670E130C" w14:textId="21FDAA93" w:rsidR="00E97520" w:rsidRDefault="00E97520" w:rsidP="00D638B1">
      <w:pPr>
        <w:spacing w:line="360" w:lineRule="auto"/>
        <w:jc w:val="both"/>
        <w:rPr>
          <w:rFonts w:eastAsia="新細明體"/>
        </w:rPr>
      </w:pPr>
    </w:p>
    <w:p w14:paraId="1B857C82" w14:textId="6B06360E" w:rsidR="00E97520" w:rsidRDefault="00E97520" w:rsidP="00D638B1">
      <w:pPr>
        <w:spacing w:line="360" w:lineRule="auto"/>
        <w:jc w:val="both"/>
        <w:rPr>
          <w:rFonts w:eastAsia="新細明體"/>
        </w:rPr>
      </w:pPr>
    </w:p>
    <w:p w14:paraId="6854A514" w14:textId="124DE2FC" w:rsidR="00E97520" w:rsidRDefault="00E97520" w:rsidP="00D638B1">
      <w:pPr>
        <w:spacing w:line="360" w:lineRule="auto"/>
        <w:jc w:val="both"/>
        <w:rPr>
          <w:rFonts w:eastAsia="新細明體"/>
        </w:rPr>
      </w:pPr>
    </w:p>
    <w:p w14:paraId="29EC760F" w14:textId="77777777" w:rsidR="004E2117" w:rsidRDefault="00D638B1" w:rsidP="004E2117">
      <w:pPr>
        <w:spacing w:line="360" w:lineRule="auto"/>
        <w:jc w:val="center"/>
        <w:rPr>
          <w:rFonts w:eastAsia="新細明體"/>
          <w:b/>
          <w:bCs/>
          <w:iCs/>
        </w:rPr>
      </w:pPr>
      <w:r w:rsidRPr="00671239">
        <w:rPr>
          <w:rFonts w:eastAsia="新細明體"/>
          <w:noProof/>
          <w:lang w:eastAsia="zh-TW"/>
        </w:rPr>
        <w:drawing>
          <wp:inline distT="0" distB="0" distL="0" distR="0" wp14:anchorId="1FE3B0EF" wp14:editId="2AA3AA25">
            <wp:extent cx="5981700" cy="4437989"/>
            <wp:effectExtent l="0" t="0" r="0" b="127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06060" cy="4456062"/>
                    </a:xfrm>
                    <a:prstGeom prst="rect">
                      <a:avLst/>
                    </a:prstGeom>
                  </pic:spPr>
                </pic:pic>
              </a:graphicData>
            </a:graphic>
          </wp:inline>
        </w:drawing>
      </w:r>
    </w:p>
    <w:p w14:paraId="20859A2D" w14:textId="254B5E04" w:rsidR="00D638B1" w:rsidRDefault="00D638B1" w:rsidP="004E2117">
      <w:pPr>
        <w:spacing w:line="360" w:lineRule="auto"/>
        <w:jc w:val="both"/>
        <w:rPr>
          <w:rFonts w:eastAsia="新細明體"/>
        </w:rPr>
      </w:pPr>
      <w:r w:rsidRPr="00671239">
        <w:rPr>
          <w:rFonts w:eastAsia="新細明體"/>
          <w:b/>
          <w:bCs/>
          <w:iCs/>
        </w:rPr>
        <w:t>Fig. S2</w:t>
      </w:r>
      <w:r w:rsidRPr="00671239">
        <w:rPr>
          <w:rFonts w:eastAsia="新細明體"/>
          <w:b/>
          <w:bCs/>
          <w:i/>
          <w:iCs/>
        </w:rPr>
        <w:t xml:space="preserve"> </w:t>
      </w:r>
      <w:r w:rsidRPr="00671239">
        <w:rPr>
          <w:rFonts w:eastAsia="新細明體"/>
        </w:rPr>
        <w:t>(A) UV-Vis absorption and (B) fluorescence spectra of i DAO/DEX</w:t>
      </w:r>
      <w:r w:rsidRPr="00671239">
        <w:rPr>
          <w:rFonts w:eastAsia="新細明體"/>
          <w:vertAlign w:val="subscript"/>
        </w:rPr>
        <w:t>0.5</w:t>
      </w:r>
      <w:r w:rsidRPr="00671239">
        <w:rPr>
          <w:rFonts w:eastAsia="新細明體"/>
        </w:rPr>
        <w:t>-CNGs, ii DAO/DEX</w:t>
      </w:r>
      <w:r w:rsidRPr="00671239">
        <w:rPr>
          <w:rFonts w:eastAsia="新細明體"/>
          <w:vertAlign w:val="subscript"/>
        </w:rPr>
        <w:t>1.5</w:t>
      </w:r>
      <w:r w:rsidRPr="00671239">
        <w:rPr>
          <w:rFonts w:eastAsia="新細明體"/>
        </w:rPr>
        <w:t>-CNGs, iii DAO/DEX</w:t>
      </w:r>
      <w:r w:rsidRPr="00671239">
        <w:rPr>
          <w:rFonts w:eastAsia="新細明體"/>
          <w:vertAlign w:val="subscript"/>
        </w:rPr>
        <w:t>5.0</w:t>
      </w:r>
      <w:r w:rsidRPr="00671239">
        <w:rPr>
          <w:rFonts w:eastAsia="新細明體"/>
        </w:rPr>
        <w:t>-CNGs, and iv product obtained by heating dextran with a concentration of 0.5 mg mL</w:t>
      </w:r>
      <w:r w:rsidRPr="00671239">
        <w:rPr>
          <w:rFonts w:eastAsia="新細明體"/>
          <w:vertAlign w:val="superscript"/>
        </w:rPr>
        <w:t>−1</w:t>
      </w:r>
      <w:r w:rsidRPr="00671239">
        <w:rPr>
          <w:rFonts w:eastAsia="新細明體"/>
        </w:rPr>
        <w:t xml:space="preserve"> in 5 mM sodium phosphate buffer (pH 7.4). (</w:t>
      </w:r>
      <w:r w:rsidRPr="00671239">
        <w:rPr>
          <w:rFonts w:eastAsia="新細明體"/>
          <w:b/>
          <w:bCs/>
        </w:rPr>
        <w:t>C</w:t>
      </w:r>
      <w:r w:rsidRPr="00671239">
        <w:rPr>
          <w:rFonts w:eastAsia="新細明體"/>
        </w:rPr>
        <w:t>) Excitation-dependent fluorescence spectra of DAO/DEX</w:t>
      </w:r>
      <w:r w:rsidRPr="00671239">
        <w:rPr>
          <w:rFonts w:eastAsia="新細明體"/>
          <w:vertAlign w:val="subscript"/>
        </w:rPr>
        <w:t>5.0</w:t>
      </w:r>
      <w:r w:rsidRPr="00671239">
        <w:rPr>
          <w:rFonts w:eastAsia="新細明體"/>
        </w:rPr>
        <w:t>-CNGs (0.5 mg mL</w:t>
      </w:r>
      <w:r w:rsidRPr="00671239">
        <w:rPr>
          <w:rFonts w:eastAsia="新細明體"/>
          <w:vertAlign w:val="superscript"/>
        </w:rPr>
        <w:t>−1</w:t>
      </w:r>
      <w:r w:rsidRPr="00671239">
        <w:rPr>
          <w:rFonts w:eastAsia="新細明體"/>
        </w:rPr>
        <w:t>) in 5 mM sodium phosphate buffer (pH 7.4). The excitation wavelength set for the fluorescence measurement (B) was 365 nm. Inset to (A) and (B): photographs of the corresponding solutions (A) before and (B) after excitation under a hand-held UV lamp (365 nm). Fluorescence intensity (</w:t>
      </w:r>
      <w:r w:rsidRPr="00671239">
        <w:rPr>
          <w:rFonts w:eastAsia="新細明體"/>
          <w:i/>
        </w:rPr>
        <w:t>I</w:t>
      </w:r>
      <w:r w:rsidRPr="00671239">
        <w:rPr>
          <w:rFonts w:eastAsia="新細明體"/>
          <w:vertAlign w:val="subscript"/>
        </w:rPr>
        <w:t>F</w:t>
      </w:r>
      <w:r w:rsidRPr="00671239">
        <w:rPr>
          <w:rFonts w:eastAsia="新細明體"/>
        </w:rPr>
        <w:t>) is plotted in arbitrary units (a. u.).</w:t>
      </w:r>
      <w:r w:rsidR="004E2117">
        <w:rPr>
          <w:rFonts w:eastAsia="新細明體"/>
        </w:rPr>
        <w:t xml:space="preserve"> </w:t>
      </w:r>
    </w:p>
    <w:p w14:paraId="3AA04847" w14:textId="77777777" w:rsidR="004E2117" w:rsidRDefault="004E2117" w:rsidP="00D638B1">
      <w:pPr>
        <w:spacing w:line="360" w:lineRule="auto"/>
        <w:jc w:val="both"/>
        <w:rPr>
          <w:rFonts w:eastAsia="新細明體"/>
        </w:rPr>
      </w:pPr>
    </w:p>
    <w:p w14:paraId="65470B13" w14:textId="2AE552A5" w:rsidR="00D638B1" w:rsidRPr="00671239" w:rsidRDefault="00D638B1" w:rsidP="004E2117">
      <w:pPr>
        <w:spacing w:line="360" w:lineRule="auto"/>
        <w:jc w:val="center"/>
        <w:rPr>
          <w:rFonts w:eastAsia="新細明體"/>
        </w:rPr>
      </w:pPr>
      <w:r w:rsidRPr="00671239">
        <w:rPr>
          <w:rFonts w:eastAsia="新細明體"/>
          <w:noProof/>
          <w:lang w:eastAsia="zh-TW"/>
        </w:rPr>
        <w:drawing>
          <wp:inline distT="0" distB="0" distL="0" distR="0" wp14:anchorId="248F226B" wp14:editId="2228319F">
            <wp:extent cx="5270500" cy="1417320"/>
            <wp:effectExtent l="0" t="0" r="0" b="508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0500" cy="1417320"/>
                    </a:xfrm>
                    <a:prstGeom prst="rect">
                      <a:avLst/>
                    </a:prstGeom>
                  </pic:spPr>
                </pic:pic>
              </a:graphicData>
            </a:graphic>
          </wp:inline>
        </w:drawing>
      </w:r>
    </w:p>
    <w:p w14:paraId="7180B5B6" w14:textId="71500B14" w:rsidR="00D638B1" w:rsidRPr="00671239" w:rsidRDefault="00D638B1" w:rsidP="00D638B1">
      <w:pPr>
        <w:spacing w:line="360" w:lineRule="auto"/>
        <w:jc w:val="both"/>
        <w:rPr>
          <w:rFonts w:eastAsia="新細明體"/>
        </w:rPr>
      </w:pPr>
      <w:r w:rsidRPr="00671239">
        <w:rPr>
          <w:rFonts w:eastAsia="新細明體"/>
          <w:b/>
          <w:bCs/>
          <w:iCs/>
        </w:rPr>
        <w:t>Fig. S3</w:t>
      </w:r>
      <w:r w:rsidRPr="00671239">
        <w:rPr>
          <w:rFonts w:eastAsia="新細明體"/>
          <w:b/>
          <w:bCs/>
          <w:i/>
          <w:iCs/>
        </w:rPr>
        <w:t xml:space="preserve"> </w:t>
      </w:r>
      <w:r w:rsidRPr="00671239">
        <w:rPr>
          <w:rFonts w:eastAsia="新細明體"/>
        </w:rPr>
        <w:t>The</w:t>
      </w:r>
      <w:r w:rsidRPr="00671239">
        <w:rPr>
          <w:rFonts w:eastAsia="新細明體"/>
          <w:b/>
          <w:bCs/>
          <w:i/>
          <w:iCs/>
        </w:rPr>
        <w:t xml:space="preserve"> </w:t>
      </w:r>
      <w:r w:rsidRPr="00671239">
        <w:rPr>
          <w:rFonts w:eastAsia="新細明體"/>
        </w:rPr>
        <w:t>XPS spectra of (A) C1s, (B) N1s, and (C) O1s of the purified DAO/DEX</w:t>
      </w:r>
      <w:r w:rsidRPr="00671239">
        <w:rPr>
          <w:rFonts w:eastAsia="新細明體"/>
          <w:vertAlign w:val="subscript"/>
        </w:rPr>
        <w:t>5.0</w:t>
      </w:r>
      <w:r w:rsidRPr="00671239">
        <w:rPr>
          <w:rFonts w:eastAsia="新細明體"/>
        </w:rPr>
        <w:t>-CNGs.</w:t>
      </w:r>
      <w:r w:rsidR="00866D1E">
        <w:rPr>
          <w:rFonts w:eastAsia="新細明體"/>
        </w:rPr>
        <w:t xml:space="preserve"> </w:t>
      </w:r>
    </w:p>
    <w:p w14:paraId="71C7F0D7" w14:textId="4D1AC46F" w:rsidR="00D638B1" w:rsidRDefault="00D638B1" w:rsidP="00D638B1">
      <w:pPr>
        <w:spacing w:line="360" w:lineRule="auto"/>
        <w:jc w:val="both"/>
        <w:rPr>
          <w:rFonts w:eastAsia="新細明體"/>
        </w:rPr>
      </w:pPr>
    </w:p>
    <w:p w14:paraId="16EEA1A1" w14:textId="5BBB6604" w:rsidR="004E2117" w:rsidRDefault="004E2117" w:rsidP="00D638B1">
      <w:pPr>
        <w:spacing w:line="360" w:lineRule="auto"/>
        <w:jc w:val="both"/>
        <w:rPr>
          <w:rFonts w:eastAsia="新細明體"/>
        </w:rPr>
      </w:pPr>
    </w:p>
    <w:p w14:paraId="3F45A110" w14:textId="55C6F735" w:rsidR="004E2117" w:rsidRDefault="004E2117" w:rsidP="00D638B1">
      <w:pPr>
        <w:spacing w:line="360" w:lineRule="auto"/>
        <w:jc w:val="both"/>
        <w:rPr>
          <w:rFonts w:eastAsia="新細明體"/>
        </w:rPr>
      </w:pPr>
    </w:p>
    <w:p w14:paraId="4D0688CA" w14:textId="0EBA93BD" w:rsidR="00866D1E" w:rsidRDefault="00866D1E" w:rsidP="00D638B1">
      <w:pPr>
        <w:spacing w:line="360" w:lineRule="auto"/>
        <w:jc w:val="both"/>
        <w:rPr>
          <w:rFonts w:eastAsia="新細明體"/>
        </w:rPr>
      </w:pPr>
    </w:p>
    <w:p w14:paraId="26C271C9" w14:textId="0C93E15F" w:rsidR="00866D1E" w:rsidRDefault="00866D1E" w:rsidP="00D638B1">
      <w:pPr>
        <w:spacing w:line="360" w:lineRule="auto"/>
        <w:jc w:val="both"/>
        <w:rPr>
          <w:rFonts w:eastAsia="新細明體"/>
        </w:rPr>
      </w:pPr>
    </w:p>
    <w:p w14:paraId="2039B994" w14:textId="619121DB" w:rsidR="00866D1E" w:rsidRDefault="00866D1E" w:rsidP="00D638B1">
      <w:pPr>
        <w:spacing w:line="360" w:lineRule="auto"/>
        <w:jc w:val="both"/>
        <w:rPr>
          <w:rFonts w:eastAsia="新細明體"/>
        </w:rPr>
      </w:pPr>
    </w:p>
    <w:p w14:paraId="17CCA627" w14:textId="77777777" w:rsidR="00866D1E" w:rsidRPr="00671239" w:rsidRDefault="00866D1E" w:rsidP="00D638B1">
      <w:pPr>
        <w:spacing w:line="360" w:lineRule="auto"/>
        <w:jc w:val="both"/>
        <w:rPr>
          <w:rFonts w:eastAsia="新細明體"/>
        </w:rPr>
      </w:pPr>
    </w:p>
    <w:p w14:paraId="1E6F4D56" w14:textId="210EE69C" w:rsidR="00D638B1" w:rsidRDefault="00D638B1" w:rsidP="00D638B1">
      <w:pPr>
        <w:spacing w:line="360" w:lineRule="auto"/>
        <w:jc w:val="both"/>
        <w:rPr>
          <w:rFonts w:eastAsia="新細明體"/>
        </w:rPr>
      </w:pPr>
    </w:p>
    <w:p w14:paraId="53B1AA3D" w14:textId="61DCCF82" w:rsidR="00866D1E" w:rsidRDefault="00866D1E" w:rsidP="00D638B1">
      <w:pPr>
        <w:spacing w:line="360" w:lineRule="auto"/>
        <w:jc w:val="both"/>
        <w:rPr>
          <w:rFonts w:eastAsia="新細明體"/>
        </w:rPr>
      </w:pPr>
    </w:p>
    <w:p w14:paraId="6F1196E6" w14:textId="10D6EC3F" w:rsidR="00866D1E" w:rsidRDefault="00866D1E" w:rsidP="00D638B1">
      <w:pPr>
        <w:spacing w:line="360" w:lineRule="auto"/>
        <w:jc w:val="both"/>
        <w:rPr>
          <w:rFonts w:eastAsia="新細明體"/>
        </w:rPr>
      </w:pPr>
    </w:p>
    <w:p w14:paraId="2031D593" w14:textId="32DB3415" w:rsidR="00866D1E" w:rsidRDefault="00866D1E" w:rsidP="00D638B1">
      <w:pPr>
        <w:spacing w:line="360" w:lineRule="auto"/>
        <w:jc w:val="both"/>
        <w:rPr>
          <w:rFonts w:eastAsia="新細明體"/>
        </w:rPr>
      </w:pPr>
    </w:p>
    <w:p w14:paraId="1E69CEA4" w14:textId="5C292837" w:rsidR="00866D1E" w:rsidRDefault="00866D1E" w:rsidP="00D638B1">
      <w:pPr>
        <w:spacing w:line="360" w:lineRule="auto"/>
        <w:jc w:val="both"/>
        <w:rPr>
          <w:rFonts w:eastAsia="新細明體"/>
        </w:rPr>
      </w:pPr>
    </w:p>
    <w:p w14:paraId="31F8C07D" w14:textId="2EFD5494" w:rsidR="00866D1E" w:rsidRDefault="00866D1E" w:rsidP="00D638B1">
      <w:pPr>
        <w:spacing w:line="360" w:lineRule="auto"/>
        <w:jc w:val="both"/>
        <w:rPr>
          <w:rFonts w:eastAsia="新細明體"/>
        </w:rPr>
      </w:pPr>
    </w:p>
    <w:p w14:paraId="47A26B16" w14:textId="3CF3031C" w:rsidR="00866D1E" w:rsidRDefault="00866D1E" w:rsidP="00D638B1">
      <w:pPr>
        <w:spacing w:line="360" w:lineRule="auto"/>
        <w:jc w:val="both"/>
        <w:rPr>
          <w:rFonts w:eastAsia="新細明體"/>
        </w:rPr>
      </w:pPr>
    </w:p>
    <w:p w14:paraId="51CB1406" w14:textId="76CC15A0" w:rsidR="00866D1E" w:rsidRDefault="00866D1E" w:rsidP="00D638B1">
      <w:pPr>
        <w:spacing w:line="360" w:lineRule="auto"/>
        <w:jc w:val="both"/>
        <w:rPr>
          <w:rFonts w:eastAsia="新細明體"/>
        </w:rPr>
      </w:pPr>
    </w:p>
    <w:p w14:paraId="0E66871A" w14:textId="0E599A2F" w:rsidR="00866D1E" w:rsidRDefault="00866D1E" w:rsidP="00D638B1">
      <w:pPr>
        <w:spacing w:line="360" w:lineRule="auto"/>
        <w:jc w:val="both"/>
        <w:rPr>
          <w:rFonts w:eastAsia="新細明體"/>
        </w:rPr>
      </w:pPr>
    </w:p>
    <w:p w14:paraId="1E7CB739" w14:textId="318DB763" w:rsidR="00866D1E" w:rsidRDefault="00866D1E" w:rsidP="00D638B1">
      <w:pPr>
        <w:spacing w:line="360" w:lineRule="auto"/>
        <w:jc w:val="both"/>
        <w:rPr>
          <w:rFonts w:eastAsia="新細明體"/>
        </w:rPr>
      </w:pPr>
    </w:p>
    <w:p w14:paraId="24C114DA" w14:textId="1E49B867" w:rsidR="00866D1E" w:rsidRDefault="00866D1E" w:rsidP="00D638B1">
      <w:pPr>
        <w:spacing w:line="360" w:lineRule="auto"/>
        <w:jc w:val="both"/>
        <w:rPr>
          <w:rFonts w:eastAsia="新細明體"/>
        </w:rPr>
      </w:pPr>
    </w:p>
    <w:p w14:paraId="0D340CA8" w14:textId="20D63637" w:rsidR="00866D1E" w:rsidRDefault="00866D1E" w:rsidP="00D638B1">
      <w:pPr>
        <w:spacing w:line="360" w:lineRule="auto"/>
        <w:jc w:val="both"/>
        <w:rPr>
          <w:rFonts w:eastAsia="新細明體"/>
        </w:rPr>
      </w:pPr>
    </w:p>
    <w:p w14:paraId="54EAA3C3" w14:textId="48994A21" w:rsidR="00866D1E" w:rsidRDefault="00866D1E" w:rsidP="00D638B1">
      <w:pPr>
        <w:spacing w:line="360" w:lineRule="auto"/>
        <w:jc w:val="both"/>
        <w:rPr>
          <w:rFonts w:eastAsia="新細明體"/>
        </w:rPr>
      </w:pPr>
    </w:p>
    <w:p w14:paraId="463EBD22" w14:textId="77777777" w:rsidR="00D638B1" w:rsidRPr="00671239" w:rsidRDefault="00D638B1" w:rsidP="00FA1593">
      <w:pPr>
        <w:spacing w:line="360" w:lineRule="auto"/>
        <w:jc w:val="center"/>
        <w:rPr>
          <w:rFonts w:eastAsia="新細明體"/>
        </w:rPr>
      </w:pPr>
      <w:r w:rsidRPr="00671239">
        <w:rPr>
          <w:rFonts w:eastAsia="新細明體"/>
          <w:noProof/>
          <w:lang w:eastAsia="zh-TW"/>
        </w:rPr>
        <w:drawing>
          <wp:inline distT="0" distB="0" distL="0" distR="0" wp14:anchorId="7B0476ED" wp14:editId="523F393D">
            <wp:extent cx="5274310" cy="3117850"/>
            <wp:effectExtent l="0" t="0" r="254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a:ext>
                      </a:extLst>
                    </a:blip>
                    <a:srcRect b="13312"/>
                    <a:stretch/>
                  </pic:blipFill>
                  <pic:spPr bwMode="auto">
                    <a:xfrm>
                      <a:off x="0" y="0"/>
                      <a:ext cx="5274310" cy="3117850"/>
                    </a:xfrm>
                    <a:prstGeom prst="rect">
                      <a:avLst/>
                    </a:prstGeom>
                    <a:ln>
                      <a:noFill/>
                    </a:ln>
                    <a:extLst>
                      <a:ext uri="{53640926-AAD7-44D8-BBD7-CCE9431645EC}">
                        <a14:shadowObscured xmlns:a14="http://schemas.microsoft.com/office/drawing/2010/main"/>
                      </a:ext>
                    </a:extLst>
                  </pic:spPr>
                </pic:pic>
              </a:graphicData>
            </a:graphic>
          </wp:inline>
        </w:drawing>
      </w:r>
    </w:p>
    <w:p w14:paraId="6FEA9E09" w14:textId="0032F2D4" w:rsidR="00D638B1" w:rsidRDefault="00D638B1" w:rsidP="00D638B1">
      <w:pPr>
        <w:spacing w:line="360" w:lineRule="auto"/>
        <w:jc w:val="both"/>
        <w:rPr>
          <w:rFonts w:eastAsia="新細明體"/>
        </w:rPr>
      </w:pPr>
      <w:r w:rsidRPr="00671239">
        <w:rPr>
          <w:rFonts w:eastAsia="新細明體"/>
          <w:b/>
          <w:bCs/>
          <w:iCs/>
        </w:rPr>
        <w:t>Fig. S4</w:t>
      </w:r>
      <w:r w:rsidRPr="00671239">
        <w:rPr>
          <w:rFonts w:eastAsia="新細明體"/>
          <w:b/>
          <w:bCs/>
          <w:i/>
          <w:iCs/>
        </w:rPr>
        <w:t xml:space="preserve"> </w:t>
      </w:r>
      <w:r w:rsidRPr="00671239">
        <w:rPr>
          <w:rFonts w:eastAsia="新細明體"/>
        </w:rPr>
        <w:t>The FT-IR spectra of the 1,8-diaminooctane (DAO), dextran 70 (DEX), and DAO/DEX</w:t>
      </w:r>
      <w:r w:rsidRPr="00671239">
        <w:rPr>
          <w:rFonts w:eastAsia="新細明體"/>
          <w:vertAlign w:val="subscript"/>
        </w:rPr>
        <w:t>5.0</w:t>
      </w:r>
      <w:r w:rsidRPr="00671239">
        <w:rPr>
          <w:rFonts w:eastAsia="新細明體"/>
        </w:rPr>
        <w:t>-CNGs.</w:t>
      </w:r>
      <w:r w:rsidR="004E2117">
        <w:rPr>
          <w:rFonts w:eastAsia="新細明體"/>
        </w:rPr>
        <w:t xml:space="preserve"> </w:t>
      </w:r>
    </w:p>
    <w:p w14:paraId="6AC1301C" w14:textId="105F9E42" w:rsidR="004E2117" w:rsidRDefault="004E2117" w:rsidP="00D638B1">
      <w:pPr>
        <w:spacing w:line="360" w:lineRule="auto"/>
        <w:jc w:val="both"/>
        <w:rPr>
          <w:rFonts w:eastAsia="新細明體"/>
        </w:rPr>
      </w:pPr>
    </w:p>
    <w:p w14:paraId="3F46F5A9" w14:textId="204B2A44" w:rsidR="004E2117" w:rsidRDefault="004E2117" w:rsidP="00D638B1">
      <w:pPr>
        <w:spacing w:line="360" w:lineRule="auto"/>
        <w:jc w:val="both"/>
        <w:rPr>
          <w:rFonts w:eastAsia="新細明體"/>
        </w:rPr>
      </w:pPr>
    </w:p>
    <w:p w14:paraId="7EA12C52" w14:textId="54D356C3" w:rsidR="004E2117" w:rsidRDefault="004E2117" w:rsidP="00D638B1">
      <w:pPr>
        <w:spacing w:line="360" w:lineRule="auto"/>
        <w:jc w:val="both"/>
        <w:rPr>
          <w:rFonts w:eastAsia="新細明體"/>
        </w:rPr>
      </w:pPr>
    </w:p>
    <w:p w14:paraId="4AB466DB" w14:textId="05DACE9B" w:rsidR="00FA1593" w:rsidRDefault="00FA1593" w:rsidP="00D638B1">
      <w:pPr>
        <w:spacing w:line="360" w:lineRule="auto"/>
        <w:jc w:val="both"/>
        <w:rPr>
          <w:rFonts w:eastAsia="新細明體"/>
        </w:rPr>
      </w:pPr>
    </w:p>
    <w:p w14:paraId="3634CB21" w14:textId="22617B05" w:rsidR="00FA1593" w:rsidRDefault="00FA1593" w:rsidP="00D638B1">
      <w:pPr>
        <w:spacing w:line="360" w:lineRule="auto"/>
        <w:jc w:val="both"/>
        <w:rPr>
          <w:rFonts w:eastAsia="新細明體"/>
        </w:rPr>
      </w:pPr>
    </w:p>
    <w:p w14:paraId="10B933FA" w14:textId="2C0BCA66" w:rsidR="00FA1593" w:rsidRDefault="00FA1593" w:rsidP="00D638B1">
      <w:pPr>
        <w:spacing w:line="360" w:lineRule="auto"/>
        <w:jc w:val="both"/>
        <w:rPr>
          <w:rFonts w:eastAsia="新細明體"/>
        </w:rPr>
      </w:pPr>
    </w:p>
    <w:p w14:paraId="5B6076F5" w14:textId="1EC06EEC" w:rsidR="00FA1593" w:rsidRDefault="00FA1593" w:rsidP="00D638B1">
      <w:pPr>
        <w:spacing w:line="360" w:lineRule="auto"/>
        <w:jc w:val="both"/>
        <w:rPr>
          <w:rFonts w:eastAsia="新細明體"/>
        </w:rPr>
      </w:pPr>
    </w:p>
    <w:p w14:paraId="576C0603" w14:textId="662F765B" w:rsidR="00FA1593" w:rsidRDefault="00FA1593" w:rsidP="00D638B1">
      <w:pPr>
        <w:spacing w:line="360" w:lineRule="auto"/>
        <w:jc w:val="both"/>
        <w:rPr>
          <w:rFonts w:eastAsia="新細明體"/>
        </w:rPr>
      </w:pPr>
    </w:p>
    <w:p w14:paraId="45DC7606" w14:textId="35A88C69" w:rsidR="00FA1593" w:rsidRDefault="00FA1593" w:rsidP="00D638B1">
      <w:pPr>
        <w:spacing w:line="360" w:lineRule="auto"/>
        <w:jc w:val="both"/>
        <w:rPr>
          <w:rFonts w:eastAsia="新細明體"/>
        </w:rPr>
      </w:pPr>
    </w:p>
    <w:p w14:paraId="1E1F75E2" w14:textId="37FA1B7F" w:rsidR="00FA1593" w:rsidRDefault="00FA1593" w:rsidP="00D638B1">
      <w:pPr>
        <w:spacing w:line="360" w:lineRule="auto"/>
        <w:jc w:val="both"/>
        <w:rPr>
          <w:rFonts w:eastAsia="新細明體"/>
        </w:rPr>
      </w:pPr>
    </w:p>
    <w:p w14:paraId="10FD9A0D" w14:textId="6C0BA010" w:rsidR="00FA1593" w:rsidRDefault="00FA1593" w:rsidP="00D638B1">
      <w:pPr>
        <w:spacing w:line="360" w:lineRule="auto"/>
        <w:jc w:val="both"/>
        <w:rPr>
          <w:rFonts w:eastAsia="新細明體"/>
        </w:rPr>
      </w:pPr>
    </w:p>
    <w:p w14:paraId="1508809F" w14:textId="023B2284" w:rsidR="00FA1593" w:rsidRDefault="00FA1593" w:rsidP="00D638B1">
      <w:pPr>
        <w:spacing w:line="360" w:lineRule="auto"/>
        <w:jc w:val="both"/>
        <w:rPr>
          <w:rFonts w:eastAsia="新細明體"/>
        </w:rPr>
      </w:pPr>
    </w:p>
    <w:p w14:paraId="31A7D1C2" w14:textId="0E26D4FA" w:rsidR="00FA1593" w:rsidRDefault="00FA1593" w:rsidP="00D638B1">
      <w:pPr>
        <w:spacing w:line="360" w:lineRule="auto"/>
        <w:jc w:val="both"/>
        <w:rPr>
          <w:rFonts w:eastAsia="新細明體"/>
        </w:rPr>
      </w:pPr>
    </w:p>
    <w:p w14:paraId="02C5289B" w14:textId="60B3751C" w:rsidR="00FA1593" w:rsidRDefault="00FA1593" w:rsidP="00D638B1">
      <w:pPr>
        <w:spacing w:line="360" w:lineRule="auto"/>
        <w:jc w:val="both"/>
        <w:rPr>
          <w:rFonts w:eastAsia="新細明體"/>
        </w:rPr>
      </w:pPr>
    </w:p>
    <w:p w14:paraId="069E4B32" w14:textId="2E2ECAAE" w:rsidR="00D638B1" w:rsidRPr="00671239" w:rsidRDefault="00D638B1" w:rsidP="00D638B1">
      <w:pPr>
        <w:spacing w:line="360" w:lineRule="auto"/>
        <w:jc w:val="center"/>
        <w:rPr>
          <w:rFonts w:eastAsia="新細明體"/>
          <w:lang w:eastAsia="zh-TW"/>
        </w:rPr>
      </w:pPr>
      <w:r w:rsidRPr="00671239">
        <w:rPr>
          <w:rFonts w:eastAsia="新細明體"/>
          <w:noProof/>
          <w:lang w:eastAsia="zh-TW"/>
        </w:rPr>
        <w:drawing>
          <wp:inline distT="0" distB="0" distL="0" distR="0" wp14:anchorId="1A483D39" wp14:editId="29A11E7D">
            <wp:extent cx="4358618" cy="2895600"/>
            <wp:effectExtent l="0" t="0" r="4445"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a:ext>
                      </a:extLst>
                    </a:blip>
                    <a:stretch>
                      <a:fillRect/>
                    </a:stretch>
                  </pic:blipFill>
                  <pic:spPr>
                    <a:xfrm>
                      <a:off x="0" y="0"/>
                      <a:ext cx="4360363" cy="2896759"/>
                    </a:xfrm>
                    <a:prstGeom prst="rect">
                      <a:avLst/>
                    </a:prstGeom>
                  </pic:spPr>
                </pic:pic>
              </a:graphicData>
            </a:graphic>
          </wp:inline>
        </w:drawing>
      </w:r>
      <w:r w:rsidR="00FA1593">
        <w:rPr>
          <w:rFonts w:eastAsia="新細明體" w:hint="eastAsia"/>
          <w:lang w:eastAsia="zh-TW"/>
        </w:rPr>
        <w:t xml:space="preserve"> </w:t>
      </w:r>
    </w:p>
    <w:p w14:paraId="01B77344" w14:textId="3C35E09C" w:rsidR="00D638B1" w:rsidRDefault="00D638B1" w:rsidP="00D638B1">
      <w:pPr>
        <w:spacing w:line="360" w:lineRule="auto"/>
        <w:jc w:val="both"/>
        <w:rPr>
          <w:rFonts w:eastAsia="新細明體"/>
        </w:rPr>
      </w:pPr>
      <w:r w:rsidRPr="00671239">
        <w:rPr>
          <w:rFonts w:eastAsia="新細明體"/>
          <w:b/>
          <w:bCs/>
          <w:iCs/>
        </w:rPr>
        <w:t>Fig. S5</w:t>
      </w:r>
      <w:r w:rsidRPr="00671239">
        <w:rPr>
          <w:rFonts w:eastAsia="新細明體"/>
        </w:rPr>
        <w:t xml:space="preserve"> TEM images of the DAO/DEX</w:t>
      </w:r>
      <w:r w:rsidRPr="00671239">
        <w:rPr>
          <w:rFonts w:eastAsia="新細明體"/>
          <w:vertAlign w:val="subscript"/>
        </w:rPr>
        <w:t>5.0</w:t>
      </w:r>
      <w:r w:rsidRPr="00671239">
        <w:rPr>
          <w:rFonts w:eastAsia="新細明體"/>
        </w:rPr>
        <w:t xml:space="preserve">-CNGs </w:t>
      </w:r>
      <w:r w:rsidR="008E3F94" w:rsidRPr="00671239">
        <w:rPr>
          <w:rFonts w:eastAsia="新細明體"/>
        </w:rPr>
        <w:t xml:space="preserve">were </w:t>
      </w:r>
      <w:r w:rsidRPr="00671239">
        <w:rPr>
          <w:rFonts w:eastAsia="新細明體"/>
        </w:rPr>
        <w:t>obtained by heating a mixture of DAO and DEX at 180 ℃ for 5 min, 10 min, 30 min, 1 h, 2 h, and 3 h.</w:t>
      </w:r>
      <w:r w:rsidR="004E2117">
        <w:rPr>
          <w:rFonts w:eastAsia="新細明體"/>
        </w:rPr>
        <w:t xml:space="preserve"> </w:t>
      </w:r>
    </w:p>
    <w:p w14:paraId="2485F8A9" w14:textId="42A143A9" w:rsidR="004E2117" w:rsidRDefault="004E2117" w:rsidP="00D638B1">
      <w:pPr>
        <w:spacing w:line="360" w:lineRule="auto"/>
        <w:jc w:val="both"/>
        <w:rPr>
          <w:rFonts w:eastAsia="新細明體"/>
        </w:rPr>
      </w:pPr>
    </w:p>
    <w:p w14:paraId="3FAD832F" w14:textId="7E8E8547" w:rsidR="004E2117" w:rsidRDefault="004E2117" w:rsidP="00D638B1">
      <w:pPr>
        <w:spacing w:line="360" w:lineRule="auto"/>
        <w:jc w:val="both"/>
        <w:rPr>
          <w:rFonts w:eastAsia="新細明體"/>
        </w:rPr>
      </w:pPr>
    </w:p>
    <w:p w14:paraId="5ECF603B" w14:textId="05D9454E" w:rsidR="00FA1593" w:rsidRDefault="00FA1593" w:rsidP="00D638B1">
      <w:pPr>
        <w:spacing w:line="360" w:lineRule="auto"/>
        <w:jc w:val="both"/>
        <w:rPr>
          <w:rFonts w:eastAsia="新細明體"/>
          <w:lang w:eastAsia="zh-TW"/>
        </w:rPr>
      </w:pPr>
    </w:p>
    <w:p w14:paraId="7B4487FD" w14:textId="0F220021" w:rsidR="002505EA" w:rsidRDefault="002505EA" w:rsidP="00D638B1">
      <w:pPr>
        <w:spacing w:line="360" w:lineRule="auto"/>
        <w:jc w:val="both"/>
        <w:rPr>
          <w:rFonts w:eastAsia="新細明體"/>
          <w:lang w:eastAsia="zh-TW"/>
        </w:rPr>
      </w:pPr>
    </w:p>
    <w:p w14:paraId="266BB859" w14:textId="0D8BF751" w:rsidR="002505EA" w:rsidRDefault="002505EA" w:rsidP="00D638B1">
      <w:pPr>
        <w:spacing w:line="360" w:lineRule="auto"/>
        <w:jc w:val="both"/>
        <w:rPr>
          <w:rFonts w:eastAsia="新細明體"/>
          <w:lang w:eastAsia="zh-TW"/>
        </w:rPr>
      </w:pPr>
    </w:p>
    <w:p w14:paraId="4D9B8EC1" w14:textId="63C06205" w:rsidR="002505EA" w:rsidRDefault="002505EA" w:rsidP="00D638B1">
      <w:pPr>
        <w:spacing w:line="360" w:lineRule="auto"/>
        <w:jc w:val="both"/>
        <w:rPr>
          <w:rFonts w:eastAsia="新細明體"/>
          <w:lang w:eastAsia="zh-TW"/>
        </w:rPr>
      </w:pPr>
    </w:p>
    <w:p w14:paraId="667D46D6" w14:textId="6F136498" w:rsidR="002505EA" w:rsidRDefault="002505EA" w:rsidP="00D638B1">
      <w:pPr>
        <w:spacing w:line="360" w:lineRule="auto"/>
        <w:jc w:val="both"/>
        <w:rPr>
          <w:rFonts w:eastAsia="新細明體"/>
          <w:lang w:eastAsia="zh-TW"/>
        </w:rPr>
      </w:pPr>
    </w:p>
    <w:p w14:paraId="560707CA" w14:textId="66C2B1DD" w:rsidR="002505EA" w:rsidRDefault="002505EA" w:rsidP="00D638B1">
      <w:pPr>
        <w:spacing w:line="360" w:lineRule="auto"/>
        <w:jc w:val="both"/>
        <w:rPr>
          <w:rFonts w:eastAsia="新細明體"/>
          <w:lang w:eastAsia="zh-TW"/>
        </w:rPr>
      </w:pPr>
    </w:p>
    <w:p w14:paraId="562E5130" w14:textId="77777777" w:rsidR="002505EA" w:rsidRDefault="002505EA" w:rsidP="00D638B1">
      <w:pPr>
        <w:spacing w:line="360" w:lineRule="auto"/>
        <w:jc w:val="both"/>
        <w:rPr>
          <w:rFonts w:eastAsia="新細明體"/>
          <w:lang w:eastAsia="zh-TW"/>
        </w:rPr>
      </w:pPr>
    </w:p>
    <w:p w14:paraId="556C968A" w14:textId="41D81422" w:rsidR="00FA1593" w:rsidRDefault="00FA1593" w:rsidP="00D638B1">
      <w:pPr>
        <w:spacing w:line="360" w:lineRule="auto"/>
        <w:jc w:val="both"/>
        <w:rPr>
          <w:rFonts w:eastAsia="新細明體"/>
          <w:lang w:eastAsia="zh-TW"/>
        </w:rPr>
      </w:pPr>
    </w:p>
    <w:p w14:paraId="19893AB0" w14:textId="409D3FB7" w:rsidR="00FA1593" w:rsidRDefault="00FA1593" w:rsidP="00D638B1">
      <w:pPr>
        <w:spacing w:line="360" w:lineRule="auto"/>
        <w:jc w:val="both"/>
        <w:rPr>
          <w:rFonts w:eastAsia="新細明體"/>
          <w:lang w:eastAsia="zh-TW"/>
        </w:rPr>
      </w:pPr>
    </w:p>
    <w:p w14:paraId="6BA217C9" w14:textId="44775EB9" w:rsidR="00FA1593" w:rsidRDefault="00FA1593" w:rsidP="00D638B1">
      <w:pPr>
        <w:spacing w:line="360" w:lineRule="auto"/>
        <w:jc w:val="both"/>
        <w:rPr>
          <w:rFonts w:eastAsia="新細明體"/>
          <w:lang w:eastAsia="zh-TW"/>
        </w:rPr>
      </w:pPr>
    </w:p>
    <w:p w14:paraId="3279BDD8" w14:textId="0374CAC2" w:rsidR="00FA1593" w:rsidRDefault="00FA1593" w:rsidP="00D638B1">
      <w:pPr>
        <w:spacing w:line="360" w:lineRule="auto"/>
        <w:jc w:val="both"/>
        <w:rPr>
          <w:rFonts w:eastAsia="新細明體"/>
          <w:lang w:eastAsia="zh-TW"/>
        </w:rPr>
      </w:pPr>
    </w:p>
    <w:p w14:paraId="32932C4D" w14:textId="531745D0" w:rsidR="00FA1593" w:rsidRDefault="00FA1593" w:rsidP="00D638B1">
      <w:pPr>
        <w:spacing w:line="360" w:lineRule="auto"/>
        <w:jc w:val="both"/>
        <w:rPr>
          <w:rFonts w:eastAsia="新細明體"/>
          <w:lang w:eastAsia="zh-TW"/>
        </w:rPr>
      </w:pPr>
    </w:p>
    <w:p w14:paraId="3EDE0D1C" w14:textId="77777777" w:rsidR="00FA1593" w:rsidRDefault="00FA1593" w:rsidP="00D638B1">
      <w:pPr>
        <w:spacing w:line="360" w:lineRule="auto"/>
        <w:jc w:val="both"/>
        <w:rPr>
          <w:rFonts w:eastAsia="新細明體"/>
          <w:lang w:eastAsia="zh-TW"/>
        </w:rPr>
      </w:pPr>
    </w:p>
    <w:p w14:paraId="6F018BD0" w14:textId="77777777" w:rsidR="00D638B1" w:rsidRPr="00671239" w:rsidRDefault="00D638B1" w:rsidP="002505EA">
      <w:pPr>
        <w:spacing w:line="360" w:lineRule="auto"/>
        <w:jc w:val="center"/>
        <w:rPr>
          <w:rFonts w:eastAsia="新細明體"/>
          <w:b/>
          <w:bCs/>
          <w:i/>
          <w:iCs/>
          <w:szCs w:val="24"/>
        </w:rPr>
      </w:pPr>
      <w:r w:rsidRPr="00671239">
        <w:rPr>
          <w:rFonts w:eastAsia="新細明體"/>
          <w:b/>
          <w:bCs/>
          <w:i/>
          <w:iCs/>
          <w:noProof/>
          <w:szCs w:val="24"/>
          <w:lang w:eastAsia="zh-TW"/>
        </w:rPr>
        <w:drawing>
          <wp:inline distT="0" distB="0" distL="0" distR="0" wp14:anchorId="16106D1C" wp14:editId="52432CFD">
            <wp:extent cx="5846379" cy="4734962"/>
            <wp:effectExtent l="0" t="0" r="2540" b="889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53628" cy="4740833"/>
                    </a:xfrm>
                    <a:prstGeom prst="rect">
                      <a:avLst/>
                    </a:prstGeom>
                  </pic:spPr>
                </pic:pic>
              </a:graphicData>
            </a:graphic>
          </wp:inline>
        </w:drawing>
      </w:r>
    </w:p>
    <w:p w14:paraId="295D9CFB" w14:textId="00B97E59" w:rsidR="00D638B1" w:rsidRDefault="00D638B1" w:rsidP="00D638B1">
      <w:pPr>
        <w:spacing w:line="360" w:lineRule="auto"/>
        <w:jc w:val="both"/>
        <w:rPr>
          <w:rFonts w:eastAsia="新細明體"/>
          <w:szCs w:val="24"/>
        </w:rPr>
      </w:pPr>
      <w:r w:rsidRPr="00671239">
        <w:rPr>
          <w:rFonts w:eastAsia="新細明體"/>
          <w:b/>
          <w:bCs/>
          <w:iCs/>
        </w:rPr>
        <w:t>Fig. S6</w:t>
      </w:r>
      <w:r w:rsidRPr="00671239">
        <w:rPr>
          <w:rFonts w:eastAsia="新細明體"/>
          <w:szCs w:val="24"/>
        </w:rPr>
        <w:t xml:space="preserve"> (A) Representative colony formation of </w:t>
      </w:r>
      <w:r w:rsidRPr="00671239">
        <w:rPr>
          <w:rFonts w:eastAsia="新細明體"/>
          <w:i/>
          <w:iCs/>
          <w:szCs w:val="24"/>
        </w:rPr>
        <w:t>E.</w:t>
      </w:r>
      <w:r w:rsidRPr="00671239">
        <w:rPr>
          <w:rFonts w:eastAsia="新細明體" w:hint="eastAsia"/>
          <w:i/>
          <w:iCs/>
          <w:szCs w:val="24"/>
        </w:rPr>
        <w:t xml:space="preserve"> </w:t>
      </w:r>
      <w:r w:rsidRPr="00671239">
        <w:rPr>
          <w:rFonts w:eastAsia="新細明體"/>
          <w:i/>
          <w:iCs/>
          <w:szCs w:val="24"/>
        </w:rPr>
        <w:t>coli</w:t>
      </w:r>
      <w:r w:rsidRPr="00671239">
        <w:rPr>
          <w:rFonts w:eastAsia="新細明體"/>
          <w:szCs w:val="24"/>
        </w:rPr>
        <w:t xml:space="preserve"> on Luria-Bertani (LB) agar plates untreated or treated with </w:t>
      </w:r>
      <w:r w:rsidRPr="00671239">
        <w:rPr>
          <w:rFonts w:eastAsia="細明體"/>
          <w:szCs w:val="24"/>
        </w:rPr>
        <w:t xml:space="preserve">DAO/DEX-CNGs or </w:t>
      </w:r>
      <w:r w:rsidRPr="00671239">
        <w:rPr>
          <w:rFonts w:eastAsia="新細明體"/>
          <w:szCs w:val="24"/>
        </w:rPr>
        <w:t>Spd-CQDs at a concentration of 10 μg mL</w:t>
      </w:r>
      <w:r w:rsidRPr="00671239">
        <w:rPr>
          <w:rFonts w:eastAsia="Microsoft YaHei"/>
          <w:szCs w:val="24"/>
          <w:vertAlign w:val="superscript"/>
        </w:rPr>
        <w:t>−</w:t>
      </w:r>
      <w:r w:rsidRPr="00671239">
        <w:rPr>
          <w:rFonts w:eastAsia="新細明體"/>
          <w:szCs w:val="24"/>
          <w:vertAlign w:val="superscript"/>
        </w:rPr>
        <w:t>1</w:t>
      </w:r>
      <w:r w:rsidRPr="00671239">
        <w:rPr>
          <w:rFonts w:eastAsia="新細明體"/>
          <w:szCs w:val="24"/>
        </w:rPr>
        <w:t xml:space="preserve"> in 5 mM sodium phosphate buffer (pH 7.4) or PBS (</w:t>
      </w:r>
      <w:r w:rsidRPr="00671239">
        <w:rPr>
          <w:rFonts w:eastAsia="新細明體"/>
        </w:rPr>
        <w:t>137 mM NaCl, 2.7 mM KCl, 10 mM Na</w:t>
      </w:r>
      <w:r w:rsidRPr="00671239">
        <w:rPr>
          <w:rFonts w:eastAsia="新細明體"/>
          <w:vertAlign w:val="subscript"/>
        </w:rPr>
        <w:t>2</w:t>
      </w:r>
      <w:r w:rsidRPr="00671239">
        <w:rPr>
          <w:rFonts w:eastAsia="新細明體"/>
        </w:rPr>
        <w:t>HPO</w:t>
      </w:r>
      <w:r w:rsidRPr="00671239">
        <w:rPr>
          <w:rFonts w:eastAsia="新細明體"/>
          <w:vertAlign w:val="subscript"/>
        </w:rPr>
        <w:t>4</w:t>
      </w:r>
      <w:r w:rsidRPr="00671239">
        <w:rPr>
          <w:rFonts w:eastAsia="新細明體"/>
        </w:rPr>
        <w:t>, and 2.0 mM KH</w:t>
      </w:r>
      <w:r w:rsidRPr="00671239">
        <w:rPr>
          <w:rFonts w:eastAsia="新細明體"/>
          <w:vertAlign w:val="subscript"/>
        </w:rPr>
        <w:t>2</w:t>
      </w:r>
      <w:r w:rsidRPr="00671239">
        <w:rPr>
          <w:rFonts w:eastAsia="新細明體"/>
        </w:rPr>
        <w:t>PO</w:t>
      </w:r>
      <w:r w:rsidRPr="00671239">
        <w:rPr>
          <w:rFonts w:eastAsia="新細明體"/>
          <w:vertAlign w:val="subscript"/>
        </w:rPr>
        <w:t>4</w:t>
      </w:r>
      <w:r w:rsidRPr="00671239">
        <w:rPr>
          <w:rFonts w:eastAsia="新細明體"/>
        </w:rPr>
        <w:t>; pH 7.4</w:t>
      </w:r>
      <w:r w:rsidRPr="00671239">
        <w:rPr>
          <w:rFonts w:eastAsia="新細明體"/>
          <w:szCs w:val="24"/>
        </w:rPr>
        <w:t xml:space="preserve">) solution. (B) Relative cell viability of bacteria after being treated with </w:t>
      </w:r>
      <w:r w:rsidRPr="00671239">
        <w:rPr>
          <w:rFonts w:eastAsia="細明體"/>
          <w:szCs w:val="24"/>
        </w:rPr>
        <w:t xml:space="preserve">DAO/DEX-CNGs or </w:t>
      </w:r>
      <w:r w:rsidRPr="00671239">
        <w:rPr>
          <w:rFonts w:eastAsia="新細明體"/>
          <w:szCs w:val="24"/>
        </w:rPr>
        <w:t>Spd-CQDs (10 μg mL</w:t>
      </w:r>
      <w:r w:rsidRPr="00671239">
        <w:rPr>
          <w:rFonts w:eastAsia="新細明體"/>
          <w:szCs w:val="24"/>
          <w:vertAlign w:val="superscript"/>
        </w:rPr>
        <w:t>−1</w:t>
      </w:r>
      <w:r w:rsidRPr="00671239">
        <w:rPr>
          <w:rFonts w:eastAsia="新細明體"/>
          <w:szCs w:val="24"/>
        </w:rPr>
        <w:t>) in 5 mM sodium phosphate buffer (pH 7.4) or PBS solution. Error bars are the standard deviations of three repeated experiments.</w:t>
      </w:r>
      <w:r w:rsidR="004E2117">
        <w:rPr>
          <w:rFonts w:eastAsia="新細明體"/>
          <w:szCs w:val="24"/>
        </w:rPr>
        <w:t xml:space="preserve"> </w:t>
      </w:r>
    </w:p>
    <w:p w14:paraId="2A8B8026" w14:textId="44BFECC6" w:rsidR="004E2117" w:rsidRDefault="004E2117" w:rsidP="00D638B1">
      <w:pPr>
        <w:spacing w:line="360" w:lineRule="auto"/>
        <w:jc w:val="both"/>
        <w:rPr>
          <w:rFonts w:eastAsia="新細明體"/>
          <w:szCs w:val="24"/>
        </w:rPr>
      </w:pPr>
    </w:p>
    <w:p w14:paraId="11EB3FE6" w14:textId="08FF177A" w:rsidR="004E2117" w:rsidRDefault="004E2117" w:rsidP="00D638B1">
      <w:pPr>
        <w:spacing w:line="360" w:lineRule="auto"/>
        <w:jc w:val="both"/>
        <w:rPr>
          <w:rFonts w:eastAsia="新細明體"/>
          <w:szCs w:val="24"/>
        </w:rPr>
      </w:pPr>
    </w:p>
    <w:p w14:paraId="3D344A49" w14:textId="77777777" w:rsidR="004E2117" w:rsidRPr="00671239" w:rsidRDefault="004E2117" w:rsidP="00D638B1">
      <w:pPr>
        <w:spacing w:line="360" w:lineRule="auto"/>
        <w:jc w:val="both"/>
        <w:rPr>
          <w:rFonts w:eastAsia="新細明體"/>
          <w:szCs w:val="24"/>
        </w:rPr>
      </w:pPr>
    </w:p>
    <w:p w14:paraId="075C0AC0" w14:textId="77777777" w:rsidR="00D638B1" w:rsidRPr="00671239" w:rsidRDefault="00D638B1" w:rsidP="00D638B1">
      <w:pPr>
        <w:spacing w:line="360" w:lineRule="auto"/>
        <w:jc w:val="both"/>
        <w:rPr>
          <w:rFonts w:eastAsia="新細明體"/>
        </w:rPr>
      </w:pPr>
    </w:p>
    <w:p w14:paraId="711518C0" w14:textId="7621BFBF" w:rsidR="00D638B1" w:rsidRDefault="00D638B1" w:rsidP="00D638B1">
      <w:pPr>
        <w:rPr>
          <w:rFonts w:eastAsia="新細明體"/>
        </w:rPr>
      </w:pPr>
    </w:p>
    <w:p w14:paraId="07C5FA6D" w14:textId="5124DAC6" w:rsidR="002505EA" w:rsidRDefault="002505EA" w:rsidP="00D638B1">
      <w:pPr>
        <w:rPr>
          <w:rFonts w:eastAsia="新細明體"/>
        </w:rPr>
      </w:pPr>
    </w:p>
    <w:p w14:paraId="51637602" w14:textId="77777777" w:rsidR="00D638B1" w:rsidRPr="00671239" w:rsidRDefault="00D638B1" w:rsidP="002505EA">
      <w:pPr>
        <w:spacing w:line="360" w:lineRule="auto"/>
        <w:jc w:val="center"/>
        <w:rPr>
          <w:rFonts w:eastAsia="新細明體"/>
          <w:szCs w:val="24"/>
        </w:rPr>
      </w:pPr>
      <w:r w:rsidRPr="00671239">
        <w:rPr>
          <w:rFonts w:eastAsia="新細明體"/>
          <w:noProof/>
          <w:szCs w:val="24"/>
          <w:lang w:eastAsia="zh-TW"/>
        </w:rPr>
        <w:drawing>
          <wp:inline distT="0" distB="0" distL="0" distR="0" wp14:anchorId="37D6814A" wp14:editId="105863C8">
            <wp:extent cx="6239719" cy="2987643"/>
            <wp:effectExtent l="0" t="0" r="0" b="381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a:ext>
                      </a:extLst>
                    </a:blip>
                    <a:stretch>
                      <a:fillRect/>
                    </a:stretch>
                  </pic:blipFill>
                  <pic:spPr>
                    <a:xfrm>
                      <a:off x="0" y="0"/>
                      <a:ext cx="6247642" cy="2991437"/>
                    </a:xfrm>
                    <a:prstGeom prst="rect">
                      <a:avLst/>
                    </a:prstGeom>
                  </pic:spPr>
                </pic:pic>
              </a:graphicData>
            </a:graphic>
          </wp:inline>
        </w:drawing>
      </w:r>
    </w:p>
    <w:p w14:paraId="6FB31918" w14:textId="5119373B" w:rsidR="00D638B1" w:rsidRDefault="00D638B1" w:rsidP="00D638B1">
      <w:pPr>
        <w:spacing w:line="360" w:lineRule="auto"/>
        <w:jc w:val="both"/>
        <w:rPr>
          <w:rFonts w:eastAsia="新細明體"/>
          <w:lang w:val="en-GB"/>
        </w:rPr>
      </w:pPr>
      <w:r w:rsidRPr="00671239">
        <w:rPr>
          <w:rFonts w:eastAsia="新細明體"/>
          <w:b/>
          <w:bCs/>
          <w:iCs/>
        </w:rPr>
        <w:t>Fig. S7</w:t>
      </w:r>
      <w:r w:rsidRPr="00671239">
        <w:rPr>
          <w:rFonts w:eastAsia="新細明體"/>
          <w:b/>
          <w:i/>
        </w:rPr>
        <w:t xml:space="preserve"> </w:t>
      </w:r>
      <w:r w:rsidRPr="00671239">
        <w:rPr>
          <w:rFonts w:eastAsia="新細明體"/>
          <w:lang w:val="en-GB"/>
        </w:rPr>
        <w:t xml:space="preserve">Bright-field and fluorescent images of </w:t>
      </w:r>
      <w:r w:rsidRPr="00671239">
        <w:rPr>
          <w:rFonts w:eastAsia="新細明體"/>
          <w:i/>
          <w:lang w:val="en-GB"/>
        </w:rPr>
        <w:t xml:space="preserve">E. coli </w:t>
      </w:r>
      <w:r w:rsidRPr="00671239">
        <w:rPr>
          <w:rFonts w:eastAsia="新細明體"/>
          <w:lang w:val="en-GB"/>
        </w:rPr>
        <w:t>(10</w:t>
      </w:r>
      <w:r w:rsidRPr="00671239">
        <w:rPr>
          <w:rFonts w:eastAsia="新細明體"/>
          <w:vertAlign w:val="superscript"/>
          <w:lang w:val="en-GB"/>
        </w:rPr>
        <w:t>7</w:t>
      </w:r>
      <w:r w:rsidRPr="00671239">
        <w:rPr>
          <w:rFonts w:eastAsia="新細明體"/>
          <w:lang w:val="en-GB"/>
        </w:rPr>
        <w:t xml:space="preserve"> CFU mL</w:t>
      </w:r>
      <w:r w:rsidRPr="00671239">
        <w:rPr>
          <w:rFonts w:eastAsia="新細明體"/>
          <w:vertAlign w:val="superscript"/>
          <w:lang w:val="en-GB"/>
        </w:rPr>
        <w:t>−1</w:t>
      </w:r>
      <w:r w:rsidRPr="00671239">
        <w:rPr>
          <w:rFonts w:eastAsia="新細明體"/>
          <w:lang w:val="en-GB"/>
        </w:rPr>
        <w:t xml:space="preserve">) and </w:t>
      </w:r>
      <w:r w:rsidRPr="00671239">
        <w:rPr>
          <w:rFonts w:eastAsia="新細明體"/>
          <w:i/>
          <w:lang w:val="en-GB"/>
        </w:rPr>
        <w:t xml:space="preserve">S. aureus </w:t>
      </w:r>
      <w:r w:rsidRPr="00671239">
        <w:rPr>
          <w:rFonts w:eastAsia="新細明體"/>
          <w:lang w:val="en-GB"/>
        </w:rPr>
        <w:t>(10</w:t>
      </w:r>
      <w:r w:rsidRPr="00671239">
        <w:rPr>
          <w:rFonts w:eastAsia="新細明體"/>
          <w:vertAlign w:val="superscript"/>
          <w:lang w:val="en-GB"/>
        </w:rPr>
        <w:t xml:space="preserve">7 </w:t>
      </w:r>
      <w:r w:rsidRPr="00671239">
        <w:rPr>
          <w:rFonts w:eastAsia="新細明體"/>
          <w:lang w:val="en-GB"/>
        </w:rPr>
        <w:t>CFU mL</w:t>
      </w:r>
      <w:r w:rsidRPr="00671239">
        <w:rPr>
          <w:rFonts w:eastAsia="新細明體"/>
          <w:vertAlign w:val="superscript"/>
          <w:lang w:val="en-GB"/>
        </w:rPr>
        <w:t>−1</w:t>
      </w:r>
      <w:r w:rsidRPr="00671239">
        <w:rPr>
          <w:rFonts w:eastAsia="新細明體"/>
          <w:lang w:val="en-GB"/>
        </w:rPr>
        <w:t xml:space="preserve">) under excitation wavelengths of UV light (360–380 nm), blue light (460–480 nm), and green light (510–530 nm) after incubation with the </w:t>
      </w:r>
      <w:r w:rsidRPr="00671239">
        <w:rPr>
          <w:rFonts w:eastAsia="新細明體"/>
        </w:rPr>
        <w:t>DAO/DEX</w:t>
      </w:r>
      <w:r w:rsidRPr="00671239">
        <w:rPr>
          <w:rFonts w:eastAsia="新細明體"/>
          <w:vertAlign w:val="subscript"/>
        </w:rPr>
        <w:t>5.0</w:t>
      </w:r>
      <w:r w:rsidRPr="00671239">
        <w:rPr>
          <w:rFonts w:eastAsia="新細明體"/>
        </w:rPr>
        <w:t>-CNGs</w:t>
      </w:r>
      <w:r w:rsidRPr="00671239">
        <w:rPr>
          <w:rFonts w:eastAsia="新細明體"/>
          <w:lang w:val="en-GB"/>
        </w:rPr>
        <w:t xml:space="preserve"> (100 μg mL</w:t>
      </w:r>
      <w:r w:rsidRPr="00671239">
        <w:rPr>
          <w:rFonts w:eastAsia="新細明體"/>
          <w:vertAlign w:val="superscript"/>
          <w:lang w:val="en-GB"/>
        </w:rPr>
        <w:t>−1</w:t>
      </w:r>
      <w:r w:rsidRPr="00671239">
        <w:rPr>
          <w:rFonts w:eastAsia="新細明體"/>
          <w:lang w:val="en-GB"/>
        </w:rPr>
        <w:t>) in PBS for 1 min.</w:t>
      </w:r>
      <w:r w:rsidR="00493D22">
        <w:rPr>
          <w:rFonts w:eastAsia="新細明體"/>
          <w:lang w:val="en-GB"/>
        </w:rPr>
        <w:t xml:space="preserve"> </w:t>
      </w:r>
    </w:p>
    <w:p w14:paraId="171DB58C" w14:textId="69CA7660" w:rsidR="00493D22" w:rsidRDefault="00493D22" w:rsidP="00D638B1">
      <w:pPr>
        <w:spacing w:line="360" w:lineRule="auto"/>
        <w:jc w:val="both"/>
        <w:rPr>
          <w:rFonts w:eastAsia="新細明體"/>
          <w:lang w:val="en-GB"/>
        </w:rPr>
      </w:pPr>
    </w:p>
    <w:p w14:paraId="172C3BC3" w14:textId="29F8AFB9" w:rsidR="00493D22" w:rsidRDefault="00493D22" w:rsidP="00D638B1">
      <w:pPr>
        <w:spacing w:line="360" w:lineRule="auto"/>
        <w:jc w:val="both"/>
        <w:rPr>
          <w:rFonts w:eastAsia="新細明體"/>
          <w:lang w:val="en-GB"/>
        </w:rPr>
      </w:pPr>
    </w:p>
    <w:p w14:paraId="447A0B4C" w14:textId="19103A34" w:rsidR="002505EA" w:rsidRDefault="002505EA" w:rsidP="00D638B1">
      <w:pPr>
        <w:spacing w:line="360" w:lineRule="auto"/>
        <w:jc w:val="both"/>
        <w:rPr>
          <w:rFonts w:eastAsia="新細明體"/>
          <w:lang w:val="en-GB"/>
        </w:rPr>
      </w:pPr>
    </w:p>
    <w:p w14:paraId="1E959D55" w14:textId="6CC18172" w:rsidR="002505EA" w:rsidRDefault="002505EA" w:rsidP="00D638B1">
      <w:pPr>
        <w:spacing w:line="360" w:lineRule="auto"/>
        <w:jc w:val="both"/>
        <w:rPr>
          <w:rFonts w:eastAsia="新細明體"/>
          <w:lang w:val="en-GB"/>
        </w:rPr>
      </w:pPr>
    </w:p>
    <w:p w14:paraId="568FDBC3" w14:textId="67EEB0AA" w:rsidR="002505EA" w:rsidRDefault="002505EA" w:rsidP="00D638B1">
      <w:pPr>
        <w:spacing w:line="360" w:lineRule="auto"/>
        <w:jc w:val="both"/>
        <w:rPr>
          <w:rFonts w:eastAsia="新細明體"/>
          <w:lang w:val="en-GB"/>
        </w:rPr>
      </w:pPr>
    </w:p>
    <w:p w14:paraId="4AFC4804" w14:textId="4B63AEA0" w:rsidR="002505EA" w:rsidRDefault="002505EA" w:rsidP="00D638B1">
      <w:pPr>
        <w:spacing w:line="360" w:lineRule="auto"/>
        <w:jc w:val="both"/>
        <w:rPr>
          <w:rFonts w:eastAsia="新細明體"/>
          <w:lang w:val="en-GB"/>
        </w:rPr>
      </w:pPr>
    </w:p>
    <w:p w14:paraId="4A2EFC8D" w14:textId="079B918E" w:rsidR="002505EA" w:rsidRDefault="002505EA" w:rsidP="00D638B1">
      <w:pPr>
        <w:spacing w:line="360" w:lineRule="auto"/>
        <w:jc w:val="both"/>
        <w:rPr>
          <w:rFonts w:eastAsia="新細明體"/>
          <w:lang w:val="en-GB"/>
        </w:rPr>
      </w:pPr>
    </w:p>
    <w:p w14:paraId="762BB060" w14:textId="051A5122" w:rsidR="002505EA" w:rsidRDefault="002505EA" w:rsidP="00D638B1">
      <w:pPr>
        <w:spacing w:line="360" w:lineRule="auto"/>
        <w:jc w:val="both"/>
        <w:rPr>
          <w:rFonts w:eastAsia="新細明體"/>
          <w:lang w:val="en-GB"/>
        </w:rPr>
      </w:pPr>
    </w:p>
    <w:p w14:paraId="5DA73B60" w14:textId="739DAA4A" w:rsidR="002505EA" w:rsidRDefault="002505EA" w:rsidP="00D638B1">
      <w:pPr>
        <w:spacing w:line="360" w:lineRule="auto"/>
        <w:jc w:val="both"/>
        <w:rPr>
          <w:rFonts w:eastAsia="新細明體"/>
          <w:lang w:val="en-GB"/>
        </w:rPr>
      </w:pPr>
    </w:p>
    <w:p w14:paraId="029ABF9D" w14:textId="05B59EB7" w:rsidR="002505EA" w:rsidRDefault="002505EA" w:rsidP="00D638B1">
      <w:pPr>
        <w:spacing w:line="360" w:lineRule="auto"/>
        <w:jc w:val="both"/>
        <w:rPr>
          <w:rFonts w:eastAsia="新細明體"/>
          <w:lang w:val="en-GB"/>
        </w:rPr>
      </w:pPr>
    </w:p>
    <w:p w14:paraId="23967A32" w14:textId="5EDAA4F9" w:rsidR="002505EA" w:rsidRDefault="002505EA" w:rsidP="00D638B1">
      <w:pPr>
        <w:spacing w:line="360" w:lineRule="auto"/>
        <w:jc w:val="both"/>
        <w:rPr>
          <w:rFonts w:eastAsia="新細明體"/>
          <w:lang w:val="en-GB"/>
        </w:rPr>
      </w:pPr>
    </w:p>
    <w:p w14:paraId="04F7C6BB" w14:textId="308F9CB2" w:rsidR="002505EA" w:rsidRDefault="002505EA" w:rsidP="00D638B1">
      <w:pPr>
        <w:spacing w:line="360" w:lineRule="auto"/>
        <w:jc w:val="both"/>
        <w:rPr>
          <w:rFonts w:eastAsia="新細明體"/>
          <w:lang w:val="en-GB"/>
        </w:rPr>
      </w:pPr>
    </w:p>
    <w:p w14:paraId="107B2B50" w14:textId="77777777" w:rsidR="002505EA" w:rsidRDefault="002505EA" w:rsidP="00D638B1">
      <w:pPr>
        <w:spacing w:line="360" w:lineRule="auto"/>
        <w:jc w:val="both"/>
        <w:rPr>
          <w:rFonts w:eastAsia="新細明體"/>
          <w:lang w:val="en-GB"/>
        </w:rPr>
      </w:pPr>
    </w:p>
    <w:p w14:paraId="776E71FD" w14:textId="77777777" w:rsidR="00D638B1" w:rsidRPr="00671239" w:rsidRDefault="00D638B1" w:rsidP="002505EA">
      <w:pPr>
        <w:spacing w:line="360" w:lineRule="auto"/>
        <w:jc w:val="center"/>
        <w:rPr>
          <w:rFonts w:eastAsia="新細明體"/>
          <w:b/>
          <w:bCs/>
          <w:i/>
          <w:iCs/>
        </w:rPr>
      </w:pPr>
      <w:r w:rsidRPr="00671239">
        <w:rPr>
          <w:rFonts w:eastAsia="新細明體"/>
          <w:b/>
          <w:bCs/>
          <w:i/>
          <w:iCs/>
          <w:noProof/>
          <w:lang w:eastAsia="zh-TW"/>
        </w:rPr>
        <w:drawing>
          <wp:inline distT="0" distB="0" distL="0" distR="0" wp14:anchorId="728AD63E" wp14:editId="5349EBA7">
            <wp:extent cx="5274310" cy="4632960"/>
            <wp:effectExtent l="0" t="0" r="0" b="2540"/>
            <wp:docPr id="448" name="圖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4632960"/>
                    </a:xfrm>
                    <a:prstGeom prst="rect">
                      <a:avLst/>
                    </a:prstGeom>
                  </pic:spPr>
                </pic:pic>
              </a:graphicData>
            </a:graphic>
          </wp:inline>
        </w:drawing>
      </w:r>
    </w:p>
    <w:p w14:paraId="6317E354" w14:textId="5E44B230" w:rsidR="00D638B1" w:rsidRDefault="00D638B1" w:rsidP="00D638B1">
      <w:pPr>
        <w:spacing w:line="360" w:lineRule="auto"/>
        <w:jc w:val="both"/>
        <w:rPr>
          <w:rFonts w:eastAsia="新細明體"/>
          <w:kern w:val="24"/>
          <w:szCs w:val="24"/>
        </w:rPr>
      </w:pPr>
      <w:r w:rsidRPr="00671239">
        <w:rPr>
          <w:rFonts w:eastAsia="新細明體"/>
          <w:b/>
          <w:bCs/>
          <w:iCs/>
        </w:rPr>
        <w:t>Fig. S8</w:t>
      </w:r>
      <w:r w:rsidRPr="00671239">
        <w:rPr>
          <w:rFonts w:eastAsia="新細明體"/>
          <w:b/>
          <w:bCs/>
        </w:rPr>
        <w:t xml:space="preserve"> </w:t>
      </w:r>
      <w:r w:rsidRPr="00671239">
        <w:rPr>
          <w:rFonts w:eastAsia="新細明體"/>
        </w:rPr>
        <w:t>(</w:t>
      </w:r>
      <w:r w:rsidRPr="00671239">
        <w:rPr>
          <w:rFonts w:eastAsia="新細明體"/>
          <w:kern w:val="24"/>
          <w:szCs w:val="24"/>
        </w:rPr>
        <w:t xml:space="preserve">A) </w:t>
      </w:r>
      <w:r w:rsidRPr="00671239">
        <w:rPr>
          <w:rFonts w:eastAsia="標楷體"/>
          <w:szCs w:val="24"/>
          <w:lang w:val="en-GB"/>
        </w:rPr>
        <w:t>Bright-field and fluorescent images of</w:t>
      </w:r>
      <w:r w:rsidRPr="00671239">
        <w:rPr>
          <w:rFonts w:eastAsia="新細明體"/>
          <w:kern w:val="24"/>
          <w:szCs w:val="24"/>
        </w:rPr>
        <w:t xml:space="preserve"> </w:t>
      </w:r>
      <w:r w:rsidRPr="00671239">
        <w:rPr>
          <w:rFonts w:eastAsia="新細明體"/>
          <w:i/>
          <w:iCs/>
        </w:rPr>
        <w:t>V. parahaemolyticus</w:t>
      </w:r>
      <w:r w:rsidRPr="00671239">
        <w:rPr>
          <w:rFonts w:eastAsia="新細明體"/>
        </w:rPr>
        <w:t xml:space="preserve"> cells (1.0 × 10</w:t>
      </w:r>
      <w:r w:rsidRPr="00671239">
        <w:rPr>
          <w:rFonts w:eastAsia="新細明體"/>
          <w:vertAlign w:val="superscript"/>
        </w:rPr>
        <w:t>7</w:t>
      </w:r>
      <w:r w:rsidRPr="00671239">
        <w:rPr>
          <w:rFonts w:eastAsia="新細明體"/>
        </w:rPr>
        <w:t xml:space="preserve"> CFU mL</w:t>
      </w:r>
      <w:r w:rsidRPr="00671239">
        <w:rPr>
          <w:rFonts w:eastAsia="新細明體"/>
          <w:vertAlign w:val="superscript"/>
        </w:rPr>
        <w:t>−1</w:t>
      </w:r>
      <w:r w:rsidRPr="00671239">
        <w:rPr>
          <w:rFonts w:eastAsia="新細明體"/>
        </w:rPr>
        <w:t>)</w:t>
      </w:r>
      <w:r w:rsidRPr="00671239">
        <w:rPr>
          <w:rFonts w:eastAsia="新細明體"/>
          <w:kern w:val="24"/>
          <w:szCs w:val="24"/>
        </w:rPr>
        <w:t xml:space="preserve"> after staining with DCFH-DA to assess the level of ROS without (untreated) and after treatment with H</w:t>
      </w:r>
      <w:r w:rsidRPr="00671239">
        <w:rPr>
          <w:rFonts w:eastAsia="新細明體"/>
          <w:kern w:val="24"/>
          <w:szCs w:val="24"/>
          <w:vertAlign w:val="subscript"/>
        </w:rPr>
        <w:t>2</w:t>
      </w:r>
      <w:r w:rsidRPr="00671239">
        <w:rPr>
          <w:rFonts w:eastAsia="新細明體"/>
          <w:kern w:val="24"/>
          <w:szCs w:val="24"/>
        </w:rPr>
        <w:t>O</w:t>
      </w:r>
      <w:r w:rsidRPr="00671239">
        <w:rPr>
          <w:rFonts w:eastAsia="新細明體"/>
          <w:kern w:val="24"/>
          <w:szCs w:val="24"/>
          <w:vertAlign w:val="subscript"/>
        </w:rPr>
        <w:t>2</w:t>
      </w:r>
      <w:r w:rsidRPr="00671239">
        <w:rPr>
          <w:rFonts w:eastAsia="新細明體"/>
          <w:kern w:val="24"/>
          <w:szCs w:val="24"/>
        </w:rPr>
        <w:t xml:space="preserve"> (10 </w:t>
      </w:r>
      <w:r w:rsidRPr="00671239">
        <w:rPr>
          <w:rFonts w:eastAsia="新細明體"/>
        </w:rPr>
        <w:t>μg mL</w:t>
      </w:r>
      <w:r w:rsidRPr="00671239">
        <w:rPr>
          <w:rFonts w:eastAsia="新細明體"/>
          <w:vertAlign w:val="superscript"/>
        </w:rPr>
        <w:t>−1</w:t>
      </w:r>
      <w:r w:rsidRPr="00671239">
        <w:rPr>
          <w:rFonts w:eastAsia="新細明體"/>
          <w:kern w:val="24"/>
          <w:szCs w:val="24"/>
        </w:rPr>
        <w:t xml:space="preserve">), </w:t>
      </w:r>
      <w:r w:rsidRPr="00671239">
        <w:rPr>
          <w:rFonts w:eastAsia="新細明體"/>
        </w:rPr>
        <w:t>DAO/DEX</w:t>
      </w:r>
      <w:r w:rsidRPr="00671239">
        <w:rPr>
          <w:rFonts w:eastAsia="新細明體"/>
          <w:vertAlign w:val="subscript"/>
        </w:rPr>
        <w:t>5.0</w:t>
      </w:r>
      <w:r w:rsidRPr="00671239">
        <w:rPr>
          <w:rFonts w:eastAsia="新細明體"/>
        </w:rPr>
        <w:t>-CNGs (10 μg mL</w:t>
      </w:r>
      <w:r w:rsidRPr="00671239">
        <w:rPr>
          <w:rFonts w:eastAsia="新細明體"/>
          <w:vertAlign w:val="superscript"/>
        </w:rPr>
        <w:t>−1</w:t>
      </w:r>
      <w:r w:rsidRPr="00671239">
        <w:rPr>
          <w:rFonts w:eastAsia="新細明體"/>
        </w:rPr>
        <w:t>)</w:t>
      </w:r>
      <w:r w:rsidRPr="00671239">
        <w:rPr>
          <w:rFonts w:eastAsia="新細明體"/>
          <w:kern w:val="24"/>
          <w:szCs w:val="24"/>
        </w:rPr>
        <w:t xml:space="preserve"> or </w:t>
      </w:r>
      <w:r w:rsidRPr="00671239">
        <w:rPr>
          <w:rFonts w:eastAsia="新細明體"/>
        </w:rPr>
        <w:t>DAO/DEX</w:t>
      </w:r>
      <w:r w:rsidRPr="00671239">
        <w:rPr>
          <w:rFonts w:eastAsia="新細明體"/>
          <w:vertAlign w:val="subscript"/>
        </w:rPr>
        <w:t>5.0</w:t>
      </w:r>
      <w:r w:rsidRPr="00671239">
        <w:rPr>
          <w:rFonts w:eastAsia="新細明體"/>
        </w:rPr>
        <w:t>-CNGs (100 μg mL</w:t>
      </w:r>
      <w:r w:rsidRPr="00671239">
        <w:rPr>
          <w:rFonts w:eastAsia="新細明體"/>
          <w:vertAlign w:val="superscript"/>
        </w:rPr>
        <w:t>−1</w:t>
      </w:r>
      <w:r w:rsidRPr="00671239">
        <w:rPr>
          <w:rFonts w:eastAsia="新細明體"/>
        </w:rPr>
        <w:t>)</w:t>
      </w:r>
      <w:r w:rsidRPr="00671239">
        <w:rPr>
          <w:rFonts w:eastAsia="新細明體"/>
          <w:kern w:val="24"/>
          <w:szCs w:val="24"/>
        </w:rPr>
        <w:t xml:space="preserve"> for 60 min. </w:t>
      </w:r>
      <w:r w:rsidRPr="00671239">
        <w:rPr>
          <w:rFonts w:eastAsia="新細明體"/>
          <w:i/>
          <w:iCs/>
        </w:rPr>
        <w:t>V. parahaemolyticus</w:t>
      </w:r>
      <w:r w:rsidRPr="00671239">
        <w:rPr>
          <w:rFonts w:eastAsia="新細明體"/>
          <w:kern w:val="24"/>
          <w:szCs w:val="24"/>
        </w:rPr>
        <w:t xml:space="preserve"> was treated with H</w:t>
      </w:r>
      <w:r w:rsidRPr="00671239">
        <w:rPr>
          <w:rFonts w:eastAsia="新細明體"/>
          <w:kern w:val="24"/>
          <w:szCs w:val="24"/>
          <w:vertAlign w:val="subscript"/>
        </w:rPr>
        <w:t>2</w:t>
      </w:r>
      <w:r w:rsidRPr="00671239">
        <w:rPr>
          <w:rFonts w:eastAsia="新細明體"/>
          <w:kern w:val="24"/>
          <w:szCs w:val="24"/>
        </w:rPr>
        <w:t>O</w:t>
      </w:r>
      <w:r w:rsidRPr="00671239">
        <w:rPr>
          <w:rFonts w:eastAsia="新細明體"/>
          <w:kern w:val="24"/>
          <w:szCs w:val="24"/>
          <w:vertAlign w:val="subscript"/>
        </w:rPr>
        <w:t>2</w:t>
      </w:r>
      <w:r w:rsidRPr="00671239">
        <w:rPr>
          <w:rFonts w:eastAsia="新細明體"/>
          <w:kern w:val="24"/>
          <w:szCs w:val="24"/>
        </w:rPr>
        <w:t xml:space="preserve"> (10 </w:t>
      </w:r>
      <w:r w:rsidRPr="00671239">
        <w:rPr>
          <w:rFonts w:eastAsia="新細明體"/>
        </w:rPr>
        <w:t>μg mL</w:t>
      </w:r>
      <w:r w:rsidRPr="00671239">
        <w:rPr>
          <w:rFonts w:eastAsia="新細明體"/>
          <w:vertAlign w:val="superscript"/>
        </w:rPr>
        <w:t>−1</w:t>
      </w:r>
      <w:r w:rsidRPr="00671239">
        <w:rPr>
          <w:rFonts w:eastAsia="新細明體"/>
          <w:kern w:val="24"/>
          <w:szCs w:val="24"/>
        </w:rPr>
        <w:t>) as a positive control. (B) Quantification of cellular ROS level using DCF fluorescent intensity. Error bars are the standard deviations of three repeated experiments.</w:t>
      </w:r>
      <w:r w:rsidR="00493D22">
        <w:rPr>
          <w:rFonts w:eastAsia="新細明體"/>
          <w:kern w:val="24"/>
          <w:szCs w:val="24"/>
        </w:rPr>
        <w:t xml:space="preserve"> </w:t>
      </w:r>
    </w:p>
    <w:p w14:paraId="0C5A562B" w14:textId="00A8583D" w:rsidR="00493D22" w:rsidRDefault="00493D22" w:rsidP="00D638B1">
      <w:pPr>
        <w:spacing w:line="360" w:lineRule="auto"/>
        <w:jc w:val="both"/>
        <w:rPr>
          <w:rFonts w:eastAsia="新細明體"/>
          <w:kern w:val="24"/>
          <w:szCs w:val="24"/>
        </w:rPr>
      </w:pPr>
    </w:p>
    <w:p w14:paraId="554DBA81" w14:textId="21F8D65C" w:rsidR="00493D22" w:rsidRDefault="00493D22" w:rsidP="00D638B1">
      <w:pPr>
        <w:spacing w:line="360" w:lineRule="auto"/>
        <w:jc w:val="both"/>
        <w:rPr>
          <w:rFonts w:eastAsia="新細明體"/>
          <w:kern w:val="24"/>
          <w:szCs w:val="24"/>
        </w:rPr>
      </w:pPr>
    </w:p>
    <w:p w14:paraId="62445126" w14:textId="71EA14D0" w:rsidR="00493D22" w:rsidRDefault="00493D22" w:rsidP="00D638B1">
      <w:pPr>
        <w:spacing w:line="360" w:lineRule="auto"/>
        <w:jc w:val="both"/>
        <w:rPr>
          <w:rFonts w:eastAsia="新細明體"/>
          <w:kern w:val="24"/>
          <w:szCs w:val="24"/>
        </w:rPr>
      </w:pPr>
    </w:p>
    <w:p w14:paraId="3C2D72FD" w14:textId="60395CF3" w:rsidR="00493D22" w:rsidRDefault="00493D22" w:rsidP="00D638B1">
      <w:pPr>
        <w:spacing w:line="360" w:lineRule="auto"/>
        <w:jc w:val="both"/>
        <w:rPr>
          <w:rFonts w:eastAsia="新細明體"/>
          <w:kern w:val="24"/>
          <w:szCs w:val="24"/>
        </w:rPr>
      </w:pPr>
    </w:p>
    <w:p w14:paraId="13AFBBA9" w14:textId="57BEECA7" w:rsidR="002505EA" w:rsidRDefault="002505EA" w:rsidP="00D638B1">
      <w:pPr>
        <w:spacing w:line="360" w:lineRule="auto"/>
        <w:jc w:val="both"/>
        <w:rPr>
          <w:rFonts w:eastAsia="新細明體"/>
          <w:kern w:val="24"/>
          <w:szCs w:val="24"/>
        </w:rPr>
      </w:pPr>
    </w:p>
    <w:p w14:paraId="2679076D" w14:textId="7C40485E" w:rsidR="00D638B1" w:rsidRDefault="00D638B1" w:rsidP="00D638B1">
      <w:pPr>
        <w:rPr>
          <w:rFonts w:eastAsia="新細明體"/>
          <w:kern w:val="24"/>
          <w:szCs w:val="24"/>
        </w:rPr>
      </w:pPr>
    </w:p>
    <w:p w14:paraId="0C1EA862" w14:textId="77777777" w:rsidR="00D638B1" w:rsidRPr="00671239" w:rsidRDefault="00D638B1" w:rsidP="002505EA">
      <w:pPr>
        <w:spacing w:line="360" w:lineRule="auto"/>
        <w:jc w:val="center"/>
        <w:rPr>
          <w:rFonts w:eastAsia="新細明體"/>
          <w:b/>
          <w:bCs/>
          <w:i/>
          <w:iCs/>
        </w:rPr>
      </w:pPr>
      <w:r w:rsidRPr="00671239">
        <w:rPr>
          <w:rFonts w:eastAsia="新細明體"/>
          <w:b/>
          <w:bCs/>
          <w:i/>
          <w:iCs/>
          <w:noProof/>
          <w:lang w:eastAsia="zh-TW"/>
        </w:rPr>
        <w:drawing>
          <wp:inline distT="0" distB="0" distL="0" distR="0" wp14:anchorId="55E24B7F" wp14:editId="65771B34">
            <wp:extent cx="5274310" cy="4468495"/>
            <wp:effectExtent l="0" t="0" r="0" b="1905"/>
            <wp:docPr id="449" name="圖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4468495"/>
                    </a:xfrm>
                    <a:prstGeom prst="rect">
                      <a:avLst/>
                    </a:prstGeom>
                  </pic:spPr>
                </pic:pic>
              </a:graphicData>
            </a:graphic>
          </wp:inline>
        </w:drawing>
      </w:r>
    </w:p>
    <w:p w14:paraId="678136FC" w14:textId="51F66196" w:rsidR="00D638B1" w:rsidRDefault="00D638B1" w:rsidP="00D638B1">
      <w:pPr>
        <w:spacing w:line="360" w:lineRule="auto"/>
        <w:jc w:val="both"/>
        <w:rPr>
          <w:rFonts w:eastAsia="新細明體"/>
          <w:szCs w:val="24"/>
        </w:rPr>
      </w:pPr>
      <w:r w:rsidRPr="00671239">
        <w:rPr>
          <w:rFonts w:eastAsia="新細明體"/>
          <w:b/>
          <w:bCs/>
          <w:iCs/>
        </w:rPr>
        <w:t>Fig. S9</w:t>
      </w:r>
      <w:r w:rsidRPr="00671239">
        <w:rPr>
          <w:rFonts w:eastAsia="新細明體"/>
          <w:i/>
          <w:iCs/>
        </w:rPr>
        <w:t xml:space="preserve"> </w:t>
      </w:r>
      <w:r w:rsidRPr="00671239">
        <w:rPr>
          <w:rFonts w:eastAsia="新細明體"/>
        </w:rPr>
        <w:t xml:space="preserve">(A) </w:t>
      </w:r>
      <w:r w:rsidRPr="00671239">
        <w:rPr>
          <w:rFonts w:eastAsia="新細明體"/>
          <w:szCs w:val="24"/>
        </w:rPr>
        <w:t xml:space="preserve">Relative cell viability of </w:t>
      </w:r>
      <w:r w:rsidRPr="00671239">
        <w:rPr>
          <w:rFonts w:eastAsia="新細明體"/>
        </w:rPr>
        <w:t>HEK-293T, IMR-90, HepG2</w:t>
      </w:r>
      <w:r w:rsidR="008E3F94" w:rsidRPr="00671239">
        <w:rPr>
          <w:rFonts w:eastAsia="新細明體"/>
        </w:rPr>
        <w:t>,</w:t>
      </w:r>
      <w:r w:rsidRPr="00671239">
        <w:rPr>
          <w:rFonts w:eastAsia="新細明體"/>
        </w:rPr>
        <w:t xml:space="preserve"> and HaCat cells</w:t>
      </w:r>
      <w:r w:rsidRPr="00671239">
        <w:rPr>
          <w:rFonts w:eastAsia="新細明體"/>
          <w:szCs w:val="24"/>
        </w:rPr>
        <w:t xml:space="preserve"> after incubation with various concentrations of DAO/DEX</w:t>
      </w:r>
      <w:r w:rsidRPr="00671239">
        <w:rPr>
          <w:rFonts w:eastAsia="新細明體"/>
          <w:szCs w:val="24"/>
          <w:vertAlign w:val="subscript"/>
        </w:rPr>
        <w:t>5.0</w:t>
      </w:r>
      <w:r w:rsidRPr="00671239">
        <w:rPr>
          <w:rFonts w:eastAsia="新細明體"/>
          <w:szCs w:val="24"/>
        </w:rPr>
        <w:t>-CNGs for 48 h at 37 ℃. (B) Hemolytic activities of DAO/DEX</w:t>
      </w:r>
      <w:r w:rsidRPr="00671239">
        <w:rPr>
          <w:rFonts w:eastAsia="新細明體"/>
          <w:szCs w:val="24"/>
          <w:vertAlign w:val="subscript"/>
        </w:rPr>
        <w:t>5.0</w:t>
      </w:r>
      <w:r w:rsidRPr="00671239">
        <w:rPr>
          <w:rFonts w:eastAsia="新細明體"/>
          <w:szCs w:val="24"/>
        </w:rPr>
        <w:t>-CNGs against RBCs dispersed in PBS. The solutions containing RBCs with PBS and DI water were used as a negative and positive control experiment, respectively. Insets: photographs of RBC solutions after treatment with PBS, DI water</w:t>
      </w:r>
      <w:r w:rsidR="008E3F94" w:rsidRPr="00671239">
        <w:rPr>
          <w:rFonts w:eastAsia="新細明體"/>
          <w:szCs w:val="24"/>
        </w:rPr>
        <w:t>,</w:t>
      </w:r>
      <w:r w:rsidRPr="00671239">
        <w:rPr>
          <w:rFonts w:eastAsia="新細明體"/>
          <w:szCs w:val="24"/>
        </w:rPr>
        <w:t xml:space="preserve"> or DAO/DEX</w:t>
      </w:r>
      <w:r w:rsidRPr="00671239">
        <w:rPr>
          <w:rFonts w:eastAsia="新細明體"/>
          <w:szCs w:val="24"/>
          <w:vertAlign w:val="subscript"/>
        </w:rPr>
        <w:t>5.0</w:t>
      </w:r>
      <w:r w:rsidRPr="00671239">
        <w:rPr>
          <w:rFonts w:eastAsia="新細明體"/>
          <w:szCs w:val="24"/>
        </w:rPr>
        <w:t>-CNGs. The error bars represent the standard deviation of three repeated measurements.</w:t>
      </w:r>
      <w:r w:rsidR="00493D22">
        <w:rPr>
          <w:rFonts w:eastAsia="新細明體"/>
          <w:szCs w:val="24"/>
        </w:rPr>
        <w:t xml:space="preserve"> </w:t>
      </w:r>
    </w:p>
    <w:p w14:paraId="752EFED6" w14:textId="77777777" w:rsidR="00493D22" w:rsidRDefault="00493D22" w:rsidP="00D638B1">
      <w:pPr>
        <w:spacing w:line="360" w:lineRule="auto"/>
        <w:jc w:val="both"/>
        <w:rPr>
          <w:rFonts w:eastAsia="新細明體"/>
        </w:rPr>
      </w:pPr>
    </w:p>
    <w:p w14:paraId="61C961EA" w14:textId="33B5E3EB" w:rsidR="00493D22" w:rsidRDefault="00493D22" w:rsidP="00D638B1">
      <w:pPr>
        <w:spacing w:line="360" w:lineRule="auto"/>
        <w:jc w:val="both"/>
        <w:rPr>
          <w:rFonts w:eastAsia="新細明體"/>
        </w:rPr>
      </w:pPr>
    </w:p>
    <w:p w14:paraId="63F56A76" w14:textId="590224A1" w:rsidR="002505EA" w:rsidRDefault="002505EA" w:rsidP="00D638B1">
      <w:pPr>
        <w:spacing w:line="360" w:lineRule="auto"/>
        <w:jc w:val="both"/>
        <w:rPr>
          <w:rFonts w:eastAsia="新細明體"/>
        </w:rPr>
      </w:pPr>
    </w:p>
    <w:p w14:paraId="424426AE" w14:textId="4B8CB428" w:rsidR="002505EA" w:rsidRDefault="002505EA" w:rsidP="00D638B1">
      <w:pPr>
        <w:spacing w:line="360" w:lineRule="auto"/>
        <w:jc w:val="both"/>
        <w:rPr>
          <w:rFonts w:eastAsia="新細明體"/>
        </w:rPr>
      </w:pPr>
    </w:p>
    <w:p w14:paraId="6FE83F4A" w14:textId="3BD0F524" w:rsidR="002505EA" w:rsidRDefault="002505EA" w:rsidP="00D638B1">
      <w:pPr>
        <w:spacing w:line="360" w:lineRule="auto"/>
        <w:jc w:val="both"/>
        <w:rPr>
          <w:rFonts w:eastAsia="新細明體"/>
        </w:rPr>
      </w:pPr>
    </w:p>
    <w:p w14:paraId="5A593846" w14:textId="2BD0B93C" w:rsidR="002505EA" w:rsidRDefault="002505EA" w:rsidP="00D638B1">
      <w:pPr>
        <w:spacing w:line="360" w:lineRule="auto"/>
        <w:jc w:val="both"/>
        <w:rPr>
          <w:rFonts w:eastAsia="新細明體"/>
        </w:rPr>
      </w:pPr>
    </w:p>
    <w:p w14:paraId="02DFEF2A" w14:textId="77777777" w:rsidR="00D638B1" w:rsidRPr="00671239" w:rsidRDefault="00D638B1" w:rsidP="00D638B1">
      <w:pPr>
        <w:spacing w:line="480" w:lineRule="auto"/>
        <w:jc w:val="center"/>
        <w:rPr>
          <w:rFonts w:eastAsia="新細明體"/>
        </w:rPr>
      </w:pPr>
      <w:r w:rsidRPr="00671239">
        <w:rPr>
          <w:rFonts w:eastAsia="新細明體"/>
          <w:noProof/>
          <w:lang w:eastAsia="zh-TW"/>
        </w:rPr>
        <w:drawing>
          <wp:inline distT="0" distB="0" distL="0" distR="0" wp14:anchorId="255B9274" wp14:editId="450E2995">
            <wp:extent cx="3450069" cy="5216641"/>
            <wp:effectExtent l="0" t="0" r="4445" b="0"/>
            <wp:docPr id="450" name="圖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460255" cy="5232043"/>
                    </a:xfrm>
                    <a:prstGeom prst="rect">
                      <a:avLst/>
                    </a:prstGeom>
                  </pic:spPr>
                </pic:pic>
              </a:graphicData>
            </a:graphic>
          </wp:inline>
        </w:drawing>
      </w:r>
    </w:p>
    <w:p w14:paraId="63E6DEEB" w14:textId="56A35CF6" w:rsidR="00D638B1" w:rsidRDefault="00D638B1" w:rsidP="00D638B1">
      <w:pPr>
        <w:spacing w:line="360" w:lineRule="auto"/>
        <w:jc w:val="both"/>
        <w:rPr>
          <w:rFonts w:eastAsia="新細明體"/>
          <w:szCs w:val="24"/>
        </w:rPr>
      </w:pPr>
      <w:r w:rsidRPr="00671239">
        <w:rPr>
          <w:rFonts w:eastAsia="新細明體"/>
          <w:b/>
          <w:bCs/>
          <w:iCs/>
        </w:rPr>
        <w:t>Fig. S10</w:t>
      </w:r>
      <w:r w:rsidRPr="00671239">
        <w:rPr>
          <w:rFonts w:eastAsia="新細明體"/>
          <w:i/>
          <w:iCs/>
        </w:rPr>
        <w:t xml:space="preserve"> </w:t>
      </w:r>
      <w:r w:rsidRPr="00671239">
        <w:rPr>
          <w:rFonts w:eastAsia="新細明體"/>
        </w:rPr>
        <w:t xml:space="preserve">(A) Survival rate of post-larval </w:t>
      </w:r>
      <w:r w:rsidRPr="00671239">
        <w:rPr>
          <w:rFonts w:eastAsia="新細明體"/>
          <w:iCs/>
        </w:rPr>
        <w:t xml:space="preserve">shrimp </w:t>
      </w:r>
      <w:r w:rsidRPr="00671239">
        <w:rPr>
          <w:rFonts w:eastAsia="新細明體"/>
        </w:rPr>
        <w:t xml:space="preserve">when continuously fed with (i) a commercial feed or (ii to iv) commercial feed with </w:t>
      </w:r>
      <w:r w:rsidRPr="00671239">
        <w:rPr>
          <w:rFonts w:eastAsia="新細明體"/>
          <w:szCs w:val="24"/>
        </w:rPr>
        <w:t>additive</w:t>
      </w:r>
      <w:r w:rsidRPr="00671239">
        <w:rPr>
          <w:rFonts w:eastAsia="新細明體"/>
        </w:rPr>
        <w:t xml:space="preserve"> </w:t>
      </w:r>
      <w:r w:rsidRPr="00671239">
        <w:rPr>
          <w:rFonts w:eastAsia="新細明體"/>
          <w:szCs w:val="24"/>
        </w:rPr>
        <w:t>DAO/DEX</w:t>
      </w:r>
      <w:r w:rsidRPr="00671239">
        <w:rPr>
          <w:rFonts w:eastAsia="新細明體"/>
          <w:szCs w:val="24"/>
          <w:vertAlign w:val="subscript"/>
        </w:rPr>
        <w:t>5.0</w:t>
      </w:r>
      <w:r w:rsidRPr="00671239">
        <w:rPr>
          <w:rFonts w:eastAsia="新細明體"/>
          <w:szCs w:val="24"/>
        </w:rPr>
        <w:t>-CNGs</w:t>
      </w:r>
      <w:r w:rsidRPr="00671239">
        <w:rPr>
          <w:rFonts w:eastAsia="新細明體"/>
        </w:rPr>
        <w:t xml:space="preserve"> of (ii) </w:t>
      </w:r>
      <w:r w:rsidRPr="00671239">
        <w:rPr>
          <w:rFonts w:eastAsia="新細明體"/>
          <w:szCs w:val="24"/>
        </w:rPr>
        <w:t xml:space="preserve">1.0 </w:t>
      </w:r>
      <w:r w:rsidRPr="00671239">
        <w:rPr>
          <w:rFonts w:eastAsia="新細明體"/>
          <w:szCs w:val="24"/>
        </w:rPr>
        <w:sym w:font="Symbol" w:char="F06D"/>
      </w:r>
      <w:r w:rsidRPr="00671239">
        <w:rPr>
          <w:rFonts w:eastAsia="新細明體"/>
          <w:szCs w:val="24"/>
        </w:rPr>
        <w:t>g g</w:t>
      </w:r>
      <w:r w:rsidRPr="00671239">
        <w:rPr>
          <w:rFonts w:eastAsia="新細明體"/>
          <w:szCs w:val="24"/>
          <w:vertAlign w:val="superscript"/>
        </w:rPr>
        <w:sym w:font="Symbol" w:char="F02D"/>
      </w:r>
      <w:r w:rsidRPr="00671239">
        <w:rPr>
          <w:rFonts w:eastAsia="新細明體"/>
          <w:szCs w:val="24"/>
          <w:vertAlign w:val="superscript"/>
        </w:rPr>
        <w:t>1</w:t>
      </w:r>
      <w:r w:rsidRPr="00671239">
        <w:rPr>
          <w:rFonts w:eastAsia="新細明體"/>
        </w:rPr>
        <w:t xml:space="preserve">, (iii) </w:t>
      </w:r>
      <w:r w:rsidRPr="00671239">
        <w:rPr>
          <w:rFonts w:eastAsia="新細明體"/>
          <w:szCs w:val="24"/>
        </w:rPr>
        <w:t xml:space="preserve">10 </w:t>
      </w:r>
      <w:r w:rsidRPr="00671239">
        <w:rPr>
          <w:rFonts w:eastAsia="新細明體"/>
          <w:szCs w:val="24"/>
        </w:rPr>
        <w:sym w:font="Symbol" w:char="F06D"/>
      </w:r>
      <w:r w:rsidRPr="00671239">
        <w:rPr>
          <w:rFonts w:eastAsia="新細明體"/>
          <w:szCs w:val="24"/>
        </w:rPr>
        <w:t>g g</w:t>
      </w:r>
      <w:r w:rsidRPr="00671239">
        <w:rPr>
          <w:rFonts w:eastAsia="新細明體"/>
          <w:szCs w:val="24"/>
          <w:vertAlign w:val="superscript"/>
        </w:rPr>
        <w:sym w:font="Symbol" w:char="F02D"/>
      </w:r>
      <w:r w:rsidRPr="00671239">
        <w:rPr>
          <w:rFonts w:eastAsia="新細明體"/>
          <w:szCs w:val="24"/>
          <w:vertAlign w:val="superscript"/>
        </w:rPr>
        <w:t>1</w:t>
      </w:r>
      <w:r w:rsidRPr="00671239">
        <w:rPr>
          <w:rFonts w:eastAsia="新細明體"/>
        </w:rPr>
        <w:t xml:space="preserve"> and (iv)</w:t>
      </w:r>
      <w:r w:rsidRPr="00671239">
        <w:rPr>
          <w:rFonts w:eastAsia="新細明體"/>
          <w:szCs w:val="24"/>
        </w:rPr>
        <w:t xml:space="preserve"> 100 </w:t>
      </w:r>
      <w:r w:rsidRPr="00671239">
        <w:rPr>
          <w:rFonts w:eastAsia="新細明體"/>
          <w:szCs w:val="24"/>
        </w:rPr>
        <w:sym w:font="Symbol" w:char="F06D"/>
      </w:r>
      <w:r w:rsidRPr="00671239">
        <w:rPr>
          <w:rFonts w:eastAsia="新細明體"/>
          <w:szCs w:val="24"/>
        </w:rPr>
        <w:t>g g</w:t>
      </w:r>
      <w:r w:rsidRPr="00671239">
        <w:rPr>
          <w:rFonts w:eastAsia="新細明體"/>
          <w:szCs w:val="24"/>
          <w:vertAlign w:val="superscript"/>
        </w:rPr>
        <w:sym w:font="Symbol" w:char="F02D"/>
      </w:r>
      <w:r w:rsidRPr="00671239">
        <w:rPr>
          <w:rFonts w:eastAsia="新細明體"/>
          <w:szCs w:val="24"/>
          <w:vertAlign w:val="superscript"/>
        </w:rPr>
        <w:t>1</w:t>
      </w:r>
      <w:r w:rsidRPr="00671239">
        <w:rPr>
          <w:rFonts w:eastAsia="新細明體"/>
        </w:rPr>
        <w:t xml:space="preserve"> for 7 days. (B) Cross-sectional micrograph of H&amp;E stained hepatopancreas</w:t>
      </w:r>
      <w:r w:rsidRPr="00671239">
        <w:rPr>
          <w:rFonts w:eastAsia="新細明體"/>
          <w:szCs w:val="24"/>
        </w:rPr>
        <w:t xml:space="preserve"> of the</w:t>
      </w:r>
      <w:r w:rsidRPr="00671239">
        <w:rPr>
          <w:rFonts w:eastAsia="新細明體"/>
        </w:rPr>
        <w:t xml:space="preserve"> shrimp fed with commercial feed without additive (i) or with DAO/DEX</w:t>
      </w:r>
      <w:r w:rsidRPr="00671239">
        <w:rPr>
          <w:rFonts w:eastAsia="新細明體"/>
          <w:vertAlign w:val="subscript"/>
        </w:rPr>
        <w:t>5.0</w:t>
      </w:r>
      <w:r w:rsidRPr="00671239">
        <w:rPr>
          <w:rFonts w:eastAsia="新細明體"/>
        </w:rPr>
        <w:t xml:space="preserve">-CNGs additives of 1.0 (ii), 10 (iii) and 100 (iv) </w:t>
      </w:r>
      <w:r w:rsidRPr="00671239">
        <w:rPr>
          <w:rFonts w:eastAsia="新細明體"/>
          <w:szCs w:val="24"/>
        </w:rPr>
        <w:sym w:font="Symbol" w:char="F06D"/>
      </w:r>
      <w:r w:rsidRPr="00671239">
        <w:rPr>
          <w:rFonts w:eastAsia="新細明體"/>
          <w:szCs w:val="24"/>
        </w:rPr>
        <w:t>g g</w:t>
      </w:r>
      <w:r w:rsidRPr="00671239">
        <w:rPr>
          <w:rFonts w:eastAsia="新細明體"/>
          <w:szCs w:val="24"/>
          <w:vertAlign w:val="superscript"/>
        </w:rPr>
        <w:sym w:font="Symbol" w:char="F02D"/>
      </w:r>
      <w:r w:rsidRPr="00671239">
        <w:rPr>
          <w:rFonts w:eastAsia="新細明體"/>
          <w:szCs w:val="24"/>
          <w:vertAlign w:val="superscript"/>
        </w:rPr>
        <w:t>1</w:t>
      </w:r>
      <w:r w:rsidRPr="00671239">
        <w:rPr>
          <w:rFonts w:eastAsia="新細明體"/>
        </w:rPr>
        <w:t xml:space="preserve"> at day 7. Tubule (T); Lumen (Lum); Blasenzellen cells (B-cells, B).</w:t>
      </w:r>
      <w:r w:rsidRPr="00671239">
        <w:rPr>
          <w:rFonts w:eastAsia="新細明體"/>
          <w:szCs w:val="24"/>
        </w:rPr>
        <w:t xml:space="preserve"> The error bars in </w:t>
      </w:r>
      <w:r w:rsidRPr="00671239">
        <w:rPr>
          <w:rFonts w:eastAsia="新細明體"/>
          <w:bCs/>
          <w:szCs w:val="24"/>
        </w:rPr>
        <w:t>(A)</w:t>
      </w:r>
      <w:r w:rsidRPr="00671239">
        <w:rPr>
          <w:rFonts w:eastAsia="新細明體"/>
          <w:szCs w:val="24"/>
        </w:rPr>
        <w:t xml:space="preserve"> represent the standard deviation of three repeated measurements.</w:t>
      </w:r>
      <w:r w:rsidR="00493D22">
        <w:rPr>
          <w:rFonts w:eastAsia="新細明體"/>
          <w:szCs w:val="24"/>
        </w:rPr>
        <w:t xml:space="preserve"> </w:t>
      </w:r>
    </w:p>
    <w:p w14:paraId="516ED335" w14:textId="23A9874D" w:rsidR="00493D22" w:rsidRDefault="00493D22" w:rsidP="00D638B1">
      <w:pPr>
        <w:spacing w:line="360" w:lineRule="auto"/>
        <w:jc w:val="both"/>
        <w:rPr>
          <w:rFonts w:eastAsia="新細明體"/>
        </w:rPr>
      </w:pPr>
    </w:p>
    <w:p w14:paraId="39B84FCB" w14:textId="6ED9E8C6" w:rsidR="00493D22" w:rsidRDefault="00493D22" w:rsidP="00D638B1">
      <w:pPr>
        <w:spacing w:line="360" w:lineRule="auto"/>
        <w:jc w:val="both"/>
        <w:rPr>
          <w:rFonts w:eastAsia="新細明體"/>
        </w:rPr>
      </w:pPr>
    </w:p>
    <w:p w14:paraId="38C3DF74" w14:textId="36241E82" w:rsidR="00493D22" w:rsidRDefault="00493D22" w:rsidP="00D638B1">
      <w:pPr>
        <w:spacing w:line="360" w:lineRule="auto"/>
        <w:jc w:val="both"/>
        <w:rPr>
          <w:rFonts w:eastAsia="新細明體"/>
        </w:rPr>
      </w:pPr>
    </w:p>
    <w:p w14:paraId="22B33AEB" w14:textId="50E81892" w:rsidR="002505EA" w:rsidRDefault="002505EA" w:rsidP="00D638B1">
      <w:pPr>
        <w:spacing w:line="360" w:lineRule="auto"/>
        <w:jc w:val="both"/>
        <w:rPr>
          <w:rFonts w:eastAsia="新細明體"/>
        </w:rPr>
      </w:pPr>
    </w:p>
    <w:p w14:paraId="1367D042" w14:textId="77777777" w:rsidR="00D638B1" w:rsidRPr="00671239" w:rsidRDefault="00D638B1" w:rsidP="00D638B1">
      <w:pPr>
        <w:spacing w:line="360" w:lineRule="auto"/>
        <w:jc w:val="center"/>
        <w:rPr>
          <w:rFonts w:eastAsia="新細明體"/>
        </w:rPr>
      </w:pPr>
      <w:r w:rsidRPr="00671239">
        <w:rPr>
          <w:rFonts w:eastAsia="新細明體"/>
          <w:noProof/>
          <w:lang w:eastAsia="zh-TW"/>
        </w:rPr>
        <w:drawing>
          <wp:inline distT="0" distB="0" distL="0" distR="0" wp14:anchorId="4B5E10DF" wp14:editId="3ADCB1BF">
            <wp:extent cx="5145002" cy="5901948"/>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154090" cy="5912374"/>
                    </a:xfrm>
                    <a:prstGeom prst="rect">
                      <a:avLst/>
                    </a:prstGeom>
                  </pic:spPr>
                </pic:pic>
              </a:graphicData>
            </a:graphic>
          </wp:inline>
        </w:drawing>
      </w:r>
    </w:p>
    <w:p w14:paraId="10AD3A90" w14:textId="250E9EAB" w:rsidR="00D638B1" w:rsidRDefault="00D638B1" w:rsidP="00D638B1">
      <w:pPr>
        <w:spacing w:line="360" w:lineRule="auto"/>
        <w:jc w:val="both"/>
        <w:rPr>
          <w:rFonts w:eastAsia="新細明體"/>
        </w:rPr>
      </w:pPr>
      <w:r w:rsidRPr="00671239">
        <w:rPr>
          <w:rFonts w:eastAsia="新細明體"/>
          <w:b/>
          <w:bCs/>
          <w:iCs/>
        </w:rPr>
        <w:t>Fig. S1</w:t>
      </w:r>
      <w:r w:rsidRPr="00671239">
        <w:rPr>
          <w:rFonts w:eastAsia="新細明體" w:hint="eastAsia"/>
          <w:b/>
          <w:bCs/>
          <w:iCs/>
        </w:rPr>
        <w:t>1</w:t>
      </w:r>
      <w:r w:rsidRPr="00671239">
        <w:rPr>
          <w:rFonts w:eastAsia="新細明體"/>
        </w:rPr>
        <w:t xml:space="preserve"> Gene expression levels of LGBP, ALF, LYZ</w:t>
      </w:r>
      <w:r w:rsidR="008E3F94" w:rsidRPr="00671239">
        <w:rPr>
          <w:rFonts w:eastAsia="新細明體"/>
        </w:rPr>
        <w:t>,</w:t>
      </w:r>
      <w:r w:rsidRPr="00671239">
        <w:rPr>
          <w:rFonts w:eastAsia="新細明體"/>
        </w:rPr>
        <w:t xml:space="preserve"> and cytMnSOD in the hemocytes from the </w:t>
      </w:r>
      <w:r w:rsidRPr="00671239">
        <w:rPr>
          <w:rFonts w:eastAsia="新細明體"/>
          <w:i/>
          <w:iCs/>
        </w:rPr>
        <w:t>V. parahaemolyticus</w:t>
      </w:r>
      <w:r w:rsidRPr="00671239">
        <w:rPr>
          <w:rFonts w:eastAsia="新細明體"/>
          <w:iCs/>
        </w:rPr>
        <w:t xml:space="preserve">-infected </w:t>
      </w:r>
      <w:r w:rsidRPr="00671239">
        <w:rPr>
          <w:rFonts w:eastAsia="新細明體"/>
        </w:rPr>
        <w:t xml:space="preserve">shrimp after 24 h. The shrimp have been fed with different doses of </w:t>
      </w:r>
      <w:r w:rsidRPr="00671239">
        <w:rPr>
          <w:rFonts w:eastAsia="新細明體"/>
          <w:szCs w:val="24"/>
        </w:rPr>
        <w:t>DAO/DEX</w:t>
      </w:r>
      <w:r w:rsidRPr="00671239">
        <w:rPr>
          <w:rFonts w:eastAsia="新細明體"/>
          <w:szCs w:val="24"/>
          <w:vertAlign w:val="subscript"/>
        </w:rPr>
        <w:t>5.0</w:t>
      </w:r>
      <w:r w:rsidRPr="00671239">
        <w:rPr>
          <w:rFonts w:eastAsia="新細明體"/>
          <w:szCs w:val="24"/>
        </w:rPr>
        <w:t>-CNGs</w:t>
      </w:r>
      <w:r w:rsidRPr="00671239">
        <w:rPr>
          <w:rFonts w:eastAsia="新細明體"/>
        </w:rPr>
        <w:t xml:space="preserve"> for 3 days before challenging with </w:t>
      </w:r>
      <w:r w:rsidRPr="00671239">
        <w:rPr>
          <w:rFonts w:eastAsia="新細明體"/>
          <w:i/>
          <w:iCs/>
        </w:rPr>
        <w:t>V. parahaemolyticus</w:t>
      </w:r>
      <w:r w:rsidRPr="00671239">
        <w:rPr>
          <w:rFonts w:eastAsia="新細明體"/>
        </w:rPr>
        <w:t>. An asterisk indicates statistically significant differences (*</w:t>
      </w:r>
      <w:r w:rsidRPr="00671239">
        <w:rPr>
          <w:rFonts w:eastAsia="新細明體"/>
          <w:i/>
        </w:rPr>
        <w:t>p</w:t>
      </w:r>
      <w:r w:rsidRPr="00671239">
        <w:rPr>
          <w:rFonts w:eastAsia="新細明體"/>
        </w:rPr>
        <w:t xml:space="preserve"> &lt; 0.05, **</w:t>
      </w:r>
      <w:r w:rsidRPr="00671239">
        <w:rPr>
          <w:rFonts w:eastAsia="新細明體"/>
          <w:i/>
        </w:rPr>
        <w:t>p</w:t>
      </w:r>
      <w:r w:rsidRPr="00671239">
        <w:rPr>
          <w:rFonts w:eastAsia="新細明體"/>
        </w:rPr>
        <w:t xml:space="preserve"> &lt; 0.01, ***</w:t>
      </w:r>
      <w:r w:rsidRPr="00671239">
        <w:rPr>
          <w:rFonts w:eastAsia="新細明體"/>
          <w:i/>
        </w:rPr>
        <w:t>p</w:t>
      </w:r>
      <w:r w:rsidRPr="00671239">
        <w:rPr>
          <w:rFonts w:eastAsia="新細明體"/>
        </w:rPr>
        <w:t xml:space="preserve"> &lt; 0.001, ****</w:t>
      </w:r>
      <w:r w:rsidRPr="00671239">
        <w:rPr>
          <w:rFonts w:eastAsia="新細明體"/>
          <w:i/>
        </w:rPr>
        <w:t>p</w:t>
      </w:r>
      <w:r w:rsidRPr="00671239">
        <w:rPr>
          <w:rFonts w:eastAsia="新細明體"/>
        </w:rPr>
        <w:t xml:space="preserve"> &lt; 0.0001; </w:t>
      </w:r>
      <w:r w:rsidRPr="00671239">
        <w:rPr>
          <w:rFonts w:eastAsia="新細明體"/>
          <w:i/>
        </w:rPr>
        <w:t>n</w:t>
      </w:r>
      <w:r w:rsidRPr="00671239">
        <w:rPr>
          <w:rFonts w:eastAsia="新細明體"/>
        </w:rPr>
        <w:t xml:space="preserve"> = 3) as compared with untreated group (without fed </w:t>
      </w:r>
      <w:r w:rsidRPr="00671239">
        <w:rPr>
          <w:rFonts w:eastAsia="新細明體"/>
          <w:szCs w:val="24"/>
        </w:rPr>
        <w:t>DAO/DEX</w:t>
      </w:r>
      <w:r w:rsidRPr="00671239">
        <w:rPr>
          <w:rFonts w:eastAsia="新細明體"/>
          <w:szCs w:val="24"/>
          <w:vertAlign w:val="subscript"/>
        </w:rPr>
        <w:t>5.0</w:t>
      </w:r>
      <w:r w:rsidRPr="00671239">
        <w:rPr>
          <w:rFonts w:eastAsia="新細明體"/>
          <w:szCs w:val="24"/>
        </w:rPr>
        <w:t xml:space="preserve">-CNGs and </w:t>
      </w:r>
      <w:r w:rsidRPr="00671239">
        <w:rPr>
          <w:rFonts w:eastAsia="新細明體"/>
        </w:rPr>
        <w:t xml:space="preserve">without </w:t>
      </w:r>
      <w:r w:rsidRPr="00671239">
        <w:rPr>
          <w:rFonts w:eastAsia="新細明體"/>
          <w:i/>
          <w:iCs/>
        </w:rPr>
        <w:t xml:space="preserve">V. parahaemolyticus </w:t>
      </w:r>
      <w:r w:rsidRPr="00671239">
        <w:rPr>
          <w:rFonts w:eastAsia="新細明體"/>
        </w:rPr>
        <w:t>challenge). The inset to ALF shows the gene expression level of un</w:t>
      </w:r>
      <w:r w:rsidRPr="00671239">
        <w:rPr>
          <w:rFonts w:eastAsia="新細明體"/>
          <w:iCs/>
        </w:rPr>
        <w:t xml:space="preserve">infected </w:t>
      </w:r>
      <w:r w:rsidRPr="00671239">
        <w:rPr>
          <w:rFonts w:eastAsia="新細明體"/>
        </w:rPr>
        <w:t>shrimp.</w:t>
      </w:r>
      <w:r w:rsidR="00493D22">
        <w:rPr>
          <w:rFonts w:eastAsia="新細明體"/>
        </w:rPr>
        <w:t xml:space="preserve"> </w:t>
      </w:r>
    </w:p>
    <w:p w14:paraId="029EC1E7" w14:textId="1F816EC5" w:rsidR="00493D22" w:rsidRDefault="00493D22" w:rsidP="00D638B1">
      <w:pPr>
        <w:spacing w:line="360" w:lineRule="auto"/>
        <w:jc w:val="both"/>
        <w:rPr>
          <w:rFonts w:eastAsia="新細明體"/>
        </w:rPr>
      </w:pPr>
    </w:p>
    <w:p w14:paraId="438349B8" w14:textId="1EAFF3A2" w:rsidR="00493D22" w:rsidRDefault="00493D22" w:rsidP="00D638B1">
      <w:pPr>
        <w:spacing w:line="360" w:lineRule="auto"/>
        <w:jc w:val="both"/>
        <w:rPr>
          <w:rFonts w:eastAsia="新細明體"/>
        </w:rPr>
      </w:pPr>
    </w:p>
    <w:p w14:paraId="2E018493" w14:textId="77777777" w:rsidR="00D638B1" w:rsidRPr="00671239" w:rsidRDefault="00D638B1" w:rsidP="002505EA">
      <w:pPr>
        <w:jc w:val="center"/>
        <w:rPr>
          <w:rFonts w:eastAsia="新細明體"/>
          <w:szCs w:val="24"/>
        </w:rPr>
      </w:pPr>
      <w:r w:rsidRPr="00671239">
        <w:rPr>
          <w:rFonts w:eastAsia="新細明體"/>
          <w:noProof/>
          <w:szCs w:val="24"/>
          <w:lang w:eastAsia="zh-TW"/>
        </w:rPr>
        <w:drawing>
          <wp:inline distT="0" distB="0" distL="0" distR="0" wp14:anchorId="6606F4A7" wp14:editId="33E494D8">
            <wp:extent cx="5274310" cy="1933575"/>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a:ext>
                      </a:extLst>
                    </a:blip>
                    <a:stretch>
                      <a:fillRect/>
                    </a:stretch>
                  </pic:blipFill>
                  <pic:spPr>
                    <a:xfrm>
                      <a:off x="0" y="0"/>
                      <a:ext cx="5274310" cy="1933575"/>
                    </a:xfrm>
                    <a:prstGeom prst="rect">
                      <a:avLst/>
                    </a:prstGeom>
                  </pic:spPr>
                </pic:pic>
              </a:graphicData>
            </a:graphic>
          </wp:inline>
        </w:drawing>
      </w:r>
    </w:p>
    <w:p w14:paraId="0B47B780" w14:textId="24675950" w:rsidR="00D638B1" w:rsidRDefault="00D638B1" w:rsidP="00D638B1">
      <w:pPr>
        <w:spacing w:line="360" w:lineRule="auto"/>
        <w:jc w:val="both"/>
        <w:rPr>
          <w:rFonts w:eastAsia="新細明體"/>
        </w:rPr>
      </w:pPr>
      <w:r w:rsidRPr="00671239">
        <w:rPr>
          <w:rFonts w:eastAsia="新細明體"/>
          <w:b/>
          <w:bCs/>
          <w:iCs/>
        </w:rPr>
        <w:t>Fig. S12</w:t>
      </w:r>
      <w:r w:rsidRPr="00671239">
        <w:rPr>
          <w:rFonts w:eastAsia="新細明體"/>
        </w:rPr>
        <w:t xml:space="preserve"> </w:t>
      </w:r>
      <w:r w:rsidRPr="00671239">
        <w:rPr>
          <w:rFonts w:eastAsia="新細明體"/>
          <w:szCs w:val="24"/>
        </w:rPr>
        <w:t>The toxin adsorption assay showed that the</w:t>
      </w:r>
      <w:r w:rsidRPr="00671239">
        <w:rPr>
          <w:rFonts w:eastAsia="新細明體"/>
        </w:rPr>
        <w:t xml:space="preserve"> recombinant toxin proteins, PirA (rPirA; 0.1 mg) or PirB (rPirB; 0.1 mg), were adsorbed by DAO/DEX</w:t>
      </w:r>
      <w:r w:rsidRPr="00671239">
        <w:rPr>
          <w:rFonts w:eastAsia="新細明體"/>
          <w:vertAlign w:val="subscript"/>
        </w:rPr>
        <w:t>5.0</w:t>
      </w:r>
      <w:r w:rsidRPr="00671239">
        <w:rPr>
          <w:rFonts w:eastAsia="新細明體"/>
        </w:rPr>
        <w:t>-CNGs (0.5</w:t>
      </w:r>
      <w:r w:rsidRPr="00671239">
        <w:rPr>
          <w:rFonts w:eastAsia="新細明體"/>
        </w:rPr>
        <w:sym w:font="Symbol" w:char="F02D"/>
      </w:r>
      <w:r w:rsidRPr="00671239">
        <w:rPr>
          <w:rFonts w:eastAsia="新細明體"/>
        </w:rPr>
        <w:t>10 mg).</w:t>
      </w:r>
      <w:r w:rsidR="00493D22">
        <w:rPr>
          <w:rFonts w:eastAsia="新細明體"/>
        </w:rPr>
        <w:t xml:space="preserve"> </w:t>
      </w:r>
    </w:p>
    <w:p w14:paraId="2366565A" w14:textId="280B91C4" w:rsidR="00493D22" w:rsidRDefault="00493D22" w:rsidP="00D638B1">
      <w:pPr>
        <w:spacing w:line="360" w:lineRule="auto"/>
        <w:jc w:val="both"/>
        <w:rPr>
          <w:rFonts w:eastAsia="新細明體"/>
        </w:rPr>
      </w:pPr>
    </w:p>
    <w:p w14:paraId="5EE3C23A" w14:textId="629F037C" w:rsidR="00493D22" w:rsidRDefault="00493D22" w:rsidP="00D638B1">
      <w:pPr>
        <w:spacing w:line="360" w:lineRule="auto"/>
        <w:jc w:val="both"/>
        <w:rPr>
          <w:rFonts w:eastAsia="新細明體"/>
        </w:rPr>
      </w:pPr>
    </w:p>
    <w:p w14:paraId="095592C7" w14:textId="3F9BAF26" w:rsidR="00493D22" w:rsidRDefault="00493D22" w:rsidP="00D638B1">
      <w:pPr>
        <w:spacing w:line="360" w:lineRule="auto"/>
        <w:jc w:val="both"/>
        <w:rPr>
          <w:rFonts w:eastAsia="新細明體"/>
        </w:rPr>
      </w:pPr>
    </w:p>
    <w:p w14:paraId="529B1893" w14:textId="230A9C17" w:rsidR="002505EA" w:rsidRDefault="002505EA" w:rsidP="00D638B1">
      <w:pPr>
        <w:spacing w:line="360" w:lineRule="auto"/>
        <w:jc w:val="both"/>
        <w:rPr>
          <w:rFonts w:eastAsia="新細明體"/>
        </w:rPr>
      </w:pPr>
    </w:p>
    <w:p w14:paraId="6912EC47" w14:textId="15FF5C67" w:rsidR="002505EA" w:rsidRDefault="002505EA" w:rsidP="00D638B1">
      <w:pPr>
        <w:spacing w:line="360" w:lineRule="auto"/>
        <w:jc w:val="both"/>
        <w:rPr>
          <w:rFonts w:eastAsia="新細明體"/>
        </w:rPr>
      </w:pPr>
    </w:p>
    <w:p w14:paraId="00889185" w14:textId="12435457" w:rsidR="002505EA" w:rsidRDefault="002505EA" w:rsidP="00D638B1">
      <w:pPr>
        <w:spacing w:line="360" w:lineRule="auto"/>
        <w:jc w:val="both"/>
        <w:rPr>
          <w:rFonts w:eastAsia="新細明體"/>
        </w:rPr>
      </w:pPr>
    </w:p>
    <w:p w14:paraId="3C0749D9" w14:textId="7EA8F0AB" w:rsidR="002505EA" w:rsidRDefault="002505EA" w:rsidP="00D638B1">
      <w:pPr>
        <w:spacing w:line="360" w:lineRule="auto"/>
        <w:jc w:val="both"/>
        <w:rPr>
          <w:rFonts w:eastAsia="新細明體"/>
        </w:rPr>
      </w:pPr>
    </w:p>
    <w:p w14:paraId="3225C8C2" w14:textId="6E937F09" w:rsidR="002505EA" w:rsidRDefault="002505EA" w:rsidP="00D638B1">
      <w:pPr>
        <w:spacing w:line="360" w:lineRule="auto"/>
        <w:jc w:val="both"/>
        <w:rPr>
          <w:rFonts w:eastAsia="新細明體"/>
        </w:rPr>
      </w:pPr>
    </w:p>
    <w:p w14:paraId="2B7D5DD4" w14:textId="038554AD" w:rsidR="002505EA" w:rsidRDefault="002505EA" w:rsidP="00D638B1">
      <w:pPr>
        <w:spacing w:line="360" w:lineRule="auto"/>
        <w:jc w:val="both"/>
        <w:rPr>
          <w:rFonts w:eastAsia="新細明體"/>
        </w:rPr>
      </w:pPr>
    </w:p>
    <w:p w14:paraId="2D0E2F57" w14:textId="143AE2D1" w:rsidR="002505EA" w:rsidRDefault="002505EA" w:rsidP="00D638B1">
      <w:pPr>
        <w:spacing w:line="360" w:lineRule="auto"/>
        <w:jc w:val="both"/>
        <w:rPr>
          <w:rFonts w:eastAsia="新細明體"/>
        </w:rPr>
      </w:pPr>
    </w:p>
    <w:p w14:paraId="321C26F8" w14:textId="7D0FD706" w:rsidR="002505EA" w:rsidRDefault="002505EA" w:rsidP="00D638B1">
      <w:pPr>
        <w:spacing w:line="360" w:lineRule="auto"/>
        <w:jc w:val="both"/>
        <w:rPr>
          <w:rFonts w:eastAsia="新細明體"/>
        </w:rPr>
      </w:pPr>
    </w:p>
    <w:p w14:paraId="63B906B3" w14:textId="4C42F53E" w:rsidR="002505EA" w:rsidRDefault="002505EA" w:rsidP="00D638B1">
      <w:pPr>
        <w:spacing w:line="360" w:lineRule="auto"/>
        <w:jc w:val="both"/>
        <w:rPr>
          <w:rFonts w:eastAsia="新細明體"/>
        </w:rPr>
      </w:pPr>
    </w:p>
    <w:p w14:paraId="3FC71ACC" w14:textId="545BE4B1" w:rsidR="002505EA" w:rsidRDefault="002505EA" w:rsidP="00D638B1">
      <w:pPr>
        <w:spacing w:line="360" w:lineRule="auto"/>
        <w:jc w:val="both"/>
        <w:rPr>
          <w:rFonts w:eastAsia="新細明體"/>
        </w:rPr>
      </w:pPr>
    </w:p>
    <w:p w14:paraId="6461394F" w14:textId="00E071D5" w:rsidR="002505EA" w:rsidRDefault="002505EA" w:rsidP="00D638B1">
      <w:pPr>
        <w:spacing w:line="360" w:lineRule="auto"/>
        <w:jc w:val="both"/>
        <w:rPr>
          <w:rFonts w:eastAsia="新細明體"/>
        </w:rPr>
      </w:pPr>
    </w:p>
    <w:p w14:paraId="3D7B9B98" w14:textId="4A0CFE4C" w:rsidR="002505EA" w:rsidRDefault="002505EA" w:rsidP="00D638B1">
      <w:pPr>
        <w:spacing w:line="360" w:lineRule="auto"/>
        <w:jc w:val="both"/>
        <w:rPr>
          <w:rFonts w:eastAsia="新細明體"/>
        </w:rPr>
      </w:pPr>
    </w:p>
    <w:p w14:paraId="6F847403" w14:textId="47637F17" w:rsidR="002505EA" w:rsidRDefault="002505EA" w:rsidP="00D638B1">
      <w:pPr>
        <w:spacing w:line="360" w:lineRule="auto"/>
        <w:jc w:val="both"/>
        <w:rPr>
          <w:rFonts w:eastAsia="新細明體"/>
        </w:rPr>
      </w:pPr>
    </w:p>
    <w:p w14:paraId="4F0F73B1" w14:textId="1ED61B14" w:rsidR="002505EA" w:rsidRDefault="002505EA" w:rsidP="00D638B1">
      <w:pPr>
        <w:spacing w:line="360" w:lineRule="auto"/>
        <w:jc w:val="both"/>
        <w:rPr>
          <w:rFonts w:eastAsia="新細明體"/>
        </w:rPr>
      </w:pPr>
    </w:p>
    <w:p w14:paraId="39EE7550" w14:textId="77777777" w:rsidR="00D638B1" w:rsidRPr="00671239" w:rsidRDefault="00D638B1" w:rsidP="00D638B1">
      <w:pPr>
        <w:spacing w:line="360" w:lineRule="auto"/>
        <w:jc w:val="center"/>
        <w:rPr>
          <w:rFonts w:eastAsia="新細明體"/>
          <w:b/>
          <w:bCs/>
          <w:i/>
          <w:iCs/>
        </w:rPr>
      </w:pPr>
      <w:r w:rsidRPr="00671239">
        <w:rPr>
          <w:rFonts w:eastAsia="新細明體"/>
          <w:b/>
          <w:bCs/>
          <w:i/>
          <w:iCs/>
          <w:noProof/>
          <w:lang w:eastAsia="zh-TW"/>
        </w:rPr>
        <w:drawing>
          <wp:inline distT="0" distB="0" distL="0" distR="0" wp14:anchorId="632EE4B4" wp14:editId="2E06DA85">
            <wp:extent cx="5875699" cy="3749242"/>
            <wp:effectExtent l="0" t="0" r="0" b="381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83617" cy="3754294"/>
                    </a:xfrm>
                    <a:prstGeom prst="rect">
                      <a:avLst/>
                    </a:prstGeom>
                  </pic:spPr>
                </pic:pic>
              </a:graphicData>
            </a:graphic>
          </wp:inline>
        </w:drawing>
      </w:r>
    </w:p>
    <w:p w14:paraId="0C175AD4" w14:textId="44C3947A" w:rsidR="00D638B1" w:rsidRDefault="00D638B1" w:rsidP="00D638B1">
      <w:pPr>
        <w:spacing w:line="360" w:lineRule="auto"/>
        <w:jc w:val="both"/>
        <w:rPr>
          <w:rFonts w:eastAsia="新細明體"/>
        </w:rPr>
      </w:pPr>
      <w:r w:rsidRPr="00671239">
        <w:rPr>
          <w:rFonts w:eastAsia="新細明體"/>
          <w:b/>
          <w:bCs/>
          <w:iCs/>
        </w:rPr>
        <w:t>Fig. S13</w:t>
      </w:r>
      <w:r w:rsidRPr="00671239">
        <w:rPr>
          <w:rFonts w:eastAsia="新細明體"/>
          <w:b/>
          <w:bCs/>
          <w:i/>
          <w:iCs/>
        </w:rPr>
        <w:t xml:space="preserve"> </w:t>
      </w:r>
      <w:r w:rsidRPr="00671239">
        <w:rPr>
          <w:rFonts w:eastAsia="新細明體"/>
        </w:rPr>
        <w:t>Microbiota composition at the (A) phylum and (B) genus level with relative abundance for the top ten. (S1 and S4) commercial feed, and commercial feed with DAO/DEX</w:t>
      </w:r>
      <w:r w:rsidRPr="00671239">
        <w:rPr>
          <w:rFonts w:eastAsia="新細明體"/>
          <w:vertAlign w:val="subscript"/>
        </w:rPr>
        <w:t>5.0</w:t>
      </w:r>
      <w:r w:rsidRPr="00671239">
        <w:rPr>
          <w:rFonts w:eastAsia="新細明體"/>
        </w:rPr>
        <w:t>-CNGs additives of (S2 and S5) 10 μg g</w:t>
      </w:r>
      <w:r w:rsidRPr="00671239">
        <w:rPr>
          <w:rFonts w:eastAsia="新細明體"/>
          <w:vertAlign w:val="superscript"/>
        </w:rPr>
        <w:t>-1</w:t>
      </w:r>
      <w:r w:rsidRPr="00671239">
        <w:rPr>
          <w:rFonts w:eastAsia="新細明體"/>
        </w:rPr>
        <w:t xml:space="preserve"> or (S3 and S6) 100 μg g</w:t>
      </w:r>
      <w:r w:rsidRPr="00671239">
        <w:rPr>
          <w:rFonts w:eastAsia="新細明體"/>
          <w:vertAlign w:val="superscript"/>
        </w:rPr>
        <w:t>-1</w:t>
      </w:r>
      <w:r w:rsidRPr="00671239">
        <w:rPr>
          <w:rFonts w:eastAsia="新細明體"/>
        </w:rPr>
        <w:t xml:space="preserve">; (S4 to S6) </w:t>
      </w:r>
      <w:r w:rsidRPr="00671239">
        <w:rPr>
          <w:rFonts w:eastAsia="新細明體"/>
          <w:i/>
        </w:rPr>
        <w:t>V. parahaemolyticus</w:t>
      </w:r>
      <w:r w:rsidRPr="00671239">
        <w:rPr>
          <w:rFonts w:eastAsia="新細明體"/>
        </w:rPr>
        <w:t xml:space="preserve"> challenge after </w:t>
      </w:r>
      <w:r w:rsidR="008E3F94" w:rsidRPr="00671239">
        <w:rPr>
          <w:rFonts w:eastAsia="新細明體"/>
        </w:rPr>
        <w:t xml:space="preserve">a </w:t>
      </w:r>
      <w:r w:rsidRPr="00671239">
        <w:rPr>
          <w:rFonts w:eastAsia="新細明體"/>
        </w:rPr>
        <w:t>feed.</w:t>
      </w:r>
      <w:r w:rsidR="00493D22">
        <w:rPr>
          <w:rFonts w:eastAsia="新細明體"/>
        </w:rPr>
        <w:t xml:space="preserve"> </w:t>
      </w:r>
    </w:p>
    <w:p w14:paraId="17DA9011" w14:textId="36D5A5FB" w:rsidR="00493D22" w:rsidRDefault="00493D22" w:rsidP="00D638B1">
      <w:pPr>
        <w:spacing w:line="360" w:lineRule="auto"/>
        <w:jc w:val="both"/>
        <w:rPr>
          <w:rFonts w:eastAsia="新細明體"/>
        </w:rPr>
      </w:pPr>
    </w:p>
    <w:p w14:paraId="3D4D64CD" w14:textId="5D20E569" w:rsidR="00493D22" w:rsidRDefault="00493D22" w:rsidP="00D638B1">
      <w:pPr>
        <w:spacing w:line="360" w:lineRule="auto"/>
        <w:jc w:val="both"/>
        <w:rPr>
          <w:rFonts w:eastAsia="新細明體"/>
        </w:rPr>
      </w:pPr>
    </w:p>
    <w:p w14:paraId="520DDE49" w14:textId="79157AFF" w:rsidR="00493D22" w:rsidRDefault="00493D22" w:rsidP="00D638B1">
      <w:pPr>
        <w:spacing w:line="360" w:lineRule="auto"/>
        <w:jc w:val="both"/>
        <w:rPr>
          <w:rFonts w:eastAsia="新細明體"/>
        </w:rPr>
      </w:pPr>
    </w:p>
    <w:p w14:paraId="481C78BB" w14:textId="7020AF1A" w:rsidR="00493D22" w:rsidRDefault="00493D22" w:rsidP="00D638B1">
      <w:pPr>
        <w:spacing w:line="360" w:lineRule="auto"/>
        <w:jc w:val="both"/>
        <w:rPr>
          <w:rFonts w:eastAsia="新細明體"/>
        </w:rPr>
      </w:pPr>
    </w:p>
    <w:p w14:paraId="30EA6385" w14:textId="2AF8AE86" w:rsidR="00244482" w:rsidRDefault="00244482" w:rsidP="00D638B1">
      <w:pPr>
        <w:spacing w:line="360" w:lineRule="auto"/>
        <w:jc w:val="both"/>
        <w:rPr>
          <w:rFonts w:eastAsia="新細明體"/>
        </w:rPr>
      </w:pPr>
    </w:p>
    <w:p w14:paraId="214C0FEA" w14:textId="7E0B578D" w:rsidR="00244482" w:rsidRDefault="00244482" w:rsidP="00D638B1">
      <w:pPr>
        <w:spacing w:line="360" w:lineRule="auto"/>
        <w:jc w:val="both"/>
        <w:rPr>
          <w:rFonts w:eastAsia="新細明體"/>
        </w:rPr>
      </w:pPr>
    </w:p>
    <w:p w14:paraId="142AAA5F" w14:textId="43D6B296" w:rsidR="00244482" w:rsidRDefault="00244482" w:rsidP="00D638B1">
      <w:pPr>
        <w:spacing w:line="360" w:lineRule="auto"/>
        <w:jc w:val="both"/>
        <w:rPr>
          <w:rFonts w:eastAsia="新細明體"/>
        </w:rPr>
      </w:pPr>
    </w:p>
    <w:p w14:paraId="1E8E078D" w14:textId="49C464A5" w:rsidR="00244482" w:rsidRDefault="00244482" w:rsidP="00D638B1">
      <w:pPr>
        <w:spacing w:line="360" w:lineRule="auto"/>
        <w:jc w:val="both"/>
        <w:rPr>
          <w:rFonts w:eastAsia="新細明體"/>
        </w:rPr>
      </w:pPr>
    </w:p>
    <w:p w14:paraId="0E55DF2B" w14:textId="0F5F2434" w:rsidR="00244482" w:rsidRDefault="00244482" w:rsidP="00D638B1">
      <w:pPr>
        <w:spacing w:line="360" w:lineRule="auto"/>
        <w:jc w:val="both"/>
        <w:rPr>
          <w:rFonts w:eastAsia="新細明體"/>
        </w:rPr>
      </w:pPr>
    </w:p>
    <w:p w14:paraId="4FFC9F7A" w14:textId="297EFB31" w:rsidR="00244482" w:rsidRDefault="00244482" w:rsidP="00D638B1">
      <w:pPr>
        <w:spacing w:line="360" w:lineRule="auto"/>
        <w:jc w:val="both"/>
        <w:rPr>
          <w:rFonts w:eastAsia="新細明體"/>
        </w:rPr>
      </w:pPr>
    </w:p>
    <w:p w14:paraId="0777418C" w14:textId="051A5AED" w:rsidR="00244482" w:rsidRDefault="00244482" w:rsidP="00D638B1">
      <w:pPr>
        <w:spacing w:line="360" w:lineRule="auto"/>
        <w:jc w:val="both"/>
        <w:rPr>
          <w:rFonts w:eastAsia="新細明體"/>
        </w:rPr>
      </w:pPr>
    </w:p>
    <w:p w14:paraId="1753A306" w14:textId="77777777" w:rsidR="00D638B1" w:rsidRPr="00671239" w:rsidRDefault="00D638B1" w:rsidP="00244482">
      <w:pPr>
        <w:jc w:val="center"/>
        <w:rPr>
          <w:rFonts w:eastAsia="新細明體"/>
          <w:szCs w:val="24"/>
        </w:rPr>
      </w:pPr>
      <w:r w:rsidRPr="00671239">
        <w:rPr>
          <w:rFonts w:eastAsia="新細明體"/>
          <w:noProof/>
          <w:szCs w:val="24"/>
          <w:lang w:eastAsia="zh-TW"/>
        </w:rPr>
        <w:drawing>
          <wp:inline distT="0" distB="0" distL="0" distR="0" wp14:anchorId="7F4BAE57" wp14:editId="156C3146">
            <wp:extent cx="5274310" cy="3186430"/>
            <wp:effectExtent l="0" t="0" r="0" b="1270"/>
            <wp:docPr id="14" name="圖片 14" descr="分析組別不符合操作需求，因此無法產生分析結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分析組別不符合操作需求，因此無法產生分析結果。"/>
                    <pic:cNvPicPr>
                      <a:picLocks noChangeAspect="1" noChangeArrowheads="1"/>
                    </pic:cNvPicPr>
                  </pic:nvPicPr>
                  <pic:blipFill>
                    <a:blip r:embed="rId25" cstate="print">
                      <a:extLst>
                        <a:ext uri="{28A0092B-C50C-407E-A947-70E740481C1C}">
                          <a14:useLocalDpi xmlns:a14="http://schemas.microsoft.com/office/drawing/2010/main"/>
                        </a:ext>
                      </a:extLst>
                    </a:blip>
                    <a:srcRect/>
                    <a:stretch>
                      <a:fillRect/>
                    </a:stretch>
                  </pic:blipFill>
                  <pic:spPr bwMode="auto">
                    <a:xfrm>
                      <a:off x="0" y="0"/>
                      <a:ext cx="5274310" cy="3186430"/>
                    </a:xfrm>
                    <a:prstGeom prst="rect">
                      <a:avLst/>
                    </a:prstGeom>
                    <a:noFill/>
                    <a:ln>
                      <a:noFill/>
                    </a:ln>
                  </pic:spPr>
                </pic:pic>
              </a:graphicData>
            </a:graphic>
          </wp:inline>
        </w:drawing>
      </w:r>
    </w:p>
    <w:p w14:paraId="211F0B16" w14:textId="415D61D0" w:rsidR="00D638B1" w:rsidRDefault="00D638B1" w:rsidP="00D638B1">
      <w:pPr>
        <w:spacing w:line="360" w:lineRule="auto"/>
        <w:jc w:val="both"/>
        <w:rPr>
          <w:rFonts w:eastAsia="新細明體"/>
        </w:rPr>
      </w:pPr>
      <w:r w:rsidRPr="00671239">
        <w:rPr>
          <w:rFonts w:eastAsia="新細明體"/>
          <w:b/>
          <w:bCs/>
          <w:iCs/>
        </w:rPr>
        <w:t>Fig. S14</w:t>
      </w:r>
      <w:r w:rsidRPr="00671239">
        <w:rPr>
          <w:rFonts w:eastAsia="新細明體"/>
        </w:rPr>
        <w:t xml:space="preserve"> The t-SNE analysis shows the similarity of each sample. (S1 and S4) commercial feed, and commercial feed with DAO/DEX</w:t>
      </w:r>
      <w:r w:rsidRPr="00671239">
        <w:rPr>
          <w:rFonts w:eastAsia="新細明體"/>
          <w:vertAlign w:val="subscript"/>
        </w:rPr>
        <w:t>5.0</w:t>
      </w:r>
      <w:r w:rsidRPr="00671239">
        <w:rPr>
          <w:rFonts w:eastAsia="新細明體"/>
        </w:rPr>
        <w:t>-CNGs additives of (S2 and S5) 10 μg g</w:t>
      </w:r>
      <w:r w:rsidRPr="00671239">
        <w:rPr>
          <w:rFonts w:eastAsia="新細明體"/>
          <w:vertAlign w:val="superscript"/>
        </w:rPr>
        <w:t>-1</w:t>
      </w:r>
      <w:r w:rsidRPr="00671239">
        <w:rPr>
          <w:rFonts w:eastAsia="新細明體"/>
        </w:rPr>
        <w:t xml:space="preserve"> or (S3 and S6) 100 μg g</w:t>
      </w:r>
      <w:r w:rsidRPr="00671239">
        <w:rPr>
          <w:rFonts w:eastAsia="新細明體"/>
          <w:vertAlign w:val="superscript"/>
        </w:rPr>
        <w:t>-1</w:t>
      </w:r>
      <w:r w:rsidRPr="00671239">
        <w:rPr>
          <w:rFonts w:eastAsia="新細明體"/>
        </w:rPr>
        <w:t xml:space="preserve">; (S4 to S6) </w:t>
      </w:r>
      <w:r w:rsidRPr="00671239">
        <w:rPr>
          <w:rFonts w:eastAsia="新細明體"/>
          <w:i/>
        </w:rPr>
        <w:t>V. parahaemolyticus</w:t>
      </w:r>
      <w:r w:rsidRPr="00671239">
        <w:rPr>
          <w:rFonts w:eastAsia="新細明體"/>
        </w:rPr>
        <w:t xml:space="preserve"> challenge after </w:t>
      </w:r>
      <w:r w:rsidR="008E3F94" w:rsidRPr="00671239">
        <w:rPr>
          <w:rFonts w:eastAsia="新細明體"/>
        </w:rPr>
        <w:t xml:space="preserve">a </w:t>
      </w:r>
      <w:r w:rsidRPr="00671239">
        <w:rPr>
          <w:rFonts w:eastAsia="新細明體"/>
        </w:rPr>
        <w:t>feed.</w:t>
      </w:r>
      <w:r w:rsidR="00493D22">
        <w:rPr>
          <w:rFonts w:eastAsia="新細明體"/>
        </w:rPr>
        <w:t xml:space="preserve"> </w:t>
      </w:r>
    </w:p>
    <w:p w14:paraId="21C18435" w14:textId="17F9A6E5" w:rsidR="00493D22" w:rsidRDefault="00493D22" w:rsidP="00D638B1">
      <w:pPr>
        <w:spacing w:line="360" w:lineRule="auto"/>
        <w:jc w:val="both"/>
        <w:rPr>
          <w:rFonts w:eastAsia="新細明體"/>
        </w:rPr>
      </w:pPr>
    </w:p>
    <w:p w14:paraId="5F845729" w14:textId="7310B408" w:rsidR="00493D22" w:rsidRDefault="00493D22" w:rsidP="00D638B1">
      <w:pPr>
        <w:spacing w:line="360" w:lineRule="auto"/>
        <w:jc w:val="both"/>
        <w:rPr>
          <w:rFonts w:eastAsia="新細明體"/>
        </w:rPr>
      </w:pPr>
    </w:p>
    <w:p w14:paraId="62D78593" w14:textId="3D783AA8" w:rsidR="00493D22" w:rsidRDefault="00493D22" w:rsidP="00D638B1">
      <w:pPr>
        <w:spacing w:line="360" w:lineRule="auto"/>
        <w:jc w:val="both"/>
        <w:rPr>
          <w:rFonts w:eastAsia="新細明體"/>
        </w:rPr>
      </w:pPr>
    </w:p>
    <w:p w14:paraId="486F0E74" w14:textId="678A66A8" w:rsidR="00244482" w:rsidRDefault="00244482" w:rsidP="00D638B1">
      <w:pPr>
        <w:spacing w:line="360" w:lineRule="auto"/>
        <w:jc w:val="both"/>
        <w:rPr>
          <w:rFonts w:eastAsia="新細明體"/>
        </w:rPr>
      </w:pPr>
    </w:p>
    <w:p w14:paraId="43913829" w14:textId="352463C6" w:rsidR="00244482" w:rsidRDefault="00244482" w:rsidP="00D638B1">
      <w:pPr>
        <w:spacing w:line="360" w:lineRule="auto"/>
        <w:jc w:val="both"/>
        <w:rPr>
          <w:rFonts w:eastAsia="新細明體"/>
        </w:rPr>
      </w:pPr>
    </w:p>
    <w:p w14:paraId="50146577" w14:textId="39856B76" w:rsidR="00244482" w:rsidRDefault="00244482" w:rsidP="00D638B1">
      <w:pPr>
        <w:spacing w:line="360" w:lineRule="auto"/>
        <w:jc w:val="both"/>
        <w:rPr>
          <w:rFonts w:eastAsia="新細明體"/>
        </w:rPr>
      </w:pPr>
    </w:p>
    <w:p w14:paraId="4E78508E" w14:textId="78B72462" w:rsidR="00244482" w:rsidRDefault="00244482" w:rsidP="00D638B1">
      <w:pPr>
        <w:spacing w:line="360" w:lineRule="auto"/>
        <w:jc w:val="both"/>
        <w:rPr>
          <w:rFonts w:eastAsia="新細明體"/>
        </w:rPr>
      </w:pPr>
    </w:p>
    <w:p w14:paraId="24FBCAC6" w14:textId="6A9EDB7A" w:rsidR="00244482" w:rsidRDefault="00244482" w:rsidP="00D638B1">
      <w:pPr>
        <w:spacing w:line="360" w:lineRule="auto"/>
        <w:jc w:val="both"/>
        <w:rPr>
          <w:rFonts w:eastAsia="新細明體"/>
        </w:rPr>
      </w:pPr>
    </w:p>
    <w:p w14:paraId="6B56D772" w14:textId="7D94217A" w:rsidR="00244482" w:rsidRDefault="00244482" w:rsidP="00D638B1">
      <w:pPr>
        <w:spacing w:line="360" w:lineRule="auto"/>
        <w:jc w:val="both"/>
        <w:rPr>
          <w:rFonts w:eastAsia="新細明體"/>
        </w:rPr>
      </w:pPr>
    </w:p>
    <w:p w14:paraId="36D54945" w14:textId="2F68B0F6" w:rsidR="00244482" w:rsidRDefault="00244482" w:rsidP="00D638B1">
      <w:pPr>
        <w:spacing w:line="360" w:lineRule="auto"/>
        <w:jc w:val="both"/>
        <w:rPr>
          <w:rFonts w:eastAsia="新細明體"/>
        </w:rPr>
      </w:pPr>
    </w:p>
    <w:p w14:paraId="5E599F7D" w14:textId="2F485B3F" w:rsidR="00244482" w:rsidRDefault="00244482" w:rsidP="00D638B1">
      <w:pPr>
        <w:spacing w:line="360" w:lineRule="auto"/>
        <w:jc w:val="both"/>
        <w:rPr>
          <w:rFonts w:eastAsia="新細明體"/>
        </w:rPr>
      </w:pPr>
    </w:p>
    <w:p w14:paraId="05E15BC1" w14:textId="3189A2C0" w:rsidR="00244482" w:rsidRDefault="00244482" w:rsidP="00D638B1">
      <w:pPr>
        <w:spacing w:line="360" w:lineRule="auto"/>
        <w:jc w:val="both"/>
        <w:rPr>
          <w:rFonts w:eastAsia="新細明體"/>
        </w:rPr>
      </w:pPr>
    </w:p>
    <w:p w14:paraId="08357CF7" w14:textId="0707C1B6" w:rsidR="00244482" w:rsidRDefault="00244482" w:rsidP="00D638B1">
      <w:pPr>
        <w:spacing w:line="360" w:lineRule="auto"/>
        <w:jc w:val="both"/>
        <w:rPr>
          <w:rFonts w:eastAsia="新細明體"/>
        </w:rPr>
      </w:pPr>
    </w:p>
    <w:p w14:paraId="5C87A1F7" w14:textId="77777777" w:rsidR="00D638B1" w:rsidRPr="00671239" w:rsidRDefault="00D638B1" w:rsidP="00244482">
      <w:pPr>
        <w:spacing w:line="360" w:lineRule="auto"/>
        <w:jc w:val="center"/>
        <w:rPr>
          <w:rFonts w:eastAsia="Arial Unicode MS"/>
          <w:bCs/>
        </w:rPr>
      </w:pPr>
      <w:r w:rsidRPr="00671239">
        <w:rPr>
          <w:rFonts w:eastAsia="Arial Unicode MS"/>
          <w:bCs/>
          <w:noProof/>
          <w:lang w:eastAsia="zh-TW"/>
        </w:rPr>
        <w:drawing>
          <wp:inline distT="0" distB="0" distL="0" distR="0" wp14:anchorId="72AB1308" wp14:editId="28061A7C">
            <wp:extent cx="5270500" cy="2482215"/>
            <wp:effectExtent l="0" t="0" r="0" b="0"/>
            <wp:docPr id="451" name="圖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0500" cy="2482215"/>
                    </a:xfrm>
                    <a:prstGeom prst="rect">
                      <a:avLst/>
                    </a:prstGeom>
                  </pic:spPr>
                </pic:pic>
              </a:graphicData>
            </a:graphic>
          </wp:inline>
        </w:drawing>
      </w:r>
    </w:p>
    <w:p w14:paraId="5A5D7265" w14:textId="6B777CC4" w:rsidR="008E351E" w:rsidRPr="00671239" w:rsidRDefault="00D638B1" w:rsidP="00D638B1">
      <w:pPr>
        <w:spacing w:line="360" w:lineRule="auto"/>
        <w:jc w:val="both"/>
        <w:rPr>
          <w:rFonts w:eastAsia="新細明體"/>
        </w:rPr>
      </w:pPr>
      <w:r w:rsidRPr="00671239">
        <w:rPr>
          <w:rFonts w:eastAsia="新細明體"/>
          <w:b/>
          <w:bCs/>
          <w:iCs/>
        </w:rPr>
        <w:t>Fig. S15</w:t>
      </w:r>
      <w:r w:rsidRPr="00671239">
        <w:rPr>
          <w:rFonts w:eastAsia="新細明體"/>
        </w:rPr>
        <w:t xml:space="preserve"> (A) OTU number and (B) microbial diversity of </w:t>
      </w:r>
      <w:r w:rsidRPr="00671239">
        <w:rPr>
          <w:rFonts w:eastAsia="新細明體"/>
          <w:szCs w:val="24"/>
        </w:rPr>
        <w:t>gut microbiota</w:t>
      </w:r>
      <w:r w:rsidRPr="00671239">
        <w:rPr>
          <w:rFonts w:eastAsia="新細明體"/>
        </w:rPr>
        <w:t xml:space="preserve"> from </w:t>
      </w:r>
      <w:r w:rsidRPr="00671239">
        <w:rPr>
          <w:rFonts w:eastAsia="新細明體" w:hint="eastAsia"/>
        </w:rPr>
        <w:t>w</w:t>
      </w:r>
      <w:r w:rsidRPr="00671239">
        <w:rPr>
          <w:rFonts w:eastAsia="新細明體"/>
        </w:rPr>
        <w:t>hiteleg shrimp fed with commercial feed in the absence or presence of DAO/DEX</w:t>
      </w:r>
      <w:r w:rsidRPr="00671239">
        <w:rPr>
          <w:rFonts w:eastAsia="新細明體"/>
          <w:vertAlign w:val="subscript"/>
        </w:rPr>
        <w:t>5.0</w:t>
      </w:r>
      <w:r w:rsidRPr="00671239">
        <w:rPr>
          <w:rFonts w:eastAsia="新細明體"/>
        </w:rPr>
        <w:t xml:space="preserve">-CNGs additives without or with </w:t>
      </w:r>
      <w:r w:rsidRPr="00671239">
        <w:rPr>
          <w:rFonts w:eastAsia="新細明體"/>
          <w:i/>
        </w:rPr>
        <w:t>V. parahaemolyticus</w:t>
      </w:r>
      <w:r w:rsidRPr="00671239">
        <w:rPr>
          <w:rFonts w:eastAsia="新細明體"/>
        </w:rPr>
        <w:t xml:space="preserve"> infection. (S1) commercial feed, and commercial feed with DAO/DEX</w:t>
      </w:r>
      <w:r w:rsidRPr="00671239">
        <w:rPr>
          <w:rFonts w:eastAsia="新細明體"/>
          <w:vertAlign w:val="subscript"/>
        </w:rPr>
        <w:t>5.0</w:t>
      </w:r>
      <w:r w:rsidRPr="00671239">
        <w:rPr>
          <w:rFonts w:eastAsia="新細明體"/>
        </w:rPr>
        <w:t>-CNGs additives of (S2) 10 μg g</w:t>
      </w:r>
      <w:r w:rsidRPr="00671239">
        <w:rPr>
          <w:rFonts w:eastAsia="新細明體"/>
          <w:vertAlign w:val="superscript"/>
        </w:rPr>
        <w:t>-1</w:t>
      </w:r>
      <w:r w:rsidRPr="00671239">
        <w:rPr>
          <w:rFonts w:eastAsia="新細明體"/>
        </w:rPr>
        <w:t xml:space="preserve"> or (S3) 100 μg g</w:t>
      </w:r>
      <w:r w:rsidRPr="00671239">
        <w:rPr>
          <w:rFonts w:eastAsia="新細明體"/>
          <w:vertAlign w:val="superscript"/>
        </w:rPr>
        <w:t>-1</w:t>
      </w:r>
      <w:r w:rsidRPr="00671239">
        <w:rPr>
          <w:rFonts w:eastAsia="新細明體"/>
        </w:rPr>
        <w:t xml:space="preserve">; (S4) commercial feed followed by </w:t>
      </w:r>
      <w:r w:rsidRPr="00671239">
        <w:rPr>
          <w:rFonts w:eastAsia="新細明體"/>
          <w:i/>
        </w:rPr>
        <w:t>V. parahaemolyticus</w:t>
      </w:r>
      <w:r w:rsidRPr="00671239">
        <w:rPr>
          <w:rFonts w:eastAsia="新細明體"/>
        </w:rPr>
        <w:t xml:space="preserve"> challenge, and commercial feed with DAO/DEX</w:t>
      </w:r>
      <w:r w:rsidRPr="00671239">
        <w:rPr>
          <w:rFonts w:eastAsia="新細明體"/>
          <w:vertAlign w:val="subscript"/>
        </w:rPr>
        <w:t>5.0</w:t>
      </w:r>
      <w:r w:rsidRPr="00671239">
        <w:rPr>
          <w:rFonts w:eastAsia="新細明體"/>
        </w:rPr>
        <w:t>-CNGs additives of (S5) 10 μg g</w:t>
      </w:r>
      <w:r w:rsidRPr="00671239">
        <w:rPr>
          <w:rFonts w:eastAsia="新細明體"/>
          <w:vertAlign w:val="superscript"/>
        </w:rPr>
        <w:t>-1</w:t>
      </w:r>
      <w:r w:rsidRPr="00671239">
        <w:rPr>
          <w:rFonts w:eastAsia="新細明體"/>
        </w:rPr>
        <w:t xml:space="preserve"> or (S6) 100 μg g</w:t>
      </w:r>
      <w:r w:rsidRPr="00671239">
        <w:rPr>
          <w:rFonts w:eastAsia="新細明體"/>
          <w:vertAlign w:val="superscript"/>
        </w:rPr>
        <w:t>-1</w:t>
      </w:r>
      <w:r w:rsidRPr="00671239">
        <w:rPr>
          <w:rFonts w:eastAsia="新細明體"/>
        </w:rPr>
        <w:t xml:space="preserve"> followed by </w:t>
      </w:r>
      <w:r w:rsidRPr="00671239">
        <w:rPr>
          <w:rFonts w:eastAsia="新細明體"/>
          <w:i/>
        </w:rPr>
        <w:t>V. parahaemolyticus</w:t>
      </w:r>
      <w:r w:rsidRPr="00671239">
        <w:rPr>
          <w:rFonts w:eastAsia="新細明體"/>
        </w:rPr>
        <w:t xml:space="preserve"> challenge.</w:t>
      </w:r>
    </w:p>
    <w:p w14:paraId="3BD02B35" w14:textId="77777777" w:rsidR="008E351E" w:rsidRPr="00671239" w:rsidRDefault="008E351E" w:rsidP="008E351E">
      <w:pPr>
        <w:rPr>
          <w:rFonts w:eastAsia="新細明體"/>
        </w:rPr>
      </w:pPr>
    </w:p>
    <w:p w14:paraId="436C86D4" w14:textId="485B6571" w:rsidR="008E351E" w:rsidRDefault="008E351E" w:rsidP="008E351E">
      <w:pPr>
        <w:rPr>
          <w:rFonts w:eastAsia="新細明體"/>
        </w:rPr>
      </w:pPr>
    </w:p>
    <w:p w14:paraId="754F7CE2" w14:textId="0576EC55" w:rsidR="00FD14B9" w:rsidRDefault="00FD14B9" w:rsidP="008E351E">
      <w:pPr>
        <w:rPr>
          <w:rFonts w:eastAsia="新細明體"/>
        </w:rPr>
      </w:pPr>
    </w:p>
    <w:p w14:paraId="3E5520AB" w14:textId="62D304E7" w:rsidR="00FD14B9" w:rsidRDefault="00FD14B9" w:rsidP="008E351E">
      <w:pPr>
        <w:rPr>
          <w:rFonts w:eastAsia="新細明體"/>
        </w:rPr>
      </w:pPr>
    </w:p>
    <w:p w14:paraId="54700861" w14:textId="68FE51BE" w:rsidR="00FD14B9" w:rsidRDefault="00FD14B9" w:rsidP="008E351E">
      <w:pPr>
        <w:rPr>
          <w:rFonts w:eastAsia="新細明體"/>
        </w:rPr>
      </w:pPr>
    </w:p>
    <w:p w14:paraId="12894A0C" w14:textId="2615ACAD" w:rsidR="00FD14B9" w:rsidRDefault="00FD14B9" w:rsidP="008E351E">
      <w:pPr>
        <w:rPr>
          <w:rFonts w:eastAsia="新細明體"/>
        </w:rPr>
      </w:pPr>
    </w:p>
    <w:p w14:paraId="288E2F95" w14:textId="71C42C96" w:rsidR="00244482" w:rsidRDefault="00244482" w:rsidP="008E351E">
      <w:pPr>
        <w:rPr>
          <w:rFonts w:eastAsia="新細明體"/>
        </w:rPr>
      </w:pPr>
    </w:p>
    <w:p w14:paraId="0DEF5EF2" w14:textId="331A257C" w:rsidR="00244482" w:rsidRDefault="00244482" w:rsidP="008E351E">
      <w:pPr>
        <w:rPr>
          <w:rFonts w:eastAsia="新細明體"/>
        </w:rPr>
      </w:pPr>
    </w:p>
    <w:p w14:paraId="0D1CC909" w14:textId="24592095" w:rsidR="00244482" w:rsidRDefault="00244482" w:rsidP="008E351E">
      <w:pPr>
        <w:rPr>
          <w:rFonts w:eastAsia="新細明體"/>
        </w:rPr>
      </w:pPr>
    </w:p>
    <w:p w14:paraId="0A43C475" w14:textId="64D46530" w:rsidR="00244482" w:rsidRDefault="00244482" w:rsidP="008E351E">
      <w:pPr>
        <w:rPr>
          <w:rFonts w:eastAsia="新細明體"/>
        </w:rPr>
      </w:pPr>
    </w:p>
    <w:p w14:paraId="433AD47A" w14:textId="42F637B1" w:rsidR="00244482" w:rsidRDefault="00244482" w:rsidP="008E351E">
      <w:pPr>
        <w:rPr>
          <w:rFonts w:eastAsia="新細明體"/>
        </w:rPr>
      </w:pPr>
    </w:p>
    <w:p w14:paraId="7AC3664D" w14:textId="3538927B" w:rsidR="00244482" w:rsidRDefault="00244482" w:rsidP="008E351E">
      <w:pPr>
        <w:rPr>
          <w:rFonts w:eastAsia="新細明體"/>
        </w:rPr>
      </w:pPr>
    </w:p>
    <w:p w14:paraId="565851EC" w14:textId="154BB164" w:rsidR="00244482" w:rsidRDefault="00244482" w:rsidP="008E351E">
      <w:pPr>
        <w:rPr>
          <w:rFonts w:eastAsia="新細明體"/>
        </w:rPr>
      </w:pPr>
    </w:p>
    <w:p w14:paraId="13E0F6F6" w14:textId="77777777" w:rsidR="00244482" w:rsidRDefault="00244482" w:rsidP="008E351E">
      <w:pPr>
        <w:rPr>
          <w:rFonts w:eastAsia="新細明體"/>
        </w:rPr>
      </w:pPr>
    </w:p>
    <w:p w14:paraId="3672F802" w14:textId="73A13ECA" w:rsidR="00FD14B9" w:rsidRDefault="00FD14B9" w:rsidP="008E351E">
      <w:pPr>
        <w:rPr>
          <w:rFonts w:eastAsia="新細明體"/>
        </w:rPr>
      </w:pPr>
    </w:p>
    <w:p w14:paraId="0BF2B1F7" w14:textId="78A1F777" w:rsidR="00FD14B9" w:rsidRDefault="00FD14B9" w:rsidP="008E351E">
      <w:pPr>
        <w:rPr>
          <w:rFonts w:eastAsia="新細明體"/>
        </w:rPr>
      </w:pPr>
    </w:p>
    <w:p w14:paraId="789F8CE8" w14:textId="1BEDAA14" w:rsidR="00FD14B9" w:rsidRDefault="00FD14B9" w:rsidP="008E351E">
      <w:pPr>
        <w:rPr>
          <w:rFonts w:eastAsia="新細明體"/>
        </w:rPr>
      </w:pPr>
    </w:p>
    <w:p w14:paraId="07A2763E" w14:textId="77777777" w:rsidR="00FD14B9" w:rsidRPr="00671239" w:rsidRDefault="00FD14B9" w:rsidP="008E351E">
      <w:pPr>
        <w:rPr>
          <w:rFonts w:eastAsia="新細明體"/>
        </w:rPr>
      </w:pPr>
    </w:p>
    <w:p w14:paraId="0F505109" w14:textId="77777777" w:rsidR="00FD14B9" w:rsidRDefault="00FD14B9" w:rsidP="00FD14B9">
      <w:pPr>
        <w:pStyle w:val="Web"/>
        <w:spacing w:line="480" w:lineRule="auto"/>
        <w:jc w:val="both"/>
        <w:rPr>
          <w:b/>
          <w:bCs/>
          <w:iCs/>
        </w:rPr>
      </w:pPr>
      <w:r>
        <w:rPr>
          <w:b/>
          <w:bCs/>
        </w:rPr>
        <w:t xml:space="preserve">Additional </w:t>
      </w:r>
      <w:r w:rsidRPr="009C1040">
        <w:rPr>
          <w:b/>
          <w:bCs/>
        </w:rPr>
        <w:t>Tables</w:t>
      </w:r>
    </w:p>
    <w:p w14:paraId="17417002" w14:textId="4BC9938F" w:rsidR="00FD14B9" w:rsidRPr="00671239" w:rsidRDefault="00FD14B9" w:rsidP="00FD14B9">
      <w:pPr>
        <w:pStyle w:val="Web"/>
        <w:spacing w:line="480" w:lineRule="auto"/>
        <w:jc w:val="both"/>
        <w:rPr>
          <w:rFonts w:ascii="TimesNewRomanPS" w:eastAsia="新細明體" w:hAnsi="TimesNewRomanPS" w:hint="eastAsia"/>
          <w:bCs/>
        </w:rPr>
      </w:pPr>
      <w:r w:rsidRPr="00671239">
        <w:rPr>
          <w:b/>
          <w:bCs/>
          <w:iCs/>
        </w:rPr>
        <w:t>Tab</w:t>
      </w:r>
      <w:r>
        <w:rPr>
          <w:b/>
          <w:bCs/>
          <w:iCs/>
        </w:rPr>
        <w:t>.</w:t>
      </w:r>
      <w:r w:rsidRPr="00671239">
        <w:rPr>
          <w:b/>
          <w:bCs/>
          <w:iCs/>
        </w:rPr>
        <w:t xml:space="preserve"> S1</w:t>
      </w:r>
      <w:r w:rsidRPr="00671239">
        <w:rPr>
          <w:bCs/>
          <w:i/>
          <w:iCs/>
        </w:rPr>
        <w:t xml:space="preserve"> </w:t>
      </w:r>
      <w:r w:rsidRPr="00671239">
        <w:rPr>
          <w:bCs/>
        </w:rPr>
        <w:t xml:space="preserve">Product yields, fluorescence quantum yields, hydrodynamic diameters, zeta potentials, and elemental compositions of the as-prepared products from DAO, DEX or the mixture of DAO and DEX with mass ratios (DAO:DEX) of 1.0:0.5, 1.0:1.5, and 1.0:5.0 prepared by dry heating at 180 </w:t>
      </w:r>
      <w:r w:rsidRPr="00671239">
        <w:rPr>
          <w:rFonts w:hint="eastAsia"/>
          <w:bCs/>
          <w:vertAlign w:val="superscript"/>
          <w:lang w:eastAsia="zh-TW"/>
        </w:rPr>
        <w:t>o</w:t>
      </w:r>
      <w:r w:rsidRPr="00671239">
        <w:rPr>
          <w:bCs/>
          <w:lang w:eastAsia="zh-TW"/>
        </w:rPr>
        <w:t>C</w:t>
      </w:r>
      <w:r w:rsidRPr="00671239">
        <w:rPr>
          <w:bCs/>
        </w:rPr>
        <w:t xml:space="preserve"> for 3 h. </w:t>
      </w:r>
    </w:p>
    <w:tbl>
      <w:tblPr>
        <w:tblW w:w="5000" w:type="pct"/>
        <w:tblCellMar>
          <w:left w:w="0" w:type="dxa"/>
          <w:right w:w="0" w:type="dxa"/>
        </w:tblCellMar>
        <w:tblLook w:val="04A0" w:firstRow="1" w:lastRow="0" w:firstColumn="1" w:lastColumn="0" w:noHBand="0" w:noVBand="1"/>
      </w:tblPr>
      <w:tblGrid>
        <w:gridCol w:w="2339"/>
        <w:gridCol w:w="765"/>
        <w:gridCol w:w="1258"/>
        <w:gridCol w:w="1846"/>
        <w:gridCol w:w="1749"/>
        <w:gridCol w:w="420"/>
        <w:gridCol w:w="471"/>
        <w:gridCol w:w="420"/>
        <w:gridCol w:w="472"/>
      </w:tblGrid>
      <w:tr w:rsidR="00FD14B9" w:rsidRPr="00671239" w14:paraId="444D28B5" w14:textId="77777777" w:rsidTr="000560AB">
        <w:trPr>
          <w:trHeight w:val="370"/>
        </w:trPr>
        <w:tc>
          <w:tcPr>
            <w:tcW w:w="1212" w:type="pct"/>
            <w:vMerge w:val="restart"/>
            <w:tcBorders>
              <w:top w:val="single" w:sz="4" w:space="0" w:color="auto"/>
            </w:tcBorders>
            <w:tcMar>
              <w:top w:w="0" w:type="dxa"/>
              <w:left w:w="75" w:type="dxa"/>
              <w:bottom w:w="0" w:type="dxa"/>
              <w:right w:w="75" w:type="dxa"/>
            </w:tcMar>
            <w:vAlign w:val="center"/>
            <w:hideMark/>
          </w:tcPr>
          <w:p w14:paraId="4472B6DF"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DAO/DEX</w:t>
            </w:r>
          </w:p>
        </w:tc>
        <w:tc>
          <w:tcPr>
            <w:tcW w:w="404" w:type="pct"/>
            <w:vMerge w:val="restart"/>
            <w:tcBorders>
              <w:top w:val="single" w:sz="4" w:space="0" w:color="auto"/>
            </w:tcBorders>
            <w:tcMar>
              <w:top w:w="0" w:type="dxa"/>
              <w:left w:w="75" w:type="dxa"/>
              <w:bottom w:w="0" w:type="dxa"/>
              <w:right w:w="75" w:type="dxa"/>
            </w:tcMar>
            <w:vAlign w:val="center"/>
            <w:hideMark/>
          </w:tcPr>
          <w:p w14:paraId="7FDE610D"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Yield (%)</w:t>
            </w:r>
          </w:p>
        </w:tc>
        <w:tc>
          <w:tcPr>
            <w:tcW w:w="657" w:type="pct"/>
            <w:vMerge w:val="restart"/>
            <w:tcBorders>
              <w:top w:val="single" w:sz="4" w:space="0" w:color="auto"/>
            </w:tcBorders>
            <w:tcMar>
              <w:top w:w="0" w:type="dxa"/>
              <w:left w:w="75" w:type="dxa"/>
              <w:bottom w:w="0" w:type="dxa"/>
              <w:right w:w="75" w:type="dxa"/>
            </w:tcMar>
            <w:vAlign w:val="center"/>
            <w:hideMark/>
          </w:tcPr>
          <w:p w14:paraId="113E19F9"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Quantum Yield</w:t>
            </w:r>
          </w:p>
          <w:p w14:paraId="16772ED1"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w:t>
            </w:r>
          </w:p>
        </w:tc>
        <w:tc>
          <w:tcPr>
            <w:tcW w:w="959" w:type="pct"/>
            <w:vMerge w:val="restart"/>
            <w:tcBorders>
              <w:top w:val="single" w:sz="4" w:space="0" w:color="auto"/>
            </w:tcBorders>
            <w:vAlign w:val="center"/>
          </w:tcPr>
          <w:p w14:paraId="754BB4BB"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 xml:space="preserve">Hydrodynamic Diameter </w:t>
            </w:r>
          </w:p>
          <w:p w14:paraId="74615B99"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 xml:space="preserve"> (nm)</w:t>
            </w:r>
          </w:p>
        </w:tc>
        <w:tc>
          <w:tcPr>
            <w:tcW w:w="909" w:type="pct"/>
            <w:vMerge w:val="restart"/>
            <w:tcBorders>
              <w:top w:val="single" w:sz="4" w:space="0" w:color="auto"/>
            </w:tcBorders>
            <w:tcMar>
              <w:top w:w="0" w:type="dxa"/>
              <w:left w:w="75" w:type="dxa"/>
              <w:bottom w:w="0" w:type="dxa"/>
              <w:right w:w="75" w:type="dxa"/>
            </w:tcMar>
            <w:vAlign w:val="center"/>
            <w:hideMark/>
          </w:tcPr>
          <w:p w14:paraId="5603EB8D"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Zeta Potential (mV)</w:t>
            </w:r>
          </w:p>
        </w:tc>
        <w:tc>
          <w:tcPr>
            <w:tcW w:w="859" w:type="pct"/>
            <w:gridSpan w:val="4"/>
            <w:tcBorders>
              <w:top w:val="single" w:sz="4" w:space="0" w:color="auto"/>
            </w:tcBorders>
            <w:vAlign w:val="center"/>
          </w:tcPr>
          <w:p w14:paraId="6F705A82"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Elemental Composition (%)</w:t>
            </w:r>
          </w:p>
        </w:tc>
      </w:tr>
      <w:tr w:rsidR="00FD14B9" w:rsidRPr="00671239" w14:paraId="18176F92" w14:textId="77777777" w:rsidTr="000560AB">
        <w:trPr>
          <w:trHeight w:val="34"/>
        </w:trPr>
        <w:tc>
          <w:tcPr>
            <w:tcW w:w="1212" w:type="pct"/>
            <w:vMerge/>
            <w:tcBorders>
              <w:bottom w:val="single" w:sz="4" w:space="0" w:color="auto"/>
            </w:tcBorders>
            <w:tcMar>
              <w:top w:w="0" w:type="dxa"/>
              <w:left w:w="75" w:type="dxa"/>
              <w:bottom w:w="0" w:type="dxa"/>
              <w:right w:w="75" w:type="dxa"/>
            </w:tcMar>
            <w:vAlign w:val="center"/>
            <w:hideMark/>
          </w:tcPr>
          <w:p w14:paraId="5F1F8EC7" w14:textId="77777777" w:rsidR="00FD14B9" w:rsidRPr="00671239" w:rsidRDefault="00FD14B9" w:rsidP="00FD14B9">
            <w:pPr>
              <w:spacing w:line="480" w:lineRule="auto"/>
              <w:jc w:val="center"/>
              <w:rPr>
                <w:rFonts w:eastAsia="新細明體"/>
                <w:b/>
                <w:bCs/>
                <w:szCs w:val="24"/>
              </w:rPr>
            </w:pPr>
          </w:p>
        </w:tc>
        <w:tc>
          <w:tcPr>
            <w:tcW w:w="404" w:type="pct"/>
            <w:vMerge/>
            <w:tcBorders>
              <w:bottom w:val="single" w:sz="4" w:space="0" w:color="auto"/>
            </w:tcBorders>
            <w:tcMar>
              <w:top w:w="0" w:type="dxa"/>
              <w:left w:w="75" w:type="dxa"/>
              <w:bottom w:w="0" w:type="dxa"/>
              <w:right w:w="75" w:type="dxa"/>
            </w:tcMar>
            <w:vAlign w:val="center"/>
            <w:hideMark/>
          </w:tcPr>
          <w:p w14:paraId="58B55F21" w14:textId="77777777" w:rsidR="00FD14B9" w:rsidRPr="00671239" w:rsidRDefault="00FD14B9" w:rsidP="00FD14B9">
            <w:pPr>
              <w:spacing w:line="480" w:lineRule="auto"/>
              <w:jc w:val="center"/>
              <w:rPr>
                <w:rFonts w:eastAsia="新細明體"/>
                <w:b/>
                <w:bCs/>
                <w:szCs w:val="24"/>
              </w:rPr>
            </w:pPr>
          </w:p>
        </w:tc>
        <w:tc>
          <w:tcPr>
            <w:tcW w:w="657" w:type="pct"/>
            <w:vMerge/>
            <w:tcBorders>
              <w:bottom w:val="single" w:sz="4" w:space="0" w:color="auto"/>
            </w:tcBorders>
            <w:tcMar>
              <w:top w:w="0" w:type="dxa"/>
              <w:left w:w="75" w:type="dxa"/>
              <w:bottom w:w="0" w:type="dxa"/>
              <w:right w:w="75" w:type="dxa"/>
            </w:tcMar>
            <w:vAlign w:val="center"/>
            <w:hideMark/>
          </w:tcPr>
          <w:p w14:paraId="410F51F9" w14:textId="77777777" w:rsidR="00FD14B9" w:rsidRPr="00671239" w:rsidRDefault="00FD14B9" w:rsidP="00FD14B9">
            <w:pPr>
              <w:spacing w:line="480" w:lineRule="auto"/>
              <w:jc w:val="center"/>
              <w:rPr>
                <w:rFonts w:eastAsia="新細明體"/>
                <w:b/>
                <w:bCs/>
                <w:szCs w:val="24"/>
              </w:rPr>
            </w:pPr>
          </w:p>
        </w:tc>
        <w:tc>
          <w:tcPr>
            <w:tcW w:w="959" w:type="pct"/>
            <w:vMerge/>
            <w:tcBorders>
              <w:bottom w:val="single" w:sz="4" w:space="0" w:color="auto"/>
            </w:tcBorders>
            <w:vAlign w:val="center"/>
          </w:tcPr>
          <w:p w14:paraId="03C8A743" w14:textId="77777777" w:rsidR="00FD14B9" w:rsidRPr="00671239" w:rsidRDefault="00FD14B9" w:rsidP="00FD14B9">
            <w:pPr>
              <w:spacing w:line="480" w:lineRule="auto"/>
              <w:jc w:val="center"/>
              <w:rPr>
                <w:rFonts w:eastAsia="新細明體"/>
                <w:b/>
                <w:bCs/>
                <w:szCs w:val="24"/>
              </w:rPr>
            </w:pPr>
          </w:p>
        </w:tc>
        <w:tc>
          <w:tcPr>
            <w:tcW w:w="909" w:type="pct"/>
            <w:vMerge/>
            <w:tcBorders>
              <w:bottom w:val="single" w:sz="4" w:space="0" w:color="auto"/>
            </w:tcBorders>
            <w:tcMar>
              <w:top w:w="0" w:type="dxa"/>
              <w:left w:w="75" w:type="dxa"/>
              <w:bottom w:w="0" w:type="dxa"/>
              <w:right w:w="75" w:type="dxa"/>
            </w:tcMar>
            <w:vAlign w:val="center"/>
            <w:hideMark/>
          </w:tcPr>
          <w:p w14:paraId="43C554BC" w14:textId="77777777" w:rsidR="00FD14B9" w:rsidRPr="00671239" w:rsidRDefault="00FD14B9" w:rsidP="00FD14B9">
            <w:pPr>
              <w:spacing w:line="480" w:lineRule="auto"/>
              <w:jc w:val="center"/>
              <w:rPr>
                <w:rFonts w:eastAsia="新細明體"/>
                <w:b/>
                <w:bCs/>
                <w:szCs w:val="24"/>
              </w:rPr>
            </w:pPr>
          </w:p>
        </w:tc>
        <w:tc>
          <w:tcPr>
            <w:tcW w:w="151" w:type="pct"/>
            <w:tcBorders>
              <w:bottom w:val="single" w:sz="4" w:space="0" w:color="auto"/>
            </w:tcBorders>
            <w:vAlign w:val="center"/>
          </w:tcPr>
          <w:p w14:paraId="04508E43"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C</w:t>
            </w:r>
          </w:p>
        </w:tc>
        <w:tc>
          <w:tcPr>
            <w:tcW w:w="253" w:type="pct"/>
            <w:tcBorders>
              <w:bottom w:val="single" w:sz="4" w:space="0" w:color="auto"/>
            </w:tcBorders>
            <w:vAlign w:val="center"/>
          </w:tcPr>
          <w:p w14:paraId="216E4B47"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N</w:t>
            </w:r>
          </w:p>
        </w:tc>
        <w:tc>
          <w:tcPr>
            <w:tcW w:w="202" w:type="pct"/>
            <w:tcBorders>
              <w:bottom w:val="single" w:sz="4" w:space="0" w:color="auto"/>
            </w:tcBorders>
            <w:vAlign w:val="center"/>
          </w:tcPr>
          <w:p w14:paraId="1F4A9958"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O</w:t>
            </w:r>
          </w:p>
        </w:tc>
        <w:tc>
          <w:tcPr>
            <w:tcW w:w="253" w:type="pct"/>
            <w:tcBorders>
              <w:bottom w:val="single" w:sz="4" w:space="0" w:color="auto"/>
            </w:tcBorders>
            <w:vAlign w:val="center"/>
          </w:tcPr>
          <w:p w14:paraId="0BE98170"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H</w:t>
            </w:r>
          </w:p>
        </w:tc>
      </w:tr>
      <w:tr w:rsidR="00FD14B9" w:rsidRPr="00671239" w14:paraId="27C2C6E7" w14:textId="77777777" w:rsidTr="000560AB">
        <w:trPr>
          <w:trHeight w:val="720"/>
        </w:trPr>
        <w:tc>
          <w:tcPr>
            <w:tcW w:w="1212" w:type="pct"/>
            <w:tcBorders>
              <w:top w:val="single" w:sz="4" w:space="0" w:color="auto"/>
            </w:tcBorders>
            <w:tcMar>
              <w:top w:w="0" w:type="dxa"/>
              <w:left w:w="75" w:type="dxa"/>
              <w:bottom w:w="0" w:type="dxa"/>
              <w:right w:w="75" w:type="dxa"/>
            </w:tcMar>
            <w:vAlign w:val="center"/>
            <w:hideMark/>
          </w:tcPr>
          <w:p w14:paraId="561FEB43" w14:textId="77777777" w:rsidR="00FD14B9" w:rsidRPr="00671239" w:rsidRDefault="00FD14B9" w:rsidP="00FD14B9">
            <w:pPr>
              <w:spacing w:line="480" w:lineRule="auto"/>
              <w:ind w:firstLineChars="203" w:firstLine="488"/>
              <w:rPr>
                <w:rFonts w:eastAsia="新細明體"/>
                <w:b/>
                <w:bCs/>
                <w:szCs w:val="24"/>
              </w:rPr>
            </w:pPr>
            <w:r w:rsidRPr="00671239">
              <w:rPr>
                <w:rFonts w:eastAsia="新細明體"/>
                <w:b/>
                <w:bCs/>
                <w:szCs w:val="24"/>
              </w:rPr>
              <w:t>DAO</w:t>
            </w:r>
          </w:p>
        </w:tc>
        <w:tc>
          <w:tcPr>
            <w:tcW w:w="404" w:type="pct"/>
            <w:tcBorders>
              <w:top w:val="single" w:sz="4" w:space="0" w:color="auto"/>
            </w:tcBorders>
            <w:tcMar>
              <w:top w:w="0" w:type="dxa"/>
              <w:left w:w="75" w:type="dxa"/>
              <w:bottom w:w="0" w:type="dxa"/>
              <w:right w:w="75" w:type="dxa"/>
            </w:tcMar>
            <w:vAlign w:val="center"/>
            <w:hideMark/>
          </w:tcPr>
          <w:p w14:paraId="21913E29"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&lt; 0.1</w:t>
            </w:r>
          </w:p>
        </w:tc>
        <w:tc>
          <w:tcPr>
            <w:tcW w:w="657" w:type="pct"/>
            <w:tcBorders>
              <w:top w:val="single" w:sz="4" w:space="0" w:color="auto"/>
            </w:tcBorders>
            <w:tcMar>
              <w:top w:w="0" w:type="dxa"/>
              <w:left w:w="75" w:type="dxa"/>
              <w:bottom w:w="0" w:type="dxa"/>
              <w:right w:w="75" w:type="dxa"/>
            </w:tcMar>
            <w:vAlign w:val="center"/>
            <w:hideMark/>
          </w:tcPr>
          <w:p w14:paraId="5C0A760C"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959" w:type="pct"/>
            <w:tcBorders>
              <w:top w:val="single" w:sz="4" w:space="0" w:color="auto"/>
            </w:tcBorders>
            <w:vAlign w:val="center"/>
          </w:tcPr>
          <w:p w14:paraId="185F8B52"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909" w:type="pct"/>
            <w:tcBorders>
              <w:top w:val="single" w:sz="4" w:space="0" w:color="auto"/>
            </w:tcBorders>
            <w:tcMar>
              <w:top w:w="0" w:type="dxa"/>
              <w:left w:w="75" w:type="dxa"/>
              <w:bottom w:w="0" w:type="dxa"/>
              <w:right w:w="75" w:type="dxa"/>
            </w:tcMar>
            <w:vAlign w:val="center"/>
            <w:hideMark/>
          </w:tcPr>
          <w:p w14:paraId="24707DEA"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151" w:type="pct"/>
            <w:tcBorders>
              <w:top w:val="single" w:sz="4" w:space="0" w:color="auto"/>
            </w:tcBorders>
            <w:vAlign w:val="center"/>
          </w:tcPr>
          <w:p w14:paraId="0A9B4B89"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253" w:type="pct"/>
            <w:tcBorders>
              <w:top w:val="single" w:sz="4" w:space="0" w:color="auto"/>
            </w:tcBorders>
            <w:vAlign w:val="center"/>
          </w:tcPr>
          <w:p w14:paraId="02AD6BD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202" w:type="pct"/>
            <w:tcBorders>
              <w:top w:val="single" w:sz="4" w:space="0" w:color="auto"/>
            </w:tcBorders>
            <w:vAlign w:val="center"/>
          </w:tcPr>
          <w:p w14:paraId="520FAD63"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253" w:type="pct"/>
            <w:tcBorders>
              <w:top w:val="single" w:sz="4" w:space="0" w:color="auto"/>
            </w:tcBorders>
            <w:vAlign w:val="center"/>
          </w:tcPr>
          <w:p w14:paraId="3E7BA056"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r>
      <w:tr w:rsidR="00FD14B9" w:rsidRPr="00671239" w14:paraId="693481EC" w14:textId="77777777" w:rsidTr="000560AB">
        <w:trPr>
          <w:trHeight w:val="750"/>
        </w:trPr>
        <w:tc>
          <w:tcPr>
            <w:tcW w:w="1212" w:type="pct"/>
            <w:tcMar>
              <w:top w:w="0" w:type="dxa"/>
              <w:left w:w="75" w:type="dxa"/>
              <w:bottom w:w="0" w:type="dxa"/>
              <w:right w:w="75" w:type="dxa"/>
            </w:tcMar>
            <w:vAlign w:val="center"/>
            <w:hideMark/>
          </w:tcPr>
          <w:p w14:paraId="76556694" w14:textId="77777777" w:rsidR="00FD14B9" w:rsidRPr="00671239" w:rsidRDefault="00FD14B9" w:rsidP="00FD14B9">
            <w:pPr>
              <w:spacing w:line="480" w:lineRule="auto"/>
              <w:ind w:leftChars="203" w:left="487"/>
              <w:rPr>
                <w:rFonts w:eastAsia="新細明體"/>
                <w:b/>
                <w:bCs/>
                <w:szCs w:val="24"/>
              </w:rPr>
            </w:pPr>
            <w:r w:rsidRPr="00671239">
              <w:rPr>
                <w:rFonts w:eastAsia="新細明體"/>
                <w:b/>
              </w:rPr>
              <w:t>DAO:DEX (1.0:0.5)</w:t>
            </w:r>
          </w:p>
        </w:tc>
        <w:tc>
          <w:tcPr>
            <w:tcW w:w="404" w:type="pct"/>
            <w:tcMar>
              <w:top w:w="0" w:type="dxa"/>
              <w:left w:w="75" w:type="dxa"/>
              <w:bottom w:w="0" w:type="dxa"/>
              <w:right w:w="75" w:type="dxa"/>
            </w:tcMar>
            <w:vAlign w:val="center"/>
            <w:hideMark/>
          </w:tcPr>
          <w:p w14:paraId="454D33BA"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15.1</w:t>
            </w:r>
          </w:p>
        </w:tc>
        <w:tc>
          <w:tcPr>
            <w:tcW w:w="657" w:type="pct"/>
            <w:tcMar>
              <w:top w:w="0" w:type="dxa"/>
              <w:left w:w="75" w:type="dxa"/>
              <w:bottom w:w="0" w:type="dxa"/>
              <w:right w:w="75" w:type="dxa"/>
            </w:tcMar>
            <w:vAlign w:val="center"/>
            <w:hideMark/>
          </w:tcPr>
          <w:p w14:paraId="3DC63911"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0.51</w:t>
            </w:r>
          </w:p>
        </w:tc>
        <w:tc>
          <w:tcPr>
            <w:tcW w:w="959" w:type="pct"/>
            <w:vAlign w:val="center"/>
          </w:tcPr>
          <w:p w14:paraId="78881A7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208.9 ± 14.4</w:t>
            </w:r>
          </w:p>
        </w:tc>
        <w:tc>
          <w:tcPr>
            <w:tcW w:w="909" w:type="pct"/>
            <w:tcMar>
              <w:top w:w="0" w:type="dxa"/>
              <w:left w:w="75" w:type="dxa"/>
              <w:bottom w:w="0" w:type="dxa"/>
              <w:right w:w="75" w:type="dxa"/>
            </w:tcMar>
            <w:vAlign w:val="center"/>
            <w:hideMark/>
          </w:tcPr>
          <w:p w14:paraId="186D1B08"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13.2 ± 1.3</w:t>
            </w:r>
          </w:p>
        </w:tc>
        <w:tc>
          <w:tcPr>
            <w:tcW w:w="151" w:type="pct"/>
            <w:vAlign w:val="center"/>
          </w:tcPr>
          <w:p w14:paraId="2CB2D1DB"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40.6</w:t>
            </w:r>
          </w:p>
        </w:tc>
        <w:tc>
          <w:tcPr>
            <w:tcW w:w="253" w:type="pct"/>
            <w:vAlign w:val="center"/>
          </w:tcPr>
          <w:p w14:paraId="63299121"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1.9</w:t>
            </w:r>
          </w:p>
        </w:tc>
        <w:tc>
          <w:tcPr>
            <w:tcW w:w="202" w:type="pct"/>
            <w:vAlign w:val="center"/>
          </w:tcPr>
          <w:p w14:paraId="4CB17F45"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50.0</w:t>
            </w:r>
          </w:p>
        </w:tc>
        <w:tc>
          <w:tcPr>
            <w:tcW w:w="253" w:type="pct"/>
            <w:vAlign w:val="center"/>
          </w:tcPr>
          <w:p w14:paraId="506C6391"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7.5</w:t>
            </w:r>
          </w:p>
        </w:tc>
      </w:tr>
      <w:tr w:rsidR="00FD14B9" w:rsidRPr="00671239" w14:paraId="4B56F23E" w14:textId="77777777" w:rsidTr="000560AB">
        <w:trPr>
          <w:trHeight w:val="735"/>
        </w:trPr>
        <w:tc>
          <w:tcPr>
            <w:tcW w:w="1212" w:type="pct"/>
            <w:tcMar>
              <w:top w:w="0" w:type="dxa"/>
              <w:left w:w="75" w:type="dxa"/>
              <w:bottom w:w="0" w:type="dxa"/>
              <w:right w:w="75" w:type="dxa"/>
            </w:tcMar>
            <w:vAlign w:val="center"/>
            <w:hideMark/>
          </w:tcPr>
          <w:p w14:paraId="1E69292E" w14:textId="77777777" w:rsidR="00FD14B9" w:rsidRPr="00671239" w:rsidRDefault="00FD14B9" w:rsidP="00FD14B9">
            <w:pPr>
              <w:spacing w:line="480" w:lineRule="auto"/>
              <w:ind w:leftChars="200" w:left="480" w:firstLineChars="3" w:firstLine="7"/>
              <w:rPr>
                <w:rFonts w:eastAsia="新細明體"/>
                <w:b/>
                <w:bCs/>
                <w:szCs w:val="24"/>
              </w:rPr>
            </w:pPr>
            <w:r w:rsidRPr="00671239">
              <w:rPr>
                <w:rFonts w:eastAsia="新細明體"/>
                <w:b/>
              </w:rPr>
              <w:t>DAO:DEX (1.0:1.5)</w:t>
            </w:r>
          </w:p>
        </w:tc>
        <w:tc>
          <w:tcPr>
            <w:tcW w:w="404" w:type="pct"/>
            <w:tcMar>
              <w:top w:w="0" w:type="dxa"/>
              <w:left w:w="75" w:type="dxa"/>
              <w:bottom w:w="0" w:type="dxa"/>
              <w:right w:w="75" w:type="dxa"/>
            </w:tcMar>
            <w:vAlign w:val="center"/>
            <w:hideMark/>
          </w:tcPr>
          <w:p w14:paraId="435D9982"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39.5</w:t>
            </w:r>
          </w:p>
        </w:tc>
        <w:tc>
          <w:tcPr>
            <w:tcW w:w="657" w:type="pct"/>
            <w:tcMar>
              <w:top w:w="0" w:type="dxa"/>
              <w:left w:w="75" w:type="dxa"/>
              <w:bottom w:w="0" w:type="dxa"/>
              <w:right w:w="75" w:type="dxa"/>
            </w:tcMar>
            <w:vAlign w:val="center"/>
            <w:hideMark/>
          </w:tcPr>
          <w:p w14:paraId="78D6FB39"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0.57</w:t>
            </w:r>
          </w:p>
        </w:tc>
        <w:tc>
          <w:tcPr>
            <w:tcW w:w="959" w:type="pct"/>
            <w:vAlign w:val="center"/>
          </w:tcPr>
          <w:p w14:paraId="6A70A23B"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321.5 ± 9.4</w:t>
            </w:r>
          </w:p>
        </w:tc>
        <w:tc>
          <w:tcPr>
            <w:tcW w:w="909" w:type="pct"/>
            <w:tcMar>
              <w:top w:w="0" w:type="dxa"/>
              <w:left w:w="75" w:type="dxa"/>
              <w:bottom w:w="0" w:type="dxa"/>
              <w:right w:w="75" w:type="dxa"/>
            </w:tcMar>
            <w:vAlign w:val="center"/>
            <w:hideMark/>
          </w:tcPr>
          <w:p w14:paraId="7E0C9A41"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6.1 ± 1.5</w:t>
            </w:r>
          </w:p>
        </w:tc>
        <w:tc>
          <w:tcPr>
            <w:tcW w:w="151" w:type="pct"/>
            <w:vAlign w:val="center"/>
          </w:tcPr>
          <w:p w14:paraId="4486B43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39.2</w:t>
            </w:r>
          </w:p>
        </w:tc>
        <w:tc>
          <w:tcPr>
            <w:tcW w:w="253" w:type="pct"/>
            <w:vAlign w:val="center"/>
          </w:tcPr>
          <w:p w14:paraId="7EBD4F1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1.2</w:t>
            </w:r>
          </w:p>
        </w:tc>
        <w:tc>
          <w:tcPr>
            <w:tcW w:w="202" w:type="pct"/>
            <w:vAlign w:val="center"/>
          </w:tcPr>
          <w:p w14:paraId="3F910C43"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52.3</w:t>
            </w:r>
          </w:p>
        </w:tc>
        <w:tc>
          <w:tcPr>
            <w:tcW w:w="253" w:type="pct"/>
            <w:vAlign w:val="center"/>
          </w:tcPr>
          <w:p w14:paraId="3A904294"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7.2</w:t>
            </w:r>
          </w:p>
        </w:tc>
      </w:tr>
      <w:tr w:rsidR="00FD14B9" w:rsidRPr="00671239" w14:paraId="3A354673" w14:textId="77777777" w:rsidTr="000560AB">
        <w:trPr>
          <w:trHeight w:val="750"/>
        </w:trPr>
        <w:tc>
          <w:tcPr>
            <w:tcW w:w="1212" w:type="pct"/>
            <w:tcMar>
              <w:top w:w="0" w:type="dxa"/>
              <w:left w:w="75" w:type="dxa"/>
              <w:bottom w:w="0" w:type="dxa"/>
              <w:right w:w="75" w:type="dxa"/>
            </w:tcMar>
            <w:vAlign w:val="center"/>
            <w:hideMark/>
          </w:tcPr>
          <w:p w14:paraId="6198237E" w14:textId="77777777" w:rsidR="00FD14B9" w:rsidRPr="00671239" w:rsidRDefault="00FD14B9" w:rsidP="00FD14B9">
            <w:pPr>
              <w:spacing w:line="480" w:lineRule="auto"/>
              <w:ind w:leftChars="200" w:left="480" w:firstLineChars="3" w:firstLine="7"/>
              <w:rPr>
                <w:rFonts w:eastAsia="新細明體"/>
                <w:b/>
                <w:bCs/>
                <w:szCs w:val="24"/>
              </w:rPr>
            </w:pPr>
            <w:r w:rsidRPr="00671239">
              <w:rPr>
                <w:rFonts w:eastAsia="新細明體"/>
                <w:b/>
              </w:rPr>
              <w:t>DAO:DEX (1.0:5.0)</w:t>
            </w:r>
          </w:p>
        </w:tc>
        <w:tc>
          <w:tcPr>
            <w:tcW w:w="404" w:type="pct"/>
            <w:tcMar>
              <w:top w:w="0" w:type="dxa"/>
              <w:left w:w="75" w:type="dxa"/>
              <w:bottom w:w="0" w:type="dxa"/>
              <w:right w:w="75" w:type="dxa"/>
            </w:tcMar>
            <w:vAlign w:val="center"/>
            <w:hideMark/>
          </w:tcPr>
          <w:p w14:paraId="249672F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70.7</w:t>
            </w:r>
          </w:p>
        </w:tc>
        <w:tc>
          <w:tcPr>
            <w:tcW w:w="657" w:type="pct"/>
            <w:tcMar>
              <w:top w:w="0" w:type="dxa"/>
              <w:left w:w="75" w:type="dxa"/>
              <w:bottom w:w="0" w:type="dxa"/>
              <w:right w:w="75" w:type="dxa"/>
            </w:tcMar>
            <w:vAlign w:val="center"/>
            <w:hideMark/>
          </w:tcPr>
          <w:p w14:paraId="3AC62210"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0.88</w:t>
            </w:r>
          </w:p>
        </w:tc>
        <w:tc>
          <w:tcPr>
            <w:tcW w:w="959" w:type="pct"/>
            <w:vAlign w:val="center"/>
          </w:tcPr>
          <w:p w14:paraId="5E158498"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580.2 ± 13.8</w:t>
            </w:r>
          </w:p>
        </w:tc>
        <w:tc>
          <w:tcPr>
            <w:tcW w:w="909" w:type="pct"/>
            <w:tcMar>
              <w:top w:w="0" w:type="dxa"/>
              <w:left w:w="75" w:type="dxa"/>
              <w:bottom w:w="0" w:type="dxa"/>
              <w:right w:w="75" w:type="dxa"/>
            </w:tcMar>
            <w:vAlign w:val="center"/>
            <w:hideMark/>
          </w:tcPr>
          <w:p w14:paraId="7A8CB1A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5.8 ± 0.5</w:t>
            </w:r>
          </w:p>
        </w:tc>
        <w:tc>
          <w:tcPr>
            <w:tcW w:w="151" w:type="pct"/>
            <w:vAlign w:val="center"/>
          </w:tcPr>
          <w:p w14:paraId="028940B9"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38.3</w:t>
            </w:r>
          </w:p>
        </w:tc>
        <w:tc>
          <w:tcPr>
            <w:tcW w:w="253" w:type="pct"/>
            <w:vAlign w:val="center"/>
          </w:tcPr>
          <w:p w14:paraId="6684AAE2"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0.8</w:t>
            </w:r>
          </w:p>
        </w:tc>
        <w:tc>
          <w:tcPr>
            <w:tcW w:w="202" w:type="pct"/>
            <w:vAlign w:val="center"/>
          </w:tcPr>
          <w:p w14:paraId="0A9C8A5B"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53.8</w:t>
            </w:r>
          </w:p>
        </w:tc>
        <w:tc>
          <w:tcPr>
            <w:tcW w:w="253" w:type="pct"/>
            <w:vAlign w:val="center"/>
          </w:tcPr>
          <w:p w14:paraId="32747EE8"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7.2</w:t>
            </w:r>
          </w:p>
        </w:tc>
      </w:tr>
      <w:tr w:rsidR="00FD14B9" w:rsidRPr="00671239" w14:paraId="628D1A44" w14:textId="77777777" w:rsidTr="000560AB">
        <w:trPr>
          <w:trHeight w:val="720"/>
        </w:trPr>
        <w:tc>
          <w:tcPr>
            <w:tcW w:w="1212" w:type="pct"/>
            <w:tcBorders>
              <w:bottom w:val="single" w:sz="4" w:space="0" w:color="auto"/>
            </w:tcBorders>
            <w:tcMar>
              <w:top w:w="0" w:type="dxa"/>
              <w:left w:w="75" w:type="dxa"/>
              <w:bottom w:w="0" w:type="dxa"/>
              <w:right w:w="75" w:type="dxa"/>
            </w:tcMar>
            <w:vAlign w:val="center"/>
            <w:hideMark/>
          </w:tcPr>
          <w:p w14:paraId="28DC7E26" w14:textId="77777777" w:rsidR="00FD14B9" w:rsidRPr="00671239" w:rsidRDefault="00FD14B9" w:rsidP="00FD14B9">
            <w:pPr>
              <w:spacing w:line="480" w:lineRule="auto"/>
              <w:ind w:firstLineChars="203" w:firstLine="488"/>
              <w:rPr>
                <w:rFonts w:eastAsia="新細明體"/>
                <w:b/>
                <w:bCs/>
                <w:szCs w:val="24"/>
              </w:rPr>
            </w:pPr>
            <w:r w:rsidRPr="00671239">
              <w:rPr>
                <w:rFonts w:eastAsia="新細明體"/>
                <w:b/>
                <w:bCs/>
                <w:szCs w:val="24"/>
              </w:rPr>
              <w:t>DEX</w:t>
            </w:r>
          </w:p>
        </w:tc>
        <w:tc>
          <w:tcPr>
            <w:tcW w:w="404" w:type="pct"/>
            <w:tcBorders>
              <w:bottom w:val="single" w:sz="4" w:space="0" w:color="auto"/>
            </w:tcBorders>
            <w:tcMar>
              <w:top w:w="0" w:type="dxa"/>
              <w:left w:w="75" w:type="dxa"/>
              <w:bottom w:w="0" w:type="dxa"/>
              <w:right w:w="75" w:type="dxa"/>
            </w:tcMar>
            <w:vAlign w:val="center"/>
            <w:hideMark/>
          </w:tcPr>
          <w:p w14:paraId="2DE03F83"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73.7</w:t>
            </w:r>
          </w:p>
        </w:tc>
        <w:tc>
          <w:tcPr>
            <w:tcW w:w="657" w:type="pct"/>
            <w:tcBorders>
              <w:bottom w:val="single" w:sz="4" w:space="0" w:color="auto"/>
            </w:tcBorders>
            <w:tcMar>
              <w:top w:w="0" w:type="dxa"/>
              <w:left w:w="75" w:type="dxa"/>
              <w:bottom w:w="0" w:type="dxa"/>
              <w:right w:w="75" w:type="dxa"/>
            </w:tcMar>
            <w:vAlign w:val="center"/>
            <w:hideMark/>
          </w:tcPr>
          <w:p w14:paraId="0EF157EA"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&lt; 0.01</w:t>
            </w:r>
          </w:p>
        </w:tc>
        <w:tc>
          <w:tcPr>
            <w:tcW w:w="959" w:type="pct"/>
            <w:tcBorders>
              <w:bottom w:val="single" w:sz="4" w:space="0" w:color="auto"/>
            </w:tcBorders>
            <w:vAlign w:val="center"/>
          </w:tcPr>
          <w:p w14:paraId="5BC65EE2"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w:t>
            </w:r>
          </w:p>
        </w:tc>
        <w:tc>
          <w:tcPr>
            <w:tcW w:w="909" w:type="pct"/>
            <w:tcBorders>
              <w:bottom w:val="single" w:sz="4" w:space="0" w:color="auto"/>
            </w:tcBorders>
            <w:tcMar>
              <w:top w:w="0" w:type="dxa"/>
              <w:left w:w="75" w:type="dxa"/>
              <w:bottom w:w="0" w:type="dxa"/>
              <w:right w:w="75" w:type="dxa"/>
            </w:tcMar>
            <w:vAlign w:val="center"/>
            <w:hideMark/>
          </w:tcPr>
          <w:p w14:paraId="6432EAC0"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−5.5 ± 3.4</w:t>
            </w:r>
          </w:p>
        </w:tc>
        <w:tc>
          <w:tcPr>
            <w:tcW w:w="151" w:type="pct"/>
            <w:tcBorders>
              <w:bottom w:val="single" w:sz="4" w:space="0" w:color="auto"/>
            </w:tcBorders>
            <w:vAlign w:val="center"/>
          </w:tcPr>
          <w:p w14:paraId="1064C21C"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36.8</w:t>
            </w:r>
          </w:p>
        </w:tc>
        <w:tc>
          <w:tcPr>
            <w:tcW w:w="253" w:type="pct"/>
            <w:tcBorders>
              <w:bottom w:val="single" w:sz="4" w:space="0" w:color="auto"/>
            </w:tcBorders>
            <w:vAlign w:val="center"/>
          </w:tcPr>
          <w:p w14:paraId="04777767"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0.1</w:t>
            </w:r>
          </w:p>
        </w:tc>
        <w:tc>
          <w:tcPr>
            <w:tcW w:w="202" w:type="pct"/>
            <w:tcBorders>
              <w:bottom w:val="single" w:sz="4" w:space="0" w:color="auto"/>
            </w:tcBorders>
            <w:vAlign w:val="center"/>
          </w:tcPr>
          <w:p w14:paraId="762C6BFA"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56.2</w:t>
            </w:r>
          </w:p>
        </w:tc>
        <w:tc>
          <w:tcPr>
            <w:tcW w:w="253" w:type="pct"/>
            <w:tcBorders>
              <w:bottom w:val="single" w:sz="4" w:space="0" w:color="auto"/>
            </w:tcBorders>
            <w:vAlign w:val="center"/>
          </w:tcPr>
          <w:p w14:paraId="2137538D" w14:textId="77777777" w:rsidR="00FD14B9" w:rsidRPr="00671239" w:rsidRDefault="00FD14B9" w:rsidP="00FD14B9">
            <w:pPr>
              <w:spacing w:line="480" w:lineRule="auto"/>
              <w:jc w:val="center"/>
              <w:rPr>
                <w:rFonts w:eastAsia="新細明體"/>
                <w:bCs/>
                <w:szCs w:val="24"/>
              </w:rPr>
            </w:pPr>
            <w:r w:rsidRPr="00671239">
              <w:rPr>
                <w:rFonts w:eastAsia="新細明體"/>
                <w:bCs/>
                <w:szCs w:val="24"/>
              </w:rPr>
              <w:t>6.9</w:t>
            </w:r>
          </w:p>
        </w:tc>
      </w:tr>
    </w:tbl>
    <w:p w14:paraId="5A359EEF" w14:textId="06ACDF1E" w:rsidR="00FD14B9" w:rsidRDefault="00FD14B9" w:rsidP="00FD14B9">
      <w:pPr>
        <w:rPr>
          <w:rFonts w:eastAsia="新細明體"/>
          <w:lang w:val="en-GB"/>
        </w:rPr>
      </w:pPr>
    </w:p>
    <w:p w14:paraId="30F827D0" w14:textId="3B1C2CF5" w:rsidR="00FD14B9" w:rsidRDefault="00FD14B9" w:rsidP="00FD14B9">
      <w:pPr>
        <w:rPr>
          <w:rFonts w:eastAsia="新細明體"/>
          <w:lang w:val="en-GB"/>
        </w:rPr>
      </w:pPr>
    </w:p>
    <w:p w14:paraId="42F5770A" w14:textId="5DE491C6" w:rsidR="00FD14B9" w:rsidRDefault="00FD14B9" w:rsidP="00FD14B9">
      <w:pPr>
        <w:rPr>
          <w:rFonts w:eastAsia="新細明體"/>
          <w:lang w:val="en-GB"/>
        </w:rPr>
      </w:pPr>
    </w:p>
    <w:p w14:paraId="24B93C49" w14:textId="714A90D0" w:rsidR="00FD14B9" w:rsidRDefault="00FD14B9" w:rsidP="00FD14B9">
      <w:pPr>
        <w:rPr>
          <w:rFonts w:eastAsia="新細明體"/>
          <w:lang w:val="en-GB"/>
        </w:rPr>
      </w:pPr>
    </w:p>
    <w:p w14:paraId="54A262AA" w14:textId="74AFEB32" w:rsidR="00FD14B9" w:rsidRDefault="00FD14B9" w:rsidP="00FD14B9">
      <w:pPr>
        <w:rPr>
          <w:rFonts w:eastAsia="新細明體"/>
          <w:lang w:val="en-GB"/>
        </w:rPr>
      </w:pPr>
    </w:p>
    <w:p w14:paraId="1BDEDC65" w14:textId="4FB9D2A7" w:rsidR="00FD14B9" w:rsidRDefault="00FD14B9" w:rsidP="00FD14B9">
      <w:pPr>
        <w:rPr>
          <w:rFonts w:eastAsia="新細明體"/>
          <w:lang w:val="en-GB"/>
        </w:rPr>
      </w:pPr>
    </w:p>
    <w:p w14:paraId="26D320D8" w14:textId="0C9FBF96" w:rsidR="00FD14B9" w:rsidRDefault="00FD14B9" w:rsidP="00FD14B9">
      <w:pPr>
        <w:rPr>
          <w:rFonts w:eastAsia="新細明體"/>
          <w:lang w:val="en-GB"/>
        </w:rPr>
      </w:pPr>
    </w:p>
    <w:p w14:paraId="67858B0C" w14:textId="093435FC" w:rsidR="00FD14B9" w:rsidRDefault="00FD14B9" w:rsidP="00FD14B9">
      <w:pPr>
        <w:rPr>
          <w:rFonts w:eastAsia="新細明體"/>
          <w:lang w:val="en-GB"/>
        </w:rPr>
      </w:pPr>
    </w:p>
    <w:p w14:paraId="3307CA3B" w14:textId="4CE6106D" w:rsidR="00FD14B9" w:rsidRDefault="00FD14B9" w:rsidP="00FD14B9">
      <w:pPr>
        <w:rPr>
          <w:rFonts w:eastAsia="新細明體"/>
          <w:lang w:val="en-GB"/>
        </w:rPr>
      </w:pPr>
    </w:p>
    <w:p w14:paraId="3110FB04" w14:textId="77777777" w:rsidR="00FD14B9" w:rsidRPr="00671239" w:rsidRDefault="00FD14B9" w:rsidP="00FD14B9">
      <w:pPr>
        <w:rPr>
          <w:rFonts w:eastAsia="新細明體"/>
          <w:lang w:val="en-GB"/>
        </w:rPr>
      </w:pPr>
    </w:p>
    <w:p w14:paraId="561F16CE" w14:textId="071E5320" w:rsidR="00FD14B9" w:rsidRPr="00671239" w:rsidRDefault="00FD14B9" w:rsidP="00FD14B9">
      <w:pPr>
        <w:spacing w:line="480" w:lineRule="auto"/>
        <w:jc w:val="both"/>
        <w:rPr>
          <w:rFonts w:eastAsia="新細明體"/>
          <w:b/>
          <w:bCs/>
          <w:i/>
          <w:szCs w:val="24"/>
        </w:rPr>
      </w:pPr>
      <w:r w:rsidRPr="00671239">
        <w:rPr>
          <w:rFonts w:eastAsia="新細明體"/>
          <w:b/>
          <w:bCs/>
          <w:szCs w:val="24"/>
        </w:rPr>
        <w:t>Ta</w:t>
      </w:r>
      <w:r>
        <w:rPr>
          <w:rFonts w:eastAsia="新細明體"/>
          <w:b/>
          <w:bCs/>
          <w:szCs w:val="24"/>
        </w:rPr>
        <w:t>b.</w:t>
      </w:r>
      <w:r w:rsidRPr="00671239">
        <w:rPr>
          <w:rFonts w:eastAsia="新細明體"/>
          <w:b/>
          <w:bCs/>
          <w:szCs w:val="24"/>
        </w:rPr>
        <w:t xml:space="preserve"> S2</w:t>
      </w:r>
      <w:r w:rsidRPr="00671239">
        <w:rPr>
          <w:rFonts w:hint="eastAsia"/>
          <w:b/>
          <w:bCs/>
        </w:rPr>
        <w:t xml:space="preserve"> </w:t>
      </w:r>
      <w:r w:rsidRPr="00671239">
        <w:rPr>
          <w:rFonts w:eastAsia="新細明體"/>
          <w:bCs/>
          <w:szCs w:val="24"/>
        </w:rPr>
        <w:t>Selected band assignment for FT-IR spectra of 1,8-diaminooctane, dextran, and DAO/DEX</w:t>
      </w:r>
      <w:r w:rsidRPr="00671239">
        <w:rPr>
          <w:rFonts w:eastAsia="新細明體"/>
          <w:bCs/>
          <w:szCs w:val="24"/>
          <w:vertAlign w:val="subscript"/>
        </w:rPr>
        <w:t>5.0</w:t>
      </w:r>
      <w:r w:rsidRPr="00671239">
        <w:rPr>
          <w:rFonts w:eastAsia="新細明體"/>
          <w:bCs/>
          <w:szCs w:val="24"/>
        </w:rPr>
        <w:t>-CNGs.</w:t>
      </w:r>
    </w:p>
    <w:tbl>
      <w:tblPr>
        <w:tblpPr w:leftFromText="180" w:rightFromText="180" w:vertAnchor="page" w:horzAnchor="margin" w:tblpY="2801"/>
        <w:tblW w:w="5000" w:type="pct"/>
        <w:tblLayout w:type="fixed"/>
        <w:tblCellMar>
          <w:left w:w="28" w:type="dxa"/>
          <w:right w:w="28" w:type="dxa"/>
        </w:tblCellMar>
        <w:tblLook w:val="04A0" w:firstRow="1" w:lastRow="0" w:firstColumn="1" w:lastColumn="0" w:noHBand="0" w:noVBand="1"/>
      </w:tblPr>
      <w:tblGrid>
        <w:gridCol w:w="1622"/>
        <w:gridCol w:w="1624"/>
        <w:gridCol w:w="1625"/>
        <w:gridCol w:w="1623"/>
        <w:gridCol w:w="1623"/>
        <w:gridCol w:w="1623"/>
      </w:tblGrid>
      <w:tr w:rsidR="00FD14B9" w:rsidRPr="00671239" w14:paraId="692A62D2" w14:textId="77777777" w:rsidTr="00E97520">
        <w:trPr>
          <w:trHeight w:val="300"/>
        </w:trPr>
        <w:tc>
          <w:tcPr>
            <w:tcW w:w="1666" w:type="pct"/>
            <w:gridSpan w:val="2"/>
            <w:tcBorders>
              <w:top w:val="single" w:sz="4" w:space="0" w:color="auto"/>
              <w:bottom w:val="single" w:sz="4" w:space="0" w:color="auto"/>
            </w:tcBorders>
            <w:shd w:val="clear" w:color="auto" w:fill="auto"/>
            <w:noWrap/>
            <w:vAlign w:val="center"/>
            <w:hideMark/>
          </w:tcPr>
          <w:p w14:paraId="01BAD0D4"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1,8-Diaminooctane</w:t>
            </w:r>
          </w:p>
        </w:tc>
        <w:tc>
          <w:tcPr>
            <w:tcW w:w="1667" w:type="pct"/>
            <w:gridSpan w:val="2"/>
            <w:tcBorders>
              <w:top w:val="single" w:sz="4" w:space="0" w:color="auto"/>
              <w:bottom w:val="single" w:sz="4" w:space="0" w:color="auto"/>
            </w:tcBorders>
            <w:shd w:val="clear" w:color="auto" w:fill="auto"/>
            <w:noWrap/>
            <w:vAlign w:val="center"/>
            <w:hideMark/>
          </w:tcPr>
          <w:p w14:paraId="76EA0F62"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Dextran</w:t>
            </w:r>
          </w:p>
        </w:tc>
        <w:tc>
          <w:tcPr>
            <w:tcW w:w="1667" w:type="pct"/>
            <w:gridSpan w:val="2"/>
            <w:tcBorders>
              <w:top w:val="single" w:sz="4" w:space="0" w:color="auto"/>
              <w:bottom w:val="single" w:sz="4" w:space="0" w:color="auto"/>
            </w:tcBorders>
            <w:shd w:val="clear" w:color="auto" w:fill="auto"/>
            <w:noWrap/>
            <w:vAlign w:val="center"/>
            <w:hideMark/>
          </w:tcPr>
          <w:p w14:paraId="0C5D0F8E" w14:textId="77777777" w:rsidR="00FD14B9" w:rsidRPr="00671239" w:rsidRDefault="00FD14B9" w:rsidP="00FD14B9">
            <w:pPr>
              <w:spacing w:line="480" w:lineRule="auto"/>
              <w:jc w:val="center"/>
              <w:rPr>
                <w:rFonts w:eastAsia="新細明體"/>
                <w:b/>
                <w:bCs/>
                <w:szCs w:val="24"/>
              </w:rPr>
            </w:pPr>
            <w:r w:rsidRPr="00671239">
              <w:rPr>
                <w:rFonts w:eastAsia="新細明體"/>
                <w:b/>
                <w:bCs/>
                <w:szCs w:val="24"/>
              </w:rPr>
              <w:t>DAO/DEX</w:t>
            </w:r>
            <w:r w:rsidRPr="00671239">
              <w:rPr>
                <w:rFonts w:eastAsia="新細明體"/>
                <w:b/>
                <w:bCs/>
                <w:szCs w:val="24"/>
                <w:vertAlign w:val="subscript"/>
              </w:rPr>
              <w:t>5.0</w:t>
            </w:r>
            <w:r w:rsidRPr="00671239">
              <w:rPr>
                <w:rFonts w:eastAsia="新細明體"/>
                <w:b/>
                <w:bCs/>
                <w:szCs w:val="24"/>
              </w:rPr>
              <w:t>-CNGs</w:t>
            </w:r>
          </w:p>
        </w:tc>
      </w:tr>
      <w:tr w:rsidR="00E97520" w:rsidRPr="00671239" w14:paraId="2F32D241" w14:textId="77777777" w:rsidTr="00E97520">
        <w:trPr>
          <w:trHeight w:val="300"/>
        </w:trPr>
        <w:tc>
          <w:tcPr>
            <w:tcW w:w="833" w:type="pct"/>
            <w:tcBorders>
              <w:top w:val="single" w:sz="4" w:space="0" w:color="auto"/>
              <w:bottom w:val="single" w:sz="4" w:space="0" w:color="auto"/>
            </w:tcBorders>
            <w:shd w:val="clear" w:color="auto" w:fill="auto"/>
            <w:noWrap/>
            <w:vAlign w:val="center"/>
            <w:hideMark/>
          </w:tcPr>
          <w:p w14:paraId="1A1E00E3" w14:textId="77777777" w:rsidR="00FD14B9" w:rsidRPr="00671239" w:rsidRDefault="00FD14B9" w:rsidP="00FD14B9">
            <w:pPr>
              <w:spacing w:line="480" w:lineRule="auto"/>
              <w:rPr>
                <w:rFonts w:eastAsia="新細明體"/>
                <w:b/>
                <w:bCs/>
                <w:sz w:val="20"/>
              </w:rPr>
            </w:pPr>
            <w:r w:rsidRPr="00671239">
              <w:rPr>
                <w:rFonts w:eastAsia="新細明體"/>
                <w:b/>
                <w:bCs/>
                <w:sz w:val="20"/>
              </w:rPr>
              <w:t>Position (cm</w:t>
            </w:r>
            <w:r w:rsidRPr="00671239">
              <w:rPr>
                <w:rFonts w:eastAsia="新細明體"/>
                <w:b/>
                <w:bCs/>
                <w:sz w:val="20"/>
                <w:vertAlign w:val="superscript"/>
              </w:rPr>
              <w:sym w:font="Symbol" w:char="F02D"/>
            </w:r>
            <w:r w:rsidRPr="00671239">
              <w:rPr>
                <w:rFonts w:eastAsia="新細明體"/>
                <w:b/>
                <w:bCs/>
                <w:sz w:val="20"/>
                <w:vertAlign w:val="superscript"/>
              </w:rPr>
              <w:t>1</w:t>
            </w:r>
            <w:r w:rsidRPr="00671239">
              <w:rPr>
                <w:rFonts w:eastAsia="新細明體"/>
                <w:b/>
                <w:bCs/>
                <w:sz w:val="20"/>
              </w:rPr>
              <w:t>)</w:t>
            </w:r>
          </w:p>
        </w:tc>
        <w:tc>
          <w:tcPr>
            <w:tcW w:w="834" w:type="pct"/>
            <w:tcBorders>
              <w:top w:val="single" w:sz="4" w:space="0" w:color="auto"/>
              <w:bottom w:val="single" w:sz="4" w:space="0" w:color="auto"/>
            </w:tcBorders>
            <w:shd w:val="clear" w:color="auto" w:fill="auto"/>
            <w:noWrap/>
            <w:vAlign w:val="center"/>
            <w:hideMark/>
          </w:tcPr>
          <w:p w14:paraId="0C14BBD7" w14:textId="77777777" w:rsidR="00FD14B9" w:rsidRPr="00671239" w:rsidRDefault="00FD14B9" w:rsidP="00FD14B9">
            <w:pPr>
              <w:spacing w:line="480" w:lineRule="auto"/>
              <w:rPr>
                <w:rFonts w:eastAsia="新細明體"/>
                <w:b/>
                <w:bCs/>
                <w:sz w:val="20"/>
              </w:rPr>
            </w:pPr>
            <w:r w:rsidRPr="00671239">
              <w:rPr>
                <w:rFonts w:eastAsia="新細明體"/>
                <w:b/>
                <w:bCs/>
                <w:sz w:val="20"/>
              </w:rPr>
              <w:t>Common</w:t>
            </w:r>
          </w:p>
        </w:tc>
        <w:tc>
          <w:tcPr>
            <w:tcW w:w="834" w:type="pct"/>
            <w:tcBorders>
              <w:top w:val="single" w:sz="4" w:space="0" w:color="auto"/>
              <w:bottom w:val="single" w:sz="4" w:space="0" w:color="auto"/>
            </w:tcBorders>
            <w:shd w:val="clear" w:color="auto" w:fill="auto"/>
            <w:noWrap/>
            <w:vAlign w:val="center"/>
            <w:hideMark/>
          </w:tcPr>
          <w:p w14:paraId="1276E380" w14:textId="77777777" w:rsidR="00FD14B9" w:rsidRPr="00671239" w:rsidRDefault="00FD14B9" w:rsidP="00FD14B9">
            <w:pPr>
              <w:spacing w:line="480" w:lineRule="auto"/>
              <w:rPr>
                <w:rFonts w:eastAsia="新細明體"/>
                <w:b/>
                <w:bCs/>
                <w:sz w:val="20"/>
              </w:rPr>
            </w:pPr>
            <w:r w:rsidRPr="00671239">
              <w:rPr>
                <w:rFonts w:eastAsia="新細明體"/>
                <w:b/>
                <w:bCs/>
                <w:sz w:val="20"/>
              </w:rPr>
              <w:t>Position (cm</w:t>
            </w:r>
            <w:r w:rsidRPr="00671239">
              <w:rPr>
                <w:rFonts w:eastAsia="新細明體"/>
                <w:b/>
                <w:bCs/>
                <w:sz w:val="20"/>
                <w:vertAlign w:val="superscript"/>
              </w:rPr>
              <w:sym w:font="Symbol" w:char="F02D"/>
            </w:r>
            <w:r w:rsidRPr="00671239">
              <w:rPr>
                <w:rFonts w:eastAsia="新細明體"/>
                <w:b/>
                <w:bCs/>
                <w:sz w:val="20"/>
                <w:vertAlign w:val="superscript"/>
              </w:rPr>
              <w:t>1</w:t>
            </w:r>
            <w:r w:rsidRPr="00671239">
              <w:rPr>
                <w:rFonts w:eastAsia="新細明體"/>
                <w:b/>
                <w:bCs/>
                <w:sz w:val="20"/>
              </w:rPr>
              <w:t>)</w:t>
            </w:r>
          </w:p>
        </w:tc>
        <w:tc>
          <w:tcPr>
            <w:tcW w:w="833" w:type="pct"/>
            <w:tcBorders>
              <w:top w:val="single" w:sz="4" w:space="0" w:color="auto"/>
              <w:bottom w:val="single" w:sz="4" w:space="0" w:color="auto"/>
            </w:tcBorders>
            <w:shd w:val="clear" w:color="auto" w:fill="auto"/>
            <w:noWrap/>
            <w:vAlign w:val="center"/>
            <w:hideMark/>
          </w:tcPr>
          <w:p w14:paraId="76026868" w14:textId="77777777" w:rsidR="00FD14B9" w:rsidRPr="00671239" w:rsidRDefault="00FD14B9" w:rsidP="00FD14B9">
            <w:pPr>
              <w:spacing w:line="480" w:lineRule="auto"/>
              <w:rPr>
                <w:rFonts w:eastAsia="新細明體"/>
                <w:b/>
                <w:bCs/>
                <w:sz w:val="20"/>
              </w:rPr>
            </w:pPr>
            <w:r w:rsidRPr="00671239">
              <w:rPr>
                <w:rFonts w:eastAsia="新細明體"/>
                <w:b/>
                <w:bCs/>
                <w:sz w:val="20"/>
              </w:rPr>
              <w:t>Common</w:t>
            </w:r>
          </w:p>
        </w:tc>
        <w:tc>
          <w:tcPr>
            <w:tcW w:w="833" w:type="pct"/>
            <w:tcBorders>
              <w:top w:val="single" w:sz="4" w:space="0" w:color="auto"/>
              <w:bottom w:val="single" w:sz="4" w:space="0" w:color="auto"/>
            </w:tcBorders>
            <w:shd w:val="clear" w:color="auto" w:fill="auto"/>
            <w:noWrap/>
            <w:vAlign w:val="center"/>
            <w:hideMark/>
          </w:tcPr>
          <w:p w14:paraId="556C65DA" w14:textId="77777777" w:rsidR="00FD14B9" w:rsidRPr="00671239" w:rsidRDefault="00FD14B9" w:rsidP="00FD14B9">
            <w:pPr>
              <w:spacing w:line="480" w:lineRule="auto"/>
              <w:rPr>
                <w:rFonts w:eastAsia="新細明體"/>
                <w:b/>
                <w:bCs/>
                <w:sz w:val="20"/>
              </w:rPr>
            </w:pPr>
            <w:r w:rsidRPr="00671239">
              <w:rPr>
                <w:rFonts w:eastAsia="新細明體"/>
                <w:b/>
                <w:bCs/>
                <w:sz w:val="20"/>
              </w:rPr>
              <w:t>Position (cm</w:t>
            </w:r>
            <w:r w:rsidRPr="00671239">
              <w:rPr>
                <w:rFonts w:eastAsia="新細明體"/>
                <w:b/>
                <w:bCs/>
                <w:sz w:val="20"/>
                <w:vertAlign w:val="superscript"/>
              </w:rPr>
              <w:sym w:font="Symbol" w:char="F02D"/>
            </w:r>
            <w:r w:rsidRPr="00671239">
              <w:rPr>
                <w:rFonts w:eastAsia="新細明體"/>
                <w:b/>
                <w:bCs/>
                <w:sz w:val="20"/>
                <w:vertAlign w:val="superscript"/>
              </w:rPr>
              <w:t>1</w:t>
            </w:r>
            <w:r w:rsidRPr="00671239">
              <w:rPr>
                <w:rFonts w:eastAsia="新細明體"/>
                <w:b/>
                <w:bCs/>
                <w:sz w:val="20"/>
              </w:rPr>
              <w:t>)</w:t>
            </w:r>
          </w:p>
        </w:tc>
        <w:tc>
          <w:tcPr>
            <w:tcW w:w="833" w:type="pct"/>
            <w:tcBorders>
              <w:top w:val="single" w:sz="4" w:space="0" w:color="auto"/>
              <w:bottom w:val="single" w:sz="4" w:space="0" w:color="auto"/>
            </w:tcBorders>
            <w:shd w:val="clear" w:color="auto" w:fill="auto"/>
            <w:noWrap/>
            <w:vAlign w:val="center"/>
            <w:hideMark/>
          </w:tcPr>
          <w:p w14:paraId="3A8C30A4" w14:textId="77777777" w:rsidR="00FD14B9" w:rsidRPr="00671239" w:rsidRDefault="00FD14B9" w:rsidP="00FD14B9">
            <w:pPr>
              <w:spacing w:line="480" w:lineRule="auto"/>
              <w:rPr>
                <w:rFonts w:eastAsia="新細明體"/>
                <w:b/>
                <w:bCs/>
                <w:sz w:val="20"/>
              </w:rPr>
            </w:pPr>
            <w:r w:rsidRPr="00671239">
              <w:rPr>
                <w:rFonts w:eastAsia="新細明體"/>
                <w:b/>
                <w:bCs/>
                <w:sz w:val="20"/>
              </w:rPr>
              <w:t>Common</w:t>
            </w:r>
          </w:p>
        </w:tc>
      </w:tr>
      <w:tr w:rsidR="00E97520" w:rsidRPr="00671239" w14:paraId="13D0B6A5" w14:textId="77777777" w:rsidTr="00E97520">
        <w:trPr>
          <w:trHeight w:val="300"/>
        </w:trPr>
        <w:tc>
          <w:tcPr>
            <w:tcW w:w="833" w:type="pct"/>
            <w:tcBorders>
              <w:top w:val="single" w:sz="4" w:space="0" w:color="auto"/>
            </w:tcBorders>
            <w:shd w:val="clear" w:color="auto" w:fill="auto"/>
            <w:noWrap/>
            <w:vAlign w:val="center"/>
            <w:hideMark/>
          </w:tcPr>
          <w:p w14:paraId="4BB8D6D0" w14:textId="77777777" w:rsidR="00FD14B9" w:rsidRPr="00671239" w:rsidRDefault="00FD14B9" w:rsidP="00FD14B9">
            <w:pPr>
              <w:spacing w:line="480" w:lineRule="auto"/>
              <w:rPr>
                <w:rFonts w:eastAsia="新細明體"/>
                <w:sz w:val="20"/>
              </w:rPr>
            </w:pPr>
            <w:r w:rsidRPr="00671239">
              <w:rPr>
                <w:rFonts w:eastAsia="新細明體"/>
                <w:sz w:val="20"/>
              </w:rPr>
              <w:t>3362</w:t>
            </w:r>
          </w:p>
        </w:tc>
        <w:tc>
          <w:tcPr>
            <w:tcW w:w="834" w:type="pct"/>
            <w:tcBorders>
              <w:top w:val="single" w:sz="4" w:space="0" w:color="auto"/>
            </w:tcBorders>
            <w:shd w:val="clear" w:color="auto" w:fill="auto"/>
            <w:noWrap/>
            <w:vAlign w:val="center"/>
            <w:hideMark/>
          </w:tcPr>
          <w:p w14:paraId="0D15C32E" w14:textId="77777777" w:rsidR="00FD14B9" w:rsidRPr="00671239" w:rsidRDefault="00FD14B9" w:rsidP="00FD14B9">
            <w:pPr>
              <w:spacing w:line="480" w:lineRule="auto"/>
              <w:rPr>
                <w:rFonts w:eastAsia="新細明體"/>
                <w:sz w:val="20"/>
              </w:rPr>
            </w:pPr>
            <w:r w:rsidRPr="00671239">
              <w:rPr>
                <w:rFonts w:eastAsia="新細明體"/>
                <w:sz w:val="20"/>
              </w:rPr>
              <w:t>N–H stretch</w:t>
            </w:r>
          </w:p>
        </w:tc>
        <w:tc>
          <w:tcPr>
            <w:tcW w:w="834" w:type="pct"/>
            <w:tcBorders>
              <w:top w:val="single" w:sz="4" w:space="0" w:color="auto"/>
            </w:tcBorders>
            <w:shd w:val="clear" w:color="auto" w:fill="auto"/>
            <w:noWrap/>
            <w:vAlign w:val="center"/>
            <w:hideMark/>
          </w:tcPr>
          <w:p w14:paraId="16ED787B" w14:textId="77777777" w:rsidR="00FD14B9" w:rsidRPr="00671239" w:rsidRDefault="00FD14B9" w:rsidP="00FD14B9">
            <w:pPr>
              <w:spacing w:line="480" w:lineRule="auto"/>
              <w:rPr>
                <w:rFonts w:eastAsia="新細明體"/>
                <w:sz w:val="20"/>
              </w:rPr>
            </w:pPr>
            <w:r w:rsidRPr="00671239">
              <w:rPr>
                <w:rFonts w:eastAsia="新細明體"/>
                <w:sz w:val="20"/>
              </w:rPr>
              <w:t>3399</w:t>
            </w:r>
          </w:p>
        </w:tc>
        <w:tc>
          <w:tcPr>
            <w:tcW w:w="833" w:type="pct"/>
            <w:tcBorders>
              <w:top w:val="single" w:sz="4" w:space="0" w:color="auto"/>
            </w:tcBorders>
            <w:shd w:val="clear" w:color="auto" w:fill="auto"/>
            <w:noWrap/>
            <w:vAlign w:val="center"/>
            <w:hideMark/>
          </w:tcPr>
          <w:p w14:paraId="2F33C613" w14:textId="77777777" w:rsidR="00FD14B9" w:rsidRPr="00671239" w:rsidRDefault="00FD14B9" w:rsidP="00FD14B9">
            <w:pPr>
              <w:spacing w:line="480" w:lineRule="auto"/>
              <w:rPr>
                <w:rFonts w:eastAsia="新細明體"/>
                <w:sz w:val="20"/>
              </w:rPr>
            </w:pPr>
            <w:r w:rsidRPr="00671239">
              <w:rPr>
                <w:rFonts w:eastAsia="新細明體"/>
                <w:sz w:val="20"/>
              </w:rPr>
              <w:t>O–H stretch</w:t>
            </w:r>
          </w:p>
        </w:tc>
        <w:tc>
          <w:tcPr>
            <w:tcW w:w="833" w:type="pct"/>
            <w:tcBorders>
              <w:top w:val="single" w:sz="4" w:space="0" w:color="auto"/>
            </w:tcBorders>
            <w:shd w:val="clear" w:color="auto" w:fill="auto"/>
            <w:noWrap/>
            <w:vAlign w:val="center"/>
            <w:hideMark/>
          </w:tcPr>
          <w:p w14:paraId="70429400" w14:textId="77777777" w:rsidR="00FD14B9" w:rsidRPr="00671239" w:rsidRDefault="00FD14B9" w:rsidP="00FD14B9">
            <w:pPr>
              <w:spacing w:line="480" w:lineRule="auto"/>
              <w:rPr>
                <w:rFonts w:eastAsia="新細明體"/>
                <w:sz w:val="20"/>
              </w:rPr>
            </w:pPr>
            <w:r w:rsidRPr="00671239">
              <w:rPr>
                <w:rFonts w:eastAsia="新細明體"/>
                <w:sz w:val="20"/>
              </w:rPr>
              <w:t>3399</w:t>
            </w:r>
          </w:p>
        </w:tc>
        <w:tc>
          <w:tcPr>
            <w:tcW w:w="833" w:type="pct"/>
            <w:tcBorders>
              <w:top w:val="single" w:sz="4" w:space="0" w:color="auto"/>
            </w:tcBorders>
            <w:shd w:val="clear" w:color="auto" w:fill="auto"/>
            <w:noWrap/>
            <w:vAlign w:val="center"/>
            <w:hideMark/>
          </w:tcPr>
          <w:p w14:paraId="4534C0AE" w14:textId="77777777" w:rsidR="00FD14B9" w:rsidRPr="00671239" w:rsidRDefault="00FD14B9" w:rsidP="00FD14B9">
            <w:pPr>
              <w:spacing w:line="480" w:lineRule="auto"/>
              <w:rPr>
                <w:rFonts w:eastAsia="新細明體"/>
                <w:sz w:val="20"/>
              </w:rPr>
            </w:pPr>
            <w:r w:rsidRPr="00671239">
              <w:rPr>
                <w:rFonts w:eastAsia="新細明體"/>
                <w:sz w:val="20"/>
              </w:rPr>
              <w:t>O–H stretch</w:t>
            </w:r>
          </w:p>
        </w:tc>
      </w:tr>
      <w:tr w:rsidR="00E97520" w:rsidRPr="00671239" w14:paraId="02D19860" w14:textId="77777777" w:rsidTr="00E97520">
        <w:trPr>
          <w:trHeight w:val="300"/>
        </w:trPr>
        <w:tc>
          <w:tcPr>
            <w:tcW w:w="833" w:type="pct"/>
            <w:shd w:val="clear" w:color="auto" w:fill="auto"/>
            <w:noWrap/>
            <w:vAlign w:val="center"/>
            <w:hideMark/>
          </w:tcPr>
          <w:p w14:paraId="48FB8CD7" w14:textId="77777777" w:rsidR="00FD14B9" w:rsidRPr="00671239" w:rsidRDefault="00FD14B9" w:rsidP="00FD14B9">
            <w:pPr>
              <w:spacing w:line="480" w:lineRule="auto"/>
              <w:rPr>
                <w:rFonts w:eastAsia="新細明體"/>
                <w:sz w:val="20"/>
              </w:rPr>
            </w:pPr>
            <w:r w:rsidRPr="00671239">
              <w:rPr>
                <w:rFonts w:eastAsia="新細明體"/>
                <w:sz w:val="20"/>
              </w:rPr>
              <w:t>2924</w:t>
            </w:r>
          </w:p>
        </w:tc>
        <w:tc>
          <w:tcPr>
            <w:tcW w:w="834" w:type="pct"/>
            <w:shd w:val="clear" w:color="auto" w:fill="auto"/>
            <w:noWrap/>
            <w:vAlign w:val="center"/>
            <w:hideMark/>
          </w:tcPr>
          <w:p w14:paraId="7556F715" w14:textId="77777777" w:rsidR="00FD14B9" w:rsidRPr="00671239" w:rsidRDefault="00FD14B9" w:rsidP="00FD14B9">
            <w:pPr>
              <w:spacing w:line="480" w:lineRule="auto"/>
              <w:rPr>
                <w:rFonts w:eastAsia="新細明體"/>
                <w:sz w:val="20"/>
              </w:rPr>
            </w:pPr>
            <w:r w:rsidRPr="00671239">
              <w:rPr>
                <w:rFonts w:eastAsia="新細明體"/>
                <w:sz w:val="20"/>
              </w:rPr>
              <w:t>C–H stretch</w:t>
            </w:r>
          </w:p>
        </w:tc>
        <w:tc>
          <w:tcPr>
            <w:tcW w:w="834" w:type="pct"/>
            <w:shd w:val="clear" w:color="auto" w:fill="auto"/>
            <w:noWrap/>
            <w:vAlign w:val="center"/>
            <w:hideMark/>
          </w:tcPr>
          <w:p w14:paraId="2451DECF" w14:textId="77777777" w:rsidR="00FD14B9" w:rsidRPr="00671239" w:rsidRDefault="00FD14B9" w:rsidP="00FD14B9">
            <w:pPr>
              <w:spacing w:line="480" w:lineRule="auto"/>
              <w:rPr>
                <w:rFonts w:eastAsia="新細明體"/>
                <w:sz w:val="20"/>
              </w:rPr>
            </w:pPr>
            <w:r w:rsidRPr="00671239">
              <w:rPr>
                <w:rFonts w:eastAsia="新細明體"/>
                <w:sz w:val="20"/>
              </w:rPr>
              <w:t>2916</w:t>
            </w:r>
          </w:p>
        </w:tc>
        <w:tc>
          <w:tcPr>
            <w:tcW w:w="833" w:type="pct"/>
            <w:shd w:val="clear" w:color="auto" w:fill="auto"/>
            <w:noWrap/>
            <w:vAlign w:val="center"/>
            <w:hideMark/>
          </w:tcPr>
          <w:p w14:paraId="73DD808A" w14:textId="77777777" w:rsidR="00FD14B9" w:rsidRPr="00671239" w:rsidRDefault="00FD14B9" w:rsidP="00FD14B9">
            <w:pPr>
              <w:spacing w:line="480" w:lineRule="auto"/>
              <w:rPr>
                <w:rFonts w:eastAsia="新細明體"/>
                <w:sz w:val="20"/>
              </w:rPr>
            </w:pPr>
            <w:r w:rsidRPr="00671239">
              <w:rPr>
                <w:rFonts w:eastAsia="新細明體"/>
                <w:sz w:val="20"/>
              </w:rPr>
              <w:t>C–H stretch</w:t>
            </w:r>
          </w:p>
        </w:tc>
        <w:tc>
          <w:tcPr>
            <w:tcW w:w="833" w:type="pct"/>
            <w:shd w:val="clear" w:color="auto" w:fill="auto"/>
            <w:noWrap/>
            <w:vAlign w:val="center"/>
            <w:hideMark/>
          </w:tcPr>
          <w:p w14:paraId="13992A11" w14:textId="77777777" w:rsidR="00FD14B9" w:rsidRPr="00671239" w:rsidRDefault="00FD14B9" w:rsidP="00FD14B9">
            <w:pPr>
              <w:spacing w:line="480" w:lineRule="auto"/>
              <w:rPr>
                <w:rFonts w:eastAsia="新細明體"/>
                <w:sz w:val="20"/>
              </w:rPr>
            </w:pPr>
            <w:r w:rsidRPr="00671239">
              <w:rPr>
                <w:rFonts w:eastAsia="新細明體"/>
                <w:sz w:val="20"/>
              </w:rPr>
              <w:t>2930</w:t>
            </w:r>
          </w:p>
        </w:tc>
        <w:tc>
          <w:tcPr>
            <w:tcW w:w="833" w:type="pct"/>
            <w:shd w:val="clear" w:color="auto" w:fill="auto"/>
            <w:noWrap/>
            <w:vAlign w:val="center"/>
            <w:hideMark/>
          </w:tcPr>
          <w:p w14:paraId="75EF926F" w14:textId="77777777" w:rsidR="00FD14B9" w:rsidRPr="00671239" w:rsidRDefault="00FD14B9" w:rsidP="00FD14B9">
            <w:pPr>
              <w:spacing w:line="480" w:lineRule="auto"/>
              <w:rPr>
                <w:rFonts w:eastAsia="新細明體"/>
                <w:sz w:val="20"/>
              </w:rPr>
            </w:pPr>
            <w:r w:rsidRPr="00671239">
              <w:rPr>
                <w:rFonts w:eastAsia="新細明體"/>
                <w:sz w:val="20"/>
              </w:rPr>
              <w:t>C–H stretch</w:t>
            </w:r>
          </w:p>
        </w:tc>
      </w:tr>
      <w:tr w:rsidR="00E97520" w:rsidRPr="00671239" w14:paraId="35740FC2" w14:textId="77777777" w:rsidTr="00E97520">
        <w:trPr>
          <w:trHeight w:val="300"/>
        </w:trPr>
        <w:tc>
          <w:tcPr>
            <w:tcW w:w="833" w:type="pct"/>
            <w:shd w:val="clear" w:color="auto" w:fill="auto"/>
            <w:noWrap/>
            <w:vAlign w:val="center"/>
            <w:hideMark/>
          </w:tcPr>
          <w:p w14:paraId="3DCF4BA7" w14:textId="77777777" w:rsidR="00FD14B9" w:rsidRPr="00671239" w:rsidRDefault="00FD14B9" w:rsidP="00FD14B9">
            <w:pPr>
              <w:spacing w:line="480" w:lineRule="auto"/>
              <w:rPr>
                <w:rFonts w:eastAsia="新細明體"/>
                <w:sz w:val="20"/>
              </w:rPr>
            </w:pPr>
            <w:r w:rsidRPr="00671239">
              <w:rPr>
                <w:rFonts w:eastAsia="新細明體"/>
                <w:sz w:val="20"/>
              </w:rPr>
              <w:t>2857</w:t>
            </w:r>
          </w:p>
        </w:tc>
        <w:tc>
          <w:tcPr>
            <w:tcW w:w="834" w:type="pct"/>
            <w:shd w:val="clear" w:color="auto" w:fill="auto"/>
            <w:noWrap/>
            <w:vAlign w:val="center"/>
            <w:hideMark/>
          </w:tcPr>
          <w:p w14:paraId="54962906" w14:textId="77777777" w:rsidR="00FD14B9" w:rsidRPr="00671239" w:rsidRDefault="00FD14B9" w:rsidP="00FD14B9">
            <w:pPr>
              <w:spacing w:line="480" w:lineRule="auto"/>
              <w:rPr>
                <w:rFonts w:eastAsia="新細明體"/>
                <w:sz w:val="20"/>
              </w:rPr>
            </w:pPr>
            <w:r w:rsidRPr="00671239">
              <w:rPr>
                <w:rFonts w:eastAsia="新細明體"/>
                <w:sz w:val="20"/>
              </w:rPr>
              <w:t>C–H stretch</w:t>
            </w:r>
          </w:p>
        </w:tc>
        <w:tc>
          <w:tcPr>
            <w:tcW w:w="834" w:type="pct"/>
            <w:shd w:val="clear" w:color="auto" w:fill="auto"/>
            <w:noWrap/>
            <w:vAlign w:val="center"/>
            <w:hideMark/>
          </w:tcPr>
          <w:p w14:paraId="1FB0B67B" w14:textId="77777777" w:rsidR="00FD14B9" w:rsidRPr="00671239" w:rsidRDefault="00FD14B9" w:rsidP="00FD14B9">
            <w:pPr>
              <w:spacing w:line="480" w:lineRule="auto"/>
              <w:rPr>
                <w:rFonts w:eastAsia="新細明體"/>
                <w:sz w:val="20"/>
              </w:rPr>
            </w:pPr>
            <w:r w:rsidRPr="00671239">
              <w:rPr>
                <w:rFonts w:eastAsia="新細明體"/>
                <w:sz w:val="20"/>
              </w:rPr>
              <w:t>1646</w:t>
            </w:r>
          </w:p>
        </w:tc>
        <w:tc>
          <w:tcPr>
            <w:tcW w:w="833" w:type="pct"/>
            <w:shd w:val="clear" w:color="auto" w:fill="auto"/>
            <w:noWrap/>
            <w:vAlign w:val="center"/>
            <w:hideMark/>
          </w:tcPr>
          <w:p w14:paraId="5955445B" w14:textId="77777777" w:rsidR="00FD14B9" w:rsidRPr="00671239" w:rsidRDefault="00FD14B9" w:rsidP="00FD14B9">
            <w:pPr>
              <w:spacing w:line="480" w:lineRule="auto"/>
              <w:rPr>
                <w:rFonts w:eastAsia="新細明體"/>
                <w:sz w:val="20"/>
              </w:rPr>
            </w:pPr>
            <w:r w:rsidRPr="00671239">
              <w:rPr>
                <w:rFonts w:eastAsia="新細明體"/>
                <w:sz w:val="20"/>
              </w:rPr>
              <w:t>vibration of carboxyl group</w:t>
            </w:r>
          </w:p>
        </w:tc>
        <w:tc>
          <w:tcPr>
            <w:tcW w:w="833" w:type="pct"/>
            <w:shd w:val="clear" w:color="auto" w:fill="auto"/>
            <w:noWrap/>
            <w:vAlign w:val="center"/>
            <w:hideMark/>
          </w:tcPr>
          <w:p w14:paraId="372C2F53" w14:textId="77777777" w:rsidR="00FD14B9" w:rsidRPr="00671239" w:rsidRDefault="00FD14B9" w:rsidP="00FD14B9">
            <w:pPr>
              <w:spacing w:line="480" w:lineRule="auto"/>
              <w:rPr>
                <w:rFonts w:eastAsia="新細明體"/>
                <w:sz w:val="20"/>
              </w:rPr>
            </w:pPr>
            <w:r w:rsidRPr="00671239">
              <w:rPr>
                <w:rFonts w:eastAsia="新細明體"/>
                <w:sz w:val="20"/>
              </w:rPr>
              <w:t>1649</w:t>
            </w:r>
          </w:p>
        </w:tc>
        <w:tc>
          <w:tcPr>
            <w:tcW w:w="833" w:type="pct"/>
            <w:shd w:val="clear" w:color="auto" w:fill="auto"/>
            <w:noWrap/>
            <w:vAlign w:val="center"/>
            <w:hideMark/>
          </w:tcPr>
          <w:p w14:paraId="35205BF1" w14:textId="77777777" w:rsidR="00FD14B9" w:rsidRPr="00671239" w:rsidRDefault="00FD14B9" w:rsidP="00FD14B9">
            <w:pPr>
              <w:spacing w:line="480" w:lineRule="auto"/>
              <w:rPr>
                <w:rFonts w:eastAsia="新細明體"/>
                <w:sz w:val="20"/>
              </w:rPr>
            </w:pPr>
            <w:r w:rsidRPr="00671239">
              <w:rPr>
                <w:rFonts w:eastAsia="新細明體"/>
                <w:sz w:val="20"/>
              </w:rPr>
              <w:t>C=N stretching</w:t>
            </w:r>
          </w:p>
        </w:tc>
      </w:tr>
      <w:tr w:rsidR="00E97520" w:rsidRPr="00671239" w14:paraId="6714FEFF" w14:textId="77777777" w:rsidTr="00E97520">
        <w:trPr>
          <w:trHeight w:val="300"/>
        </w:trPr>
        <w:tc>
          <w:tcPr>
            <w:tcW w:w="833" w:type="pct"/>
            <w:shd w:val="clear" w:color="auto" w:fill="auto"/>
            <w:noWrap/>
            <w:vAlign w:val="center"/>
            <w:hideMark/>
          </w:tcPr>
          <w:p w14:paraId="408D4BD6" w14:textId="77777777" w:rsidR="00FD14B9" w:rsidRPr="00671239" w:rsidRDefault="00FD14B9" w:rsidP="00FD14B9">
            <w:pPr>
              <w:spacing w:line="480" w:lineRule="auto"/>
              <w:rPr>
                <w:rFonts w:eastAsia="新細明體"/>
                <w:sz w:val="20"/>
              </w:rPr>
            </w:pPr>
            <w:r w:rsidRPr="00671239">
              <w:rPr>
                <w:rFonts w:eastAsia="新細明體"/>
                <w:sz w:val="20"/>
              </w:rPr>
              <w:t>1583</w:t>
            </w:r>
          </w:p>
        </w:tc>
        <w:tc>
          <w:tcPr>
            <w:tcW w:w="834" w:type="pct"/>
            <w:shd w:val="clear" w:color="auto" w:fill="auto"/>
            <w:noWrap/>
            <w:vAlign w:val="center"/>
            <w:hideMark/>
          </w:tcPr>
          <w:p w14:paraId="07A319BA" w14:textId="77777777" w:rsidR="00FD14B9" w:rsidRPr="00671239" w:rsidRDefault="00FD14B9" w:rsidP="00FD14B9">
            <w:pPr>
              <w:spacing w:line="480" w:lineRule="auto"/>
              <w:rPr>
                <w:rFonts w:eastAsia="新細明體"/>
                <w:sz w:val="20"/>
              </w:rPr>
            </w:pPr>
            <w:r w:rsidRPr="00671239">
              <w:rPr>
                <w:rFonts w:eastAsia="新細明體"/>
                <w:sz w:val="20"/>
              </w:rPr>
              <w:t>N–H bend</w:t>
            </w:r>
          </w:p>
        </w:tc>
        <w:tc>
          <w:tcPr>
            <w:tcW w:w="834" w:type="pct"/>
            <w:shd w:val="clear" w:color="auto" w:fill="auto"/>
            <w:noWrap/>
            <w:vAlign w:val="center"/>
            <w:hideMark/>
          </w:tcPr>
          <w:p w14:paraId="171EA4E7" w14:textId="77777777" w:rsidR="00FD14B9" w:rsidRPr="00671239" w:rsidRDefault="00FD14B9" w:rsidP="00FD14B9">
            <w:pPr>
              <w:spacing w:line="480" w:lineRule="auto"/>
              <w:rPr>
                <w:rFonts w:eastAsia="新細明體"/>
                <w:sz w:val="20"/>
              </w:rPr>
            </w:pPr>
            <w:r w:rsidRPr="00671239">
              <w:rPr>
                <w:rFonts w:eastAsia="新細明體"/>
                <w:sz w:val="20"/>
              </w:rPr>
              <w:t>1340</w:t>
            </w:r>
          </w:p>
        </w:tc>
        <w:tc>
          <w:tcPr>
            <w:tcW w:w="833" w:type="pct"/>
            <w:shd w:val="clear" w:color="auto" w:fill="auto"/>
            <w:noWrap/>
            <w:vAlign w:val="center"/>
            <w:hideMark/>
          </w:tcPr>
          <w:p w14:paraId="0DA8EB77" w14:textId="77777777" w:rsidR="00FD14B9" w:rsidRPr="00671239" w:rsidRDefault="00FD14B9" w:rsidP="00FD14B9">
            <w:pPr>
              <w:spacing w:line="480" w:lineRule="auto"/>
              <w:rPr>
                <w:rFonts w:eastAsia="新細明體"/>
                <w:sz w:val="20"/>
              </w:rPr>
            </w:pPr>
            <w:r w:rsidRPr="00671239">
              <w:rPr>
                <w:rFonts w:eastAsia="新細明體"/>
                <w:sz w:val="20"/>
              </w:rPr>
              <w:t>O–H bend</w:t>
            </w:r>
          </w:p>
        </w:tc>
        <w:tc>
          <w:tcPr>
            <w:tcW w:w="833" w:type="pct"/>
            <w:shd w:val="clear" w:color="auto" w:fill="auto"/>
            <w:noWrap/>
            <w:vAlign w:val="center"/>
            <w:hideMark/>
          </w:tcPr>
          <w:p w14:paraId="245DFAE4" w14:textId="77777777" w:rsidR="00FD14B9" w:rsidRPr="00671239" w:rsidRDefault="00FD14B9" w:rsidP="00FD14B9">
            <w:pPr>
              <w:spacing w:line="480" w:lineRule="auto"/>
              <w:rPr>
                <w:rFonts w:eastAsia="新細明體"/>
                <w:sz w:val="20"/>
              </w:rPr>
            </w:pPr>
            <w:r w:rsidRPr="00671239">
              <w:rPr>
                <w:rFonts w:eastAsia="新細明體"/>
                <w:sz w:val="20"/>
              </w:rPr>
              <w:t>1565</w:t>
            </w:r>
          </w:p>
        </w:tc>
        <w:tc>
          <w:tcPr>
            <w:tcW w:w="833" w:type="pct"/>
            <w:shd w:val="clear" w:color="auto" w:fill="auto"/>
            <w:noWrap/>
            <w:vAlign w:val="center"/>
            <w:hideMark/>
          </w:tcPr>
          <w:p w14:paraId="446EBB52" w14:textId="77777777" w:rsidR="00FD14B9" w:rsidRPr="00671239" w:rsidRDefault="00FD14B9" w:rsidP="00FD14B9">
            <w:pPr>
              <w:spacing w:line="480" w:lineRule="auto"/>
              <w:rPr>
                <w:rFonts w:eastAsia="新細明體"/>
                <w:sz w:val="20"/>
              </w:rPr>
            </w:pPr>
            <w:r w:rsidRPr="00671239">
              <w:rPr>
                <w:rFonts w:eastAsia="新細明體"/>
                <w:sz w:val="20"/>
              </w:rPr>
              <w:t>C=C stretching</w:t>
            </w:r>
          </w:p>
        </w:tc>
      </w:tr>
      <w:tr w:rsidR="00E97520" w:rsidRPr="00671239" w14:paraId="55506631" w14:textId="77777777" w:rsidTr="00E97520">
        <w:trPr>
          <w:trHeight w:val="82"/>
        </w:trPr>
        <w:tc>
          <w:tcPr>
            <w:tcW w:w="833" w:type="pct"/>
            <w:shd w:val="clear" w:color="auto" w:fill="auto"/>
            <w:noWrap/>
            <w:vAlign w:val="center"/>
            <w:hideMark/>
          </w:tcPr>
          <w:p w14:paraId="2B875E0C" w14:textId="77777777" w:rsidR="00FD14B9" w:rsidRPr="00671239" w:rsidRDefault="00FD14B9" w:rsidP="00FD14B9">
            <w:pPr>
              <w:spacing w:line="480" w:lineRule="auto"/>
              <w:rPr>
                <w:rFonts w:eastAsia="新細明體"/>
                <w:sz w:val="20"/>
              </w:rPr>
            </w:pPr>
            <w:r w:rsidRPr="00671239">
              <w:rPr>
                <w:rFonts w:eastAsia="新細明體"/>
                <w:sz w:val="20"/>
              </w:rPr>
              <w:t>1494</w:t>
            </w:r>
          </w:p>
        </w:tc>
        <w:tc>
          <w:tcPr>
            <w:tcW w:w="834" w:type="pct"/>
            <w:shd w:val="clear" w:color="auto" w:fill="auto"/>
            <w:noWrap/>
            <w:vAlign w:val="center"/>
            <w:hideMark/>
          </w:tcPr>
          <w:p w14:paraId="032FAAEF" w14:textId="77777777" w:rsidR="00FD14B9" w:rsidRPr="00671239" w:rsidRDefault="00FD14B9" w:rsidP="00FD14B9">
            <w:pPr>
              <w:spacing w:line="480" w:lineRule="auto"/>
              <w:rPr>
                <w:rFonts w:eastAsia="新細明體"/>
                <w:sz w:val="20"/>
              </w:rPr>
            </w:pPr>
            <w:r w:rsidRPr="00671239">
              <w:rPr>
                <w:rFonts w:eastAsia="新細明體"/>
                <w:sz w:val="20"/>
              </w:rPr>
              <w:t>C–H bend</w:t>
            </w:r>
          </w:p>
        </w:tc>
        <w:tc>
          <w:tcPr>
            <w:tcW w:w="834" w:type="pct"/>
            <w:shd w:val="clear" w:color="auto" w:fill="auto"/>
            <w:noWrap/>
            <w:vAlign w:val="center"/>
            <w:hideMark/>
          </w:tcPr>
          <w:p w14:paraId="56BD4B9E" w14:textId="77777777" w:rsidR="00FD14B9" w:rsidRPr="00671239" w:rsidRDefault="00FD14B9" w:rsidP="00FD14B9">
            <w:pPr>
              <w:spacing w:line="480" w:lineRule="auto"/>
              <w:rPr>
                <w:rFonts w:eastAsia="新細明體"/>
                <w:sz w:val="20"/>
              </w:rPr>
            </w:pPr>
            <w:r w:rsidRPr="00671239">
              <w:rPr>
                <w:rFonts w:eastAsia="新細明體"/>
                <w:sz w:val="20"/>
              </w:rPr>
              <w:t>1270</w:t>
            </w:r>
          </w:p>
        </w:tc>
        <w:tc>
          <w:tcPr>
            <w:tcW w:w="833" w:type="pct"/>
            <w:shd w:val="clear" w:color="auto" w:fill="auto"/>
            <w:noWrap/>
            <w:vAlign w:val="center"/>
            <w:hideMark/>
          </w:tcPr>
          <w:p w14:paraId="370AE077" w14:textId="77777777" w:rsidR="00FD14B9" w:rsidRPr="00671239" w:rsidRDefault="00FD14B9" w:rsidP="00FD14B9">
            <w:pPr>
              <w:spacing w:line="480" w:lineRule="auto"/>
              <w:rPr>
                <w:rFonts w:eastAsia="新細明體"/>
                <w:sz w:val="20"/>
              </w:rPr>
            </w:pPr>
            <w:r w:rsidRPr="00671239">
              <w:rPr>
                <w:rFonts w:eastAsia="新細明體"/>
                <w:sz w:val="20"/>
              </w:rPr>
              <w:t>O–H bend</w:t>
            </w:r>
          </w:p>
        </w:tc>
        <w:tc>
          <w:tcPr>
            <w:tcW w:w="833" w:type="pct"/>
            <w:shd w:val="clear" w:color="auto" w:fill="auto"/>
            <w:noWrap/>
            <w:vAlign w:val="center"/>
            <w:hideMark/>
          </w:tcPr>
          <w:p w14:paraId="37520D92" w14:textId="77777777" w:rsidR="00FD14B9" w:rsidRPr="00671239" w:rsidRDefault="00FD14B9" w:rsidP="00FD14B9">
            <w:pPr>
              <w:spacing w:line="480" w:lineRule="auto"/>
              <w:rPr>
                <w:rFonts w:eastAsia="新細明體"/>
                <w:sz w:val="20"/>
              </w:rPr>
            </w:pPr>
            <w:r w:rsidRPr="00671239">
              <w:rPr>
                <w:rFonts w:eastAsia="新細明體"/>
                <w:sz w:val="20"/>
              </w:rPr>
              <w:t>1340</w:t>
            </w:r>
          </w:p>
        </w:tc>
        <w:tc>
          <w:tcPr>
            <w:tcW w:w="833" w:type="pct"/>
            <w:shd w:val="clear" w:color="auto" w:fill="auto"/>
            <w:noWrap/>
            <w:vAlign w:val="center"/>
            <w:hideMark/>
          </w:tcPr>
          <w:p w14:paraId="61DF79CC" w14:textId="77777777" w:rsidR="00FD14B9" w:rsidRPr="00671239" w:rsidRDefault="00FD14B9" w:rsidP="00FD14B9">
            <w:pPr>
              <w:spacing w:line="480" w:lineRule="auto"/>
              <w:rPr>
                <w:rFonts w:eastAsia="新細明體"/>
                <w:sz w:val="20"/>
              </w:rPr>
            </w:pPr>
            <w:r w:rsidRPr="00671239">
              <w:rPr>
                <w:rFonts w:eastAsia="新細明體"/>
                <w:sz w:val="20"/>
              </w:rPr>
              <w:t>O–H bend</w:t>
            </w:r>
          </w:p>
        </w:tc>
      </w:tr>
      <w:tr w:rsidR="00E97520" w:rsidRPr="00671239" w14:paraId="0082D0DA" w14:textId="77777777" w:rsidTr="00E97520">
        <w:trPr>
          <w:trHeight w:val="286"/>
        </w:trPr>
        <w:tc>
          <w:tcPr>
            <w:tcW w:w="833" w:type="pct"/>
            <w:shd w:val="clear" w:color="auto" w:fill="auto"/>
            <w:noWrap/>
            <w:vAlign w:val="center"/>
            <w:hideMark/>
          </w:tcPr>
          <w:p w14:paraId="086D52E6" w14:textId="77777777" w:rsidR="00FD14B9" w:rsidRPr="00671239" w:rsidRDefault="00FD14B9" w:rsidP="00FD14B9">
            <w:pPr>
              <w:spacing w:line="480" w:lineRule="auto"/>
              <w:rPr>
                <w:rFonts w:eastAsia="新細明體"/>
                <w:sz w:val="20"/>
              </w:rPr>
            </w:pPr>
            <w:r w:rsidRPr="00671239">
              <w:rPr>
                <w:rFonts w:eastAsia="新細明體"/>
                <w:sz w:val="20"/>
              </w:rPr>
              <w:t>1292</w:t>
            </w:r>
          </w:p>
        </w:tc>
        <w:tc>
          <w:tcPr>
            <w:tcW w:w="834" w:type="pct"/>
            <w:shd w:val="clear" w:color="auto" w:fill="auto"/>
            <w:noWrap/>
            <w:vAlign w:val="center"/>
            <w:hideMark/>
          </w:tcPr>
          <w:p w14:paraId="65120703" w14:textId="77777777" w:rsidR="00FD14B9" w:rsidRPr="00671239" w:rsidRDefault="00FD14B9" w:rsidP="00FD14B9">
            <w:pPr>
              <w:spacing w:line="480" w:lineRule="auto"/>
              <w:rPr>
                <w:rFonts w:eastAsia="新細明體"/>
                <w:sz w:val="20"/>
              </w:rPr>
            </w:pPr>
            <w:r w:rsidRPr="00671239">
              <w:rPr>
                <w:rFonts w:eastAsia="新細明體"/>
                <w:sz w:val="20"/>
              </w:rPr>
              <w:t>C–N stretch</w:t>
            </w:r>
          </w:p>
        </w:tc>
        <w:tc>
          <w:tcPr>
            <w:tcW w:w="834" w:type="pct"/>
            <w:shd w:val="clear" w:color="auto" w:fill="auto"/>
            <w:noWrap/>
            <w:vAlign w:val="center"/>
            <w:hideMark/>
          </w:tcPr>
          <w:p w14:paraId="7FA3E689" w14:textId="77777777" w:rsidR="00FD14B9" w:rsidRPr="00671239" w:rsidRDefault="00FD14B9" w:rsidP="00FD14B9">
            <w:pPr>
              <w:spacing w:line="480" w:lineRule="auto"/>
              <w:rPr>
                <w:rFonts w:eastAsia="新細明體"/>
                <w:sz w:val="20"/>
              </w:rPr>
            </w:pPr>
            <w:r w:rsidRPr="00671239">
              <w:rPr>
                <w:rFonts w:eastAsia="新細明體"/>
                <w:sz w:val="20"/>
              </w:rPr>
              <w:t>1111</w:t>
            </w:r>
          </w:p>
        </w:tc>
        <w:tc>
          <w:tcPr>
            <w:tcW w:w="833" w:type="pct"/>
            <w:shd w:val="clear" w:color="auto" w:fill="auto"/>
            <w:noWrap/>
            <w:vAlign w:val="center"/>
            <w:hideMark/>
          </w:tcPr>
          <w:p w14:paraId="4DD01DEA" w14:textId="77777777" w:rsidR="00FD14B9" w:rsidRPr="00671239" w:rsidRDefault="00FD14B9" w:rsidP="00FD14B9">
            <w:pPr>
              <w:spacing w:line="480" w:lineRule="auto"/>
              <w:rPr>
                <w:rFonts w:eastAsia="新細明體"/>
                <w:sz w:val="20"/>
              </w:rPr>
            </w:pPr>
            <w:r w:rsidRPr="00671239">
              <w:rPr>
                <w:rFonts w:eastAsia="新細明體"/>
                <w:sz w:val="20"/>
              </w:rPr>
              <w:t xml:space="preserve">C–O and C–C vibration at the C-4 position of glucose residue </w:t>
            </w:r>
          </w:p>
        </w:tc>
        <w:tc>
          <w:tcPr>
            <w:tcW w:w="833" w:type="pct"/>
            <w:shd w:val="clear" w:color="auto" w:fill="auto"/>
            <w:noWrap/>
            <w:vAlign w:val="center"/>
            <w:hideMark/>
          </w:tcPr>
          <w:p w14:paraId="4418757F" w14:textId="77777777" w:rsidR="00FD14B9" w:rsidRPr="00671239" w:rsidRDefault="00FD14B9" w:rsidP="00FD14B9">
            <w:pPr>
              <w:spacing w:line="480" w:lineRule="auto"/>
              <w:rPr>
                <w:rFonts w:eastAsia="新細明體"/>
                <w:sz w:val="20"/>
              </w:rPr>
            </w:pPr>
            <w:r w:rsidRPr="00671239">
              <w:rPr>
                <w:rFonts w:eastAsia="新細明體"/>
                <w:sz w:val="20"/>
              </w:rPr>
              <w:t>1270</w:t>
            </w:r>
          </w:p>
        </w:tc>
        <w:tc>
          <w:tcPr>
            <w:tcW w:w="833" w:type="pct"/>
            <w:shd w:val="clear" w:color="auto" w:fill="auto"/>
            <w:noWrap/>
            <w:vAlign w:val="center"/>
            <w:hideMark/>
          </w:tcPr>
          <w:p w14:paraId="79605AA8" w14:textId="77777777" w:rsidR="00FD14B9" w:rsidRPr="00671239" w:rsidRDefault="00FD14B9" w:rsidP="00FD14B9">
            <w:pPr>
              <w:spacing w:line="480" w:lineRule="auto"/>
              <w:rPr>
                <w:rFonts w:eastAsia="新細明體"/>
                <w:sz w:val="20"/>
              </w:rPr>
            </w:pPr>
            <w:r w:rsidRPr="00671239">
              <w:rPr>
                <w:rFonts w:eastAsia="新細明體"/>
                <w:sz w:val="20"/>
              </w:rPr>
              <w:t>O–H bend</w:t>
            </w:r>
          </w:p>
        </w:tc>
      </w:tr>
      <w:tr w:rsidR="00E97520" w:rsidRPr="00671239" w14:paraId="2703C7B4" w14:textId="77777777" w:rsidTr="00E97520">
        <w:trPr>
          <w:trHeight w:val="300"/>
        </w:trPr>
        <w:tc>
          <w:tcPr>
            <w:tcW w:w="833" w:type="pct"/>
            <w:shd w:val="clear" w:color="auto" w:fill="auto"/>
            <w:noWrap/>
            <w:vAlign w:val="center"/>
            <w:hideMark/>
          </w:tcPr>
          <w:p w14:paraId="3592EB60" w14:textId="77777777" w:rsidR="00FD14B9" w:rsidRPr="00671239" w:rsidRDefault="00FD14B9" w:rsidP="00FD14B9">
            <w:pPr>
              <w:spacing w:line="480" w:lineRule="auto"/>
              <w:rPr>
                <w:rFonts w:eastAsia="新細明體"/>
                <w:sz w:val="20"/>
              </w:rPr>
            </w:pPr>
          </w:p>
        </w:tc>
        <w:tc>
          <w:tcPr>
            <w:tcW w:w="834" w:type="pct"/>
            <w:shd w:val="clear" w:color="auto" w:fill="auto"/>
            <w:noWrap/>
            <w:vAlign w:val="center"/>
            <w:hideMark/>
          </w:tcPr>
          <w:p w14:paraId="605C93D9" w14:textId="77777777" w:rsidR="00FD14B9" w:rsidRPr="00671239" w:rsidRDefault="00FD14B9" w:rsidP="00FD14B9">
            <w:pPr>
              <w:spacing w:line="480" w:lineRule="auto"/>
              <w:rPr>
                <w:rFonts w:eastAsia="Times New Roman"/>
                <w:sz w:val="20"/>
              </w:rPr>
            </w:pPr>
          </w:p>
        </w:tc>
        <w:tc>
          <w:tcPr>
            <w:tcW w:w="834" w:type="pct"/>
            <w:shd w:val="clear" w:color="auto" w:fill="auto"/>
            <w:noWrap/>
            <w:vAlign w:val="center"/>
            <w:hideMark/>
          </w:tcPr>
          <w:p w14:paraId="5AA0C632" w14:textId="77777777" w:rsidR="00FD14B9" w:rsidRPr="00671239" w:rsidRDefault="00FD14B9" w:rsidP="00FD14B9">
            <w:pPr>
              <w:spacing w:line="480" w:lineRule="auto"/>
              <w:rPr>
                <w:rFonts w:eastAsia="新細明體"/>
                <w:sz w:val="20"/>
              </w:rPr>
            </w:pPr>
            <w:r w:rsidRPr="00671239">
              <w:rPr>
                <w:rFonts w:eastAsia="新細明體"/>
                <w:sz w:val="20"/>
              </w:rPr>
              <w:t>1157</w:t>
            </w:r>
          </w:p>
        </w:tc>
        <w:tc>
          <w:tcPr>
            <w:tcW w:w="833" w:type="pct"/>
            <w:shd w:val="clear" w:color="auto" w:fill="auto"/>
            <w:noWrap/>
            <w:vAlign w:val="center"/>
            <w:hideMark/>
          </w:tcPr>
          <w:p w14:paraId="64E04840" w14:textId="77777777" w:rsidR="00FD14B9" w:rsidRPr="00671239" w:rsidRDefault="00FD14B9" w:rsidP="00FD14B9">
            <w:pPr>
              <w:spacing w:line="480" w:lineRule="auto"/>
              <w:rPr>
                <w:rFonts w:eastAsia="新細明體"/>
                <w:sz w:val="20"/>
              </w:rPr>
            </w:pPr>
            <w:r w:rsidRPr="00671239">
              <w:rPr>
                <w:rFonts w:eastAsia="新細明體"/>
                <w:sz w:val="20"/>
              </w:rPr>
              <w:t>C–O–C; glycosidic bonds</w:t>
            </w:r>
          </w:p>
        </w:tc>
        <w:tc>
          <w:tcPr>
            <w:tcW w:w="833" w:type="pct"/>
            <w:shd w:val="clear" w:color="auto" w:fill="auto"/>
            <w:noWrap/>
            <w:vAlign w:val="center"/>
            <w:hideMark/>
          </w:tcPr>
          <w:p w14:paraId="0B40A229" w14:textId="77777777" w:rsidR="00FD14B9" w:rsidRPr="00671239" w:rsidRDefault="00FD14B9" w:rsidP="00FD14B9">
            <w:pPr>
              <w:spacing w:line="480" w:lineRule="auto"/>
              <w:rPr>
                <w:rFonts w:eastAsia="新細明體"/>
                <w:sz w:val="20"/>
              </w:rPr>
            </w:pPr>
            <w:r w:rsidRPr="00671239">
              <w:rPr>
                <w:rFonts w:eastAsia="新細明體"/>
                <w:sz w:val="20"/>
              </w:rPr>
              <w:t>1157</w:t>
            </w:r>
          </w:p>
        </w:tc>
        <w:tc>
          <w:tcPr>
            <w:tcW w:w="833" w:type="pct"/>
            <w:shd w:val="clear" w:color="auto" w:fill="auto"/>
            <w:noWrap/>
            <w:vAlign w:val="center"/>
            <w:hideMark/>
          </w:tcPr>
          <w:p w14:paraId="4999A961" w14:textId="77777777" w:rsidR="00FD14B9" w:rsidRPr="00671239" w:rsidRDefault="00FD14B9" w:rsidP="00FD14B9">
            <w:pPr>
              <w:spacing w:line="480" w:lineRule="auto"/>
              <w:rPr>
                <w:rFonts w:eastAsia="新細明體"/>
                <w:sz w:val="20"/>
              </w:rPr>
            </w:pPr>
            <w:r w:rsidRPr="00671239">
              <w:rPr>
                <w:rFonts w:eastAsia="新細明體"/>
                <w:sz w:val="20"/>
              </w:rPr>
              <w:t>C–O–C; glycosidic bonds</w:t>
            </w:r>
          </w:p>
        </w:tc>
      </w:tr>
      <w:tr w:rsidR="00E97520" w:rsidRPr="00671239" w14:paraId="7EAF626D" w14:textId="77777777" w:rsidTr="00E97520">
        <w:trPr>
          <w:trHeight w:val="300"/>
        </w:trPr>
        <w:tc>
          <w:tcPr>
            <w:tcW w:w="833" w:type="pct"/>
            <w:shd w:val="clear" w:color="auto" w:fill="auto"/>
            <w:noWrap/>
            <w:vAlign w:val="center"/>
            <w:hideMark/>
          </w:tcPr>
          <w:p w14:paraId="57111995" w14:textId="77777777" w:rsidR="00FD14B9" w:rsidRPr="00671239" w:rsidRDefault="00FD14B9" w:rsidP="00FD14B9">
            <w:pPr>
              <w:spacing w:line="480" w:lineRule="auto"/>
              <w:rPr>
                <w:rFonts w:eastAsia="新細明體"/>
                <w:sz w:val="20"/>
              </w:rPr>
            </w:pPr>
          </w:p>
        </w:tc>
        <w:tc>
          <w:tcPr>
            <w:tcW w:w="834" w:type="pct"/>
            <w:shd w:val="clear" w:color="auto" w:fill="auto"/>
            <w:noWrap/>
            <w:vAlign w:val="center"/>
            <w:hideMark/>
          </w:tcPr>
          <w:p w14:paraId="460F5720" w14:textId="77777777" w:rsidR="00FD14B9" w:rsidRPr="00671239" w:rsidRDefault="00FD14B9" w:rsidP="00FD14B9">
            <w:pPr>
              <w:spacing w:line="480" w:lineRule="auto"/>
              <w:rPr>
                <w:rFonts w:eastAsia="Times New Roman"/>
                <w:sz w:val="20"/>
              </w:rPr>
            </w:pPr>
          </w:p>
        </w:tc>
        <w:tc>
          <w:tcPr>
            <w:tcW w:w="834" w:type="pct"/>
            <w:shd w:val="clear" w:color="auto" w:fill="auto"/>
            <w:noWrap/>
            <w:vAlign w:val="center"/>
            <w:hideMark/>
          </w:tcPr>
          <w:p w14:paraId="558E32FA" w14:textId="77777777" w:rsidR="00FD14B9" w:rsidRPr="00671239" w:rsidRDefault="00FD14B9" w:rsidP="00FD14B9">
            <w:pPr>
              <w:spacing w:line="480" w:lineRule="auto"/>
              <w:rPr>
                <w:rFonts w:eastAsia="新細明體"/>
                <w:sz w:val="20"/>
              </w:rPr>
            </w:pPr>
            <w:r w:rsidRPr="00671239">
              <w:rPr>
                <w:rFonts w:eastAsia="新細明體"/>
                <w:sz w:val="20"/>
              </w:rPr>
              <w:t>1008</w:t>
            </w:r>
          </w:p>
        </w:tc>
        <w:tc>
          <w:tcPr>
            <w:tcW w:w="833" w:type="pct"/>
            <w:shd w:val="clear" w:color="auto" w:fill="auto"/>
            <w:noWrap/>
            <w:vAlign w:val="center"/>
            <w:hideMark/>
          </w:tcPr>
          <w:p w14:paraId="4B467E2E" w14:textId="77777777" w:rsidR="00FD14B9" w:rsidRPr="00671239" w:rsidRDefault="00FD14B9" w:rsidP="00FD14B9">
            <w:pPr>
              <w:spacing w:line="480" w:lineRule="auto"/>
              <w:rPr>
                <w:rFonts w:eastAsia="新細明體"/>
                <w:sz w:val="20"/>
              </w:rPr>
            </w:pPr>
            <w:r w:rsidRPr="00671239">
              <w:rPr>
                <w:rFonts w:eastAsia="新細明體"/>
                <w:sz w:val="20"/>
              </w:rPr>
              <w:t>α-1,6-glycosidic bond</w:t>
            </w:r>
          </w:p>
        </w:tc>
        <w:tc>
          <w:tcPr>
            <w:tcW w:w="833" w:type="pct"/>
            <w:shd w:val="clear" w:color="auto" w:fill="auto"/>
            <w:noWrap/>
            <w:vAlign w:val="center"/>
            <w:hideMark/>
          </w:tcPr>
          <w:p w14:paraId="6A6390FC" w14:textId="77777777" w:rsidR="00FD14B9" w:rsidRPr="00671239" w:rsidRDefault="00FD14B9" w:rsidP="00FD14B9">
            <w:pPr>
              <w:spacing w:line="480" w:lineRule="auto"/>
              <w:rPr>
                <w:rFonts w:eastAsia="新細明體"/>
                <w:sz w:val="20"/>
              </w:rPr>
            </w:pPr>
            <w:r w:rsidRPr="00671239">
              <w:rPr>
                <w:rFonts w:eastAsia="新細明體"/>
                <w:sz w:val="20"/>
              </w:rPr>
              <w:t>1111</w:t>
            </w:r>
          </w:p>
        </w:tc>
        <w:tc>
          <w:tcPr>
            <w:tcW w:w="833" w:type="pct"/>
            <w:shd w:val="clear" w:color="auto" w:fill="auto"/>
            <w:noWrap/>
            <w:vAlign w:val="center"/>
            <w:hideMark/>
          </w:tcPr>
          <w:p w14:paraId="08BE116E" w14:textId="77777777" w:rsidR="00FD14B9" w:rsidRPr="00671239" w:rsidRDefault="00FD14B9" w:rsidP="00FD14B9">
            <w:pPr>
              <w:spacing w:line="480" w:lineRule="auto"/>
              <w:rPr>
                <w:rFonts w:eastAsia="新細明體"/>
                <w:sz w:val="20"/>
              </w:rPr>
            </w:pPr>
            <w:r w:rsidRPr="00671239">
              <w:rPr>
                <w:rFonts w:eastAsia="新細明體"/>
                <w:sz w:val="20"/>
              </w:rPr>
              <w:t xml:space="preserve">C–O and C–C vibration at the C-4 position of glucose residue </w:t>
            </w:r>
          </w:p>
        </w:tc>
      </w:tr>
      <w:tr w:rsidR="00E97520" w:rsidRPr="00671239" w14:paraId="098BE242" w14:textId="77777777" w:rsidTr="00E97520">
        <w:trPr>
          <w:trHeight w:val="300"/>
        </w:trPr>
        <w:tc>
          <w:tcPr>
            <w:tcW w:w="833" w:type="pct"/>
            <w:tcBorders>
              <w:bottom w:val="single" w:sz="4" w:space="0" w:color="auto"/>
            </w:tcBorders>
            <w:shd w:val="clear" w:color="auto" w:fill="auto"/>
            <w:noWrap/>
            <w:vAlign w:val="center"/>
            <w:hideMark/>
          </w:tcPr>
          <w:p w14:paraId="295FFC04" w14:textId="77777777" w:rsidR="00FD14B9" w:rsidRPr="00671239" w:rsidRDefault="00FD14B9" w:rsidP="00FD14B9">
            <w:pPr>
              <w:spacing w:line="480" w:lineRule="auto"/>
              <w:rPr>
                <w:rFonts w:eastAsia="新細明體"/>
                <w:sz w:val="20"/>
              </w:rPr>
            </w:pPr>
          </w:p>
        </w:tc>
        <w:tc>
          <w:tcPr>
            <w:tcW w:w="834" w:type="pct"/>
            <w:tcBorders>
              <w:bottom w:val="single" w:sz="4" w:space="0" w:color="auto"/>
            </w:tcBorders>
            <w:shd w:val="clear" w:color="auto" w:fill="auto"/>
            <w:noWrap/>
            <w:vAlign w:val="center"/>
            <w:hideMark/>
          </w:tcPr>
          <w:p w14:paraId="6253E836" w14:textId="77777777" w:rsidR="00FD14B9" w:rsidRPr="00671239" w:rsidRDefault="00FD14B9" w:rsidP="00FD14B9">
            <w:pPr>
              <w:spacing w:line="480" w:lineRule="auto"/>
              <w:rPr>
                <w:rFonts w:eastAsia="Times New Roman"/>
                <w:sz w:val="20"/>
              </w:rPr>
            </w:pPr>
          </w:p>
        </w:tc>
        <w:tc>
          <w:tcPr>
            <w:tcW w:w="834" w:type="pct"/>
            <w:tcBorders>
              <w:bottom w:val="single" w:sz="4" w:space="0" w:color="auto"/>
            </w:tcBorders>
            <w:shd w:val="clear" w:color="auto" w:fill="auto"/>
            <w:noWrap/>
            <w:vAlign w:val="center"/>
            <w:hideMark/>
          </w:tcPr>
          <w:p w14:paraId="480059C0" w14:textId="77777777" w:rsidR="00FD14B9" w:rsidRPr="00671239" w:rsidRDefault="00FD14B9" w:rsidP="00FD14B9">
            <w:pPr>
              <w:spacing w:line="480" w:lineRule="auto"/>
              <w:rPr>
                <w:rFonts w:eastAsia="新細明體"/>
                <w:sz w:val="20"/>
              </w:rPr>
            </w:pPr>
            <w:r w:rsidRPr="00671239">
              <w:rPr>
                <w:rFonts w:eastAsia="新細明體"/>
                <w:sz w:val="20"/>
              </w:rPr>
              <w:t>912</w:t>
            </w:r>
          </w:p>
        </w:tc>
        <w:tc>
          <w:tcPr>
            <w:tcW w:w="833" w:type="pct"/>
            <w:tcBorders>
              <w:bottom w:val="single" w:sz="4" w:space="0" w:color="auto"/>
            </w:tcBorders>
            <w:shd w:val="clear" w:color="auto" w:fill="auto"/>
            <w:noWrap/>
            <w:vAlign w:val="center"/>
            <w:hideMark/>
          </w:tcPr>
          <w:p w14:paraId="507FF770" w14:textId="77777777" w:rsidR="00FD14B9" w:rsidRPr="00671239" w:rsidRDefault="00FD14B9" w:rsidP="00FD14B9">
            <w:pPr>
              <w:spacing w:line="480" w:lineRule="auto"/>
              <w:rPr>
                <w:rFonts w:eastAsia="新細明體"/>
                <w:sz w:val="20"/>
              </w:rPr>
            </w:pPr>
            <w:r w:rsidRPr="00671239">
              <w:rPr>
                <w:rFonts w:eastAsia="新細明體"/>
                <w:sz w:val="20"/>
              </w:rPr>
              <w:t>α-glycosidic bond</w:t>
            </w:r>
          </w:p>
        </w:tc>
        <w:tc>
          <w:tcPr>
            <w:tcW w:w="833" w:type="pct"/>
            <w:tcBorders>
              <w:bottom w:val="single" w:sz="4" w:space="0" w:color="auto"/>
            </w:tcBorders>
            <w:shd w:val="clear" w:color="auto" w:fill="auto"/>
            <w:noWrap/>
            <w:vAlign w:val="center"/>
            <w:hideMark/>
          </w:tcPr>
          <w:p w14:paraId="5844519D" w14:textId="77777777" w:rsidR="00FD14B9" w:rsidRPr="00671239" w:rsidRDefault="00FD14B9" w:rsidP="00FD14B9">
            <w:pPr>
              <w:spacing w:line="480" w:lineRule="auto"/>
              <w:rPr>
                <w:rFonts w:eastAsia="新細明體"/>
                <w:sz w:val="20"/>
              </w:rPr>
            </w:pPr>
            <w:r w:rsidRPr="00671239">
              <w:rPr>
                <w:rFonts w:eastAsia="新細明體"/>
                <w:sz w:val="20"/>
              </w:rPr>
              <w:t>1008</w:t>
            </w:r>
          </w:p>
        </w:tc>
        <w:tc>
          <w:tcPr>
            <w:tcW w:w="833" w:type="pct"/>
            <w:tcBorders>
              <w:bottom w:val="single" w:sz="4" w:space="0" w:color="auto"/>
            </w:tcBorders>
            <w:shd w:val="clear" w:color="auto" w:fill="auto"/>
            <w:noWrap/>
            <w:vAlign w:val="center"/>
            <w:hideMark/>
          </w:tcPr>
          <w:p w14:paraId="4FFBCA47" w14:textId="77777777" w:rsidR="00FD14B9" w:rsidRPr="00671239" w:rsidRDefault="00FD14B9" w:rsidP="00FD14B9">
            <w:pPr>
              <w:spacing w:line="480" w:lineRule="auto"/>
              <w:rPr>
                <w:rFonts w:eastAsia="新細明體"/>
                <w:sz w:val="20"/>
              </w:rPr>
            </w:pPr>
            <w:r w:rsidRPr="00671239">
              <w:rPr>
                <w:rFonts w:eastAsia="新細明體"/>
                <w:sz w:val="20"/>
              </w:rPr>
              <w:t>α-1,6-glycosidic bond</w:t>
            </w:r>
          </w:p>
        </w:tc>
      </w:tr>
    </w:tbl>
    <w:p w14:paraId="5673B6FF" w14:textId="0EAFE316" w:rsidR="00FD14B9" w:rsidRDefault="00FD14B9" w:rsidP="00FD14B9">
      <w:pPr>
        <w:spacing w:line="360" w:lineRule="auto"/>
        <w:jc w:val="both"/>
        <w:rPr>
          <w:rFonts w:eastAsia="新細明體"/>
          <w:lang w:val="en-GB"/>
        </w:rPr>
      </w:pPr>
    </w:p>
    <w:p w14:paraId="0CA76B15" w14:textId="0DC3BEED" w:rsidR="00E97520" w:rsidRDefault="00E97520" w:rsidP="00FD14B9">
      <w:pPr>
        <w:spacing w:line="360" w:lineRule="auto"/>
        <w:jc w:val="both"/>
        <w:rPr>
          <w:rFonts w:eastAsia="新細明體"/>
          <w:lang w:val="en-GB"/>
        </w:rPr>
      </w:pPr>
    </w:p>
    <w:p w14:paraId="298049B7" w14:textId="3998AD20" w:rsidR="00E97520" w:rsidRDefault="00E97520" w:rsidP="00FD14B9">
      <w:pPr>
        <w:spacing w:line="360" w:lineRule="auto"/>
        <w:jc w:val="both"/>
        <w:rPr>
          <w:rFonts w:eastAsia="新細明體"/>
          <w:lang w:val="en-GB"/>
        </w:rPr>
      </w:pPr>
    </w:p>
    <w:p w14:paraId="31366E95" w14:textId="103D0853" w:rsidR="00E97520" w:rsidRDefault="00E97520" w:rsidP="00FD14B9">
      <w:pPr>
        <w:spacing w:line="360" w:lineRule="auto"/>
        <w:jc w:val="both"/>
        <w:rPr>
          <w:rFonts w:eastAsia="新細明體"/>
          <w:lang w:val="en-GB"/>
        </w:rPr>
      </w:pPr>
    </w:p>
    <w:p w14:paraId="1075027D" w14:textId="77777777" w:rsidR="00E97520" w:rsidRPr="00671239" w:rsidRDefault="00E97520" w:rsidP="00FD14B9">
      <w:pPr>
        <w:spacing w:line="360" w:lineRule="auto"/>
        <w:jc w:val="both"/>
        <w:rPr>
          <w:rFonts w:eastAsia="新細明體"/>
          <w:lang w:val="en-GB"/>
        </w:rPr>
      </w:pPr>
    </w:p>
    <w:p w14:paraId="2A9420DD" w14:textId="76F4E4A6" w:rsidR="00FD14B9" w:rsidRPr="00671239" w:rsidRDefault="00FD14B9" w:rsidP="00E97520">
      <w:pPr>
        <w:spacing w:line="480" w:lineRule="auto"/>
        <w:jc w:val="both"/>
        <w:rPr>
          <w:rFonts w:eastAsia="新細明體"/>
          <w:b/>
          <w:bCs/>
        </w:rPr>
      </w:pPr>
      <w:r w:rsidRPr="00671239">
        <w:rPr>
          <w:rFonts w:eastAsia="新細明體"/>
          <w:b/>
          <w:bCs/>
          <w:iCs/>
        </w:rPr>
        <w:t>Tab</w:t>
      </w:r>
      <w:r w:rsidR="00596CA9">
        <w:rPr>
          <w:rFonts w:eastAsia="新細明體"/>
          <w:b/>
          <w:bCs/>
          <w:iCs/>
        </w:rPr>
        <w:t>.</w:t>
      </w:r>
      <w:r w:rsidRPr="00671239">
        <w:rPr>
          <w:rFonts w:eastAsia="新細明體"/>
          <w:b/>
          <w:bCs/>
          <w:szCs w:val="24"/>
        </w:rPr>
        <w:t xml:space="preserve"> S3</w:t>
      </w:r>
      <w:r w:rsidRPr="00671239">
        <w:rPr>
          <w:b/>
          <w:bCs/>
        </w:rPr>
        <w:t xml:space="preserve"> </w:t>
      </w:r>
      <w:r w:rsidRPr="00671239">
        <w:rPr>
          <w:rFonts w:eastAsia="新細明體"/>
          <w:bCs/>
        </w:rPr>
        <w:t>The hydrodynamic diameters and zeta potentials of</w:t>
      </w:r>
      <w:r w:rsidRPr="00671239">
        <w:rPr>
          <w:rFonts w:eastAsia="細明體"/>
          <w:bCs/>
          <w:szCs w:val="24"/>
        </w:rPr>
        <w:t xml:space="preserve"> DAO/DEX</w:t>
      </w:r>
      <w:r w:rsidRPr="00671239">
        <w:rPr>
          <w:rFonts w:eastAsia="細明體"/>
          <w:bCs/>
          <w:szCs w:val="24"/>
          <w:vertAlign w:val="subscript"/>
        </w:rPr>
        <w:t>0.5</w:t>
      </w:r>
      <w:r w:rsidRPr="00671239">
        <w:rPr>
          <w:rFonts w:eastAsia="細明體"/>
          <w:bCs/>
          <w:szCs w:val="24"/>
        </w:rPr>
        <w:t>-CNGs, DAO/DEX</w:t>
      </w:r>
      <w:r w:rsidRPr="00671239">
        <w:rPr>
          <w:rFonts w:eastAsia="細明體"/>
          <w:bCs/>
          <w:szCs w:val="24"/>
          <w:vertAlign w:val="subscript"/>
        </w:rPr>
        <w:t>1.5</w:t>
      </w:r>
      <w:r w:rsidRPr="00671239">
        <w:rPr>
          <w:rFonts w:eastAsia="細明體"/>
          <w:bCs/>
          <w:szCs w:val="24"/>
        </w:rPr>
        <w:t>-CNGs, DAO/DEX</w:t>
      </w:r>
      <w:r w:rsidRPr="00671239">
        <w:rPr>
          <w:rFonts w:eastAsia="細明體"/>
          <w:bCs/>
          <w:szCs w:val="24"/>
          <w:vertAlign w:val="subscript"/>
        </w:rPr>
        <w:t>5.0</w:t>
      </w:r>
      <w:r w:rsidRPr="00671239">
        <w:rPr>
          <w:rFonts w:eastAsia="細明體"/>
          <w:bCs/>
          <w:szCs w:val="24"/>
        </w:rPr>
        <w:t>-CNGs,</w:t>
      </w:r>
      <w:r w:rsidRPr="00671239">
        <w:rPr>
          <w:rFonts w:eastAsia="新細明體"/>
          <w:bCs/>
        </w:rPr>
        <w:t xml:space="preserve"> </w:t>
      </w:r>
      <w:r w:rsidRPr="00671239">
        <w:rPr>
          <w:rFonts w:eastAsia="細明體"/>
          <w:bCs/>
          <w:szCs w:val="24"/>
        </w:rPr>
        <w:t>and</w:t>
      </w:r>
      <w:r w:rsidRPr="00671239">
        <w:rPr>
          <w:rFonts w:eastAsia="新細明體"/>
          <w:bCs/>
          <w:szCs w:val="24"/>
        </w:rPr>
        <w:t xml:space="preserve"> Spd-CQDs</w:t>
      </w:r>
      <w:r w:rsidRPr="00671239">
        <w:rPr>
          <w:rFonts w:eastAsia="新細明體"/>
          <w:bCs/>
        </w:rPr>
        <w:t xml:space="preserve"> after being incubated in 5 mM sodium phosphate buffer (pH 7.4) or phosphate-buffered saline (PBS, pH 7.4) for 1 h. </w:t>
      </w:r>
    </w:p>
    <w:tbl>
      <w:tblPr>
        <w:tblW w:w="0" w:type="auto"/>
        <w:tblCellMar>
          <w:left w:w="0" w:type="dxa"/>
          <w:right w:w="0" w:type="dxa"/>
        </w:tblCellMar>
        <w:tblLook w:val="04A0" w:firstRow="1" w:lastRow="0" w:firstColumn="1" w:lastColumn="0" w:noHBand="0" w:noVBand="1"/>
      </w:tblPr>
      <w:tblGrid>
        <w:gridCol w:w="1581"/>
        <w:gridCol w:w="1987"/>
        <w:gridCol w:w="1136"/>
        <w:gridCol w:w="457"/>
        <w:gridCol w:w="1017"/>
        <w:gridCol w:w="776"/>
        <w:gridCol w:w="1192"/>
        <w:gridCol w:w="1594"/>
      </w:tblGrid>
      <w:tr w:rsidR="00FD14B9" w:rsidRPr="00671239" w14:paraId="25B8843C" w14:textId="77777777" w:rsidTr="000560AB">
        <w:trPr>
          <w:trHeight w:val="370"/>
        </w:trPr>
        <w:tc>
          <w:tcPr>
            <w:tcW w:w="1697" w:type="dxa"/>
            <w:vMerge w:val="restart"/>
            <w:tcBorders>
              <w:top w:val="single" w:sz="4" w:space="0" w:color="auto"/>
              <w:bottom w:val="single" w:sz="4" w:space="0" w:color="auto"/>
            </w:tcBorders>
            <w:tcMar>
              <w:top w:w="0" w:type="dxa"/>
              <w:left w:w="75" w:type="dxa"/>
              <w:bottom w:w="0" w:type="dxa"/>
              <w:right w:w="75" w:type="dxa"/>
            </w:tcMar>
            <w:vAlign w:val="center"/>
            <w:hideMark/>
          </w:tcPr>
          <w:p w14:paraId="0FBD81E0" w14:textId="77777777" w:rsidR="00FD14B9" w:rsidRPr="00671239" w:rsidRDefault="00FD14B9" w:rsidP="00E97520">
            <w:pPr>
              <w:spacing w:line="480" w:lineRule="auto"/>
              <w:jc w:val="center"/>
              <w:rPr>
                <w:rFonts w:eastAsia="新細明體"/>
                <w:b/>
                <w:bCs/>
                <w:szCs w:val="24"/>
              </w:rPr>
            </w:pPr>
            <w:r w:rsidRPr="00671239">
              <w:rPr>
                <w:rFonts w:eastAsia="新細明體"/>
                <w:b/>
                <w:bCs/>
                <w:szCs w:val="24"/>
              </w:rPr>
              <w:t>DAO:DEX</w:t>
            </w:r>
          </w:p>
        </w:tc>
        <w:tc>
          <w:tcPr>
            <w:tcW w:w="4101" w:type="dxa"/>
            <w:gridSpan w:val="2"/>
            <w:tcBorders>
              <w:top w:val="single" w:sz="4" w:space="0" w:color="auto"/>
              <w:bottom w:val="single" w:sz="4" w:space="0" w:color="auto"/>
            </w:tcBorders>
            <w:tcMar>
              <w:top w:w="0" w:type="dxa"/>
              <w:left w:w="75" w:type="dxa"/>
              <w:bottom w:w="0" w:type="dxa"/>
              <w:right w:w="75" w:type="dxa"/>
            </w:tcMar>
            <w:vAlign w:val="center"/>
            <w:hideMark/>
          </w:tcPr>
          <w:p w14:paraId="742C1BB4" w14:textId="77777777" w:rsidR="00FD14B9" w:rsidRPr="00671239" w:rsidRDefault="00FD14B9" w:rsidP="00E97520">
            <w:pPr>
              <w:spacing w:line="480" w:lineRule="auto"/>
              <w:ind w:left="68"/>
              <w:jc w:val="center"/>
              <w:rPr>
                <w:rFonts w:eastAsia="新細明體"/>
                <w:b/>
                <w:bCs/>
                <w:szCs w:val="24"/>
              </w:rPr>
            </w:pPr>
            <w:r w:rsidRPr="00671239">
              <w:rPr>
                <w:rFonts w:eastAsia="新細明體"/>
                <w:b/>
                <w:bCs/>
                <w:szCs w:val="24"/>
              </w:rPr>
              <w:t>Sodium Phosphate</w:t>
            </w:r>
          </w:p>
        </w:tc>
        <w:tc>
          <w:tcPr>
            <w:tcW w:w="4071" w:type="dxa"/>
            <w:gridSpan w:val="3"/>
            <w:tcBorders>
              <w:top w:val="single" w:sz="4" w:space="0" w:color="auto"/>
              <w:bottom w:val="single" w:sz="4" w:space="0" w:color="auto"/>
            </w:tcBorders>
            <w:vAlign w:val="center"/>
          </w:tcPr>
          <w:p w14:paraId="5B2FC478" w14:textId="77777777" w:rsidR="00FD14B9" w:rsidRPr="00671239" w:rsidRDefault="00FD14B9" w:rsidP="00E97520">
            <w:pPr>
              <w:spacing w:line="480" w:lineRule="auto"/>
              <w:jc w:val="center"/>
              <w:rPr>
                <w:rFonts w:eastAsia="新細明體"/>
                <w:b/>
                <w:bCs/>
                <w:szCs w:val="24"/>
              </w:rPr>
            </w:pPr>
          </w:p>
        </w:tc>
        <w:tc>
          <w:tcPr>
            <w:tcW w:w="4091" w:type="dxa"/>
            <w:gridSpan w:val="2"/>
            <w:tcBorders>
              <w:top w:val="single" w:sz="4" w:space="0" w:color="auto"/>
              <w:bottom w:val="single" w:sz="4" w:space="0" w:color="auto"/>
            </w:tcBorders>
            <w:tcMar>
              <w:top w:w="0" w:type="dxa"/>
              <w:left w:w="75" w:type="dxa"/>
              <w:bottom w:w="0" w:type="dxa"/>
              <w:right w:w="75" w:type="dxa"/>
            </w:tcMar>
            <w:vAlign w:val="center"/>
            <w:hideMark/>
          </w:tcPr>
          <w:p w14:paraId="52912801" w14:textId="77777777" w:rsidR="00FD14B9" w:rsidRPr="00671239" w:rsidRDefault="00FD14B9" w:rsidP="00E97520">
            <w:pPr>
              <w:spacing w:line="480" w:lineRule="auto"/>
              <w:jc w:val="center"/>
              <w:rPr>
                <w:rFonts w:eastAsia="新細明體"/>
                <w:b/>
                <w:bCs/>
                <w:szCs w:val="24"/>
              </w:rPr>
            </w:pPr>
            <w:r w:rsidRPr="00671239">
              <w:rPr>
                <w:rFonts w:eastAsia="新細明體"/>
                <w:b/>
                <w:bCs/>
                <w:szCs w:val="24"/>
              </w:rPr>
              <w:t>PBS</w:t>
            </w:r>
          </w:p>
        </w:tc>
      </w:tr>
      <w:tr w:rsidR="00FD14B9" w:rsidRPr="00671239" w14:paraId="4B28E8F3" w14:textId="77777777" w:rsidTr="000560AB">
        <w:trPr>
          <w:trHeight w:val="34"/>
        </w:trPr>
        <w:tc>
          <w:tcPr>
            <w:tcW w:w="1697" w:type="dxa"/>
            <w:vMerge/>
            <w:tcBorders>
              <w:top w:val="single" w:sz="4" w:space="0" w:color="auto"/>
              <w:bottom w:val="single" w:sz="4" w:space="0" w:color="auto"/>
            </w:tcBorders>
            <w:tcMar>
              <w:top w:w="0" w:type="dxa"/>
              <w:left w:w="75" w:type="dxa"/>
              <w:bottom w:w="0" w:type="dxa"/>
              <w:right w:w="75" w:type="dxa"/>
            </w:tcMar>
            <w:vAlign w:val="center"/>
            <w:hideMark/>
          </w:tcPr>
          <w:p w14:paraId="32B5AB6B" w14:textId="77777777" w:rsidR="00FD14B9" w:rsidRPr="00671239" w:rsidRDefault="00FD14B9" w:rsidP="00E97520">
            <w:pPr>
              <w:spacing w:line="480" w:lineRule="auto"/>
              <w:jc w:val="center"/>
              <w:rPr>
                <w:rFonts w:eastAsia="新細明體"/>
                <w:b/>
                <w:bCs/>
                <w:szCs w:val="24"/>
              </w:rPr>
            </w:pPr>
          </w:p>
        </w:tc>
        <w:tc>
          <w:tcPr>
            <w:tcW w:w="2464" w:type="dxa"/>
            <w:tcBorders>
              <w:top w:val="single" w:sz="4" w:space="0" w:color="auto"/>
              <w:bottom w:val="single" w:sz="4" w:space="0" w:color="auto"/>
            </w:tcBorders>
            <w:tcMar>
              <w:top w:w="0" w:type="dxa"/>
              <w:left w:w="75" w:type="dxa"/>
              <w:bottom w:w="0" w:type="dxa"/>
              <w:right w:w="75" w:type="dxa"/>
            </w:tcMar>
            <w:vAlign w:val="center"/>
            <w:hideMark/>
          </w:tcPr>
          <w:p w14:paraId="7E7DF57E" w14:textId="77777777" w:rsidR="00FD14B9" w:rsidRPr="00671239" w:rsidRDefault="00FD14B9" w:rsidP="00E97520">
            <w:pPr>
              <w:spacing w:line="480" w:lineRule="auto"/>
              <w:jc w:val="center"/>
              <w:rPr>
                <w:rFonts w:eastAsia="新細明體"/>
                <w:b/>
                <w:bCs/>
                <w:szCs w:val="24"/>
              </w:rPr>
            </w:pPr>
            <w:r w:rsidRPr="00671239">
              <w:rPr>
                <w:rFonts w:eastAsia="新細明體"/>
                <w:b/>
                <w:bCs/>
                <w:szCs w:val="24"/>
              </w:rPr>
              <w:t>Hydrodynamic Diameter (nm)</w:t>
            </w:r>
          </w:p>
        </w:tc>
        <w:tc>
          <w:tcPr>
            <w:tcW w:w="2451" w:type="dxa"/>
            <w:gridSpan w:val="2"/>
            <w:tcBorders>
              <w:top w:val="single" w:sz="4" w:space="0" w:color="auto"/>
              <w:bottom w:val="single" w:sz="4" w:space="0" w:color="auto"/>
            </w:tcBorders>
            <w:tcMar>
              <w:top w:w="0" w:type="dxa"/>
              <w:left w:w="75" w:type="dxa"/>
              <w:bottom w:w="0" w:type="dxa"/>
              <w:right w:w="75" w:type="dxa"/>
            </w:tcMar>
            <w:vAlign w:val="center"/>
            <w:hideMark/>
          </w:tcPr>
          <w:p w14:paraId="413FE9DF" w14:textId="77777777" w:rsidR="00FD14B9" w:rsidRPr="00671239" w:rsidRDefault="00FD14B9" w:rsidP="00E97520">
            <w:pPr>
              <w:spacing w:line="480" w:lineRule="auto"/>
              <w:jc w:val="center"/>
              <w:rPr>
                <w:rFonts w:eastAsia="新細明體"/>
                <w:b/>
                <w:bCs/>
                <w:szCs w:val="24"/>
              </w:rPr>
            </w:pPr>
            <w:r w:rsidRPr="00671239">
              <w:rPr>
                <w:rFonts w:eastAsia="新細明體"/>
                <w:b/>
                <w:bCs/>
                <w:szCs w:val="24"/>
              </w:rPr>
              <w:t>Zeta Potential (mV)</w:t>
            </w:r>
            <w:r w:rsidRPr="00671239">
              <w:rPr>
                <w:rFonts w:eastAsia="新細明體"/>
                <w:b/>
                <w:bCs/>
                <w:i/>
                <w:iCs/>
                <w:szCs w:val="24"/>
                <w:vertAlign w:val="superscript"/>
              </w:rPr>
              <w:t>a</w:t>
            </w:r>
            <w:r w:rsidRPr="00671239">
              <w:rPr>
                <w:rFonts w:eastAsia="新細明體"/>
                <w:b/>
                <w:bCs/>
                <w:szCs w:val="24"/>
              </w:rPr>
              <w:t xml:space="preserve"> </w:t>
            </w:r>
          </w:p>
        </w:tc>
        <w:tc>
          <w:tcPr>
            <w:tcW w:w="2431" w:type="dxa"/>
            <w:tcBorders>
              <w:top w:val="single" w:sz="4" w:space="0" w:color="auto"/>
              <w:bottom w:val="single" w:sz="4" w:space="0" w:color="auto"/>
            </w:tcBorders>
            <w:tcMar>
              <w:top w:w="0" w:type="dxa"/>
              <w:left w:w="75" w:type="dxa"/>
              <w:bottom w:w="0" w:type="dxa"/>
              <w:right w:w="75" w:type="dxa"/>
            </w:tcMar>
            <w:vAlign w:val="center"/>
            <w:hideMark/>
          </w:tcPr>
          <w:p w14:paraId="4BFBD6AB" w14:textId="77777777" w:rsidR="00FD14B9" w:rsidRPr="00671239" w:rsidRDefault="00FD14B9" w:rsidP="00E97520">
            <w:pPr>
              <w:spacing w:line="480" w:lineRule="auto"/>
              <w:jc w:val="center"/>
              <w:rPr>
                <w:rFonts w:eastAsia="新細明體"/>
                <w:b/>
                <w:bCs/>
                <w:szCs w:val="24"/>
              </w:rPr>
            </w:pPr>
          </w:p>
        </w:tc>
        <w:tc>
          <w:tcPr>
            <w:tcW w:w="2464" w:type="dxa"/>
            <w:gridSpan w:val="2"/>
            <w:tcBorders>
              <w:top w:val="single" w:sz="4" w:space="0" w:color="auto"/>
              <w:bottom w:val="single" w:sz="4" w:space="0" w:color="auto"/>
            </w:tcBorders>
            <w:vAlign w:val="center"/>
          </w:tcPr>
          <w:p w14:paraId="176742FA" w14:textId="77777777" w:rsidR="00FD14B9" w:rsidRPr="00671239" w:rsidRDefault="00FD14B9" w:rsidP="00E97520">
            <w:pPr>
              <w:spacing w:line="480" w:lineRule="auto"/>
              <w:ind w:rightChars="49" w:right="118"/>
              <w:jc w:val="center"/>
              <w:rPr>
                <w:rFonts w:eastAsia="新細明體"/>
                <w:b/>
                <w:bCs/>
                <w:szCs w:val="24"/>
              </w:rPr>
            </w:pPr>
            <w:r w:rsidRPr="00671239">
              <w:rPr>
                <w:rFonts w:eastAsia="新細明體"/>
                <w:b/>
                <w:bCs/>
                <w:szCs w:val="24"/>
              </w:rPr>
              <w:t>Hydrodynamic Diameter (nm)</w:t>
            </w:r>
            <w:r w:rsidRPr="00671239">
              <w:rPr>
                <w:rFonts w:eastAsia="新細明體"/>
                <w:b/>
                <w:bCs/>
                <w:i/>
                <w:iCs/>
                <w:szCs w:val="24"/>
                <w:vertAlign w:val="superscript"/>
              </w:rPr>
              <w:t>a</w:t>
            </w:r>
          </w:p>
        </w:tc>
        <w:tc>
          <w:tcPr>
            <w:tcW w:w="2453" w:type="dxa"/>
            <w:tcBorders>
              <w:top w:val="single" w:sz="4" w:space="0" w:color="auto"/>
              <w:bottom w:val="single" w:sz="4" w:space="0" w:color="auto"/>
            </w:tcBorders>
            <w:tcMar>
              <w:top w:w="0" w:type="dxa"/>
              <w:left w:w="75" w:type="dxa"/>
              <w:bottom w:w="0" w:type="dxa"/>
              <w:right w:w="75" w:type="dxa"/>
            </w:tcMar>
            <w:vAlign w:val="center"/>
            <w:hideMark/>
          </w:tcPr>
          <w:p w14:paraId="6F813707" w14:textId="77777777" w:rsidR="00FD14B9" w:rsidRPr="00671239" w:rsidRDefault="00FD14B9" w:rsidP="00E97520">
            <w:pPr>
              <w:spacing w:line="480" w:lineRule="auto"/>
              <w:jc w:val="center"/>
              <w:rPr>
                <w:rFonts w:eastAsia="新細明體"/>
                <w:b/>
                <w:bCs/>
                <w:szCs w:val="24"/>
              </w:rPr>
            </w:pPr>
            <w:r w:rsidRPr="00671239">
              <w:rPr>
                <w:rFonts w:eastAsia="新細明體"/>
                <w:b/>
                <w:bCs/>
                <w:szCs w:val="24"/>
              </w:rPr>
              <w:t>Zeta Potential (mV)</w:t>
            </w:r>
            <w:r w:rsidRPr="00671239">
              <w:rPr>
                <w:rFonts w:eastAsia="新細明體"/>
                <w:b/>
                <w:bCs/>
                <w:i/>
                <w:iCs/>
                <w:szCs w:val="24"/>
                <w:vertAlign w:val="superscript"/>
              </w:rPr>
              <w:t>a</w:t>
            </w:r>
            <w:r w:rsidRPr="00671239">
              <w:rPr>
                <w:rFonts w:eastAsia="新細明體"/>
                <w:b/>
                <w:bCs/>
                <w:szCs w:val="24"/>
              </w:rPr>
              <w:t xml:space="preserve"> </w:t>
            </w:r>
          </w:p>
        </w:tc>
      </w:tr>
      <w:tr w:rsidR="00FD14B9" w:rsidRPr="00671239" w14:paraId="2F48D06B" w14:textId="77777777" w:rsidTr="000560AB">
        <w:trPr>
          <w:trHeight w:val="750"/>
        </w:trPr>
        <w:tc>
          <w:tcPr>
            <w:tcW w:w="1697" w:type="dxa"/>
            <w:tcBorders>
              <w:top w:val="single" w:sz="4" w:space="0" w:color="auto"/>
            </w:tcBorders>
            <w:tcMar>
              <w:top w:w="0" w:type="dxa"/>
              <w:left w:w="75" w:type="dxa"/>
              <w:bottom w:w="0" w:type="dxa"/>
              <w:right w:w="75" w:type="dxa"/>
            </w:tcMar>
            <w:vAlign w:val="center"/>
            <w:hideMark/>
          </w:tcPr>
          <w:p w14:paraId="7B7D9135" w14:textId="77777777" w:rsidR="00FD14B9" w:rsidRPr="00671239" w:rsidRDefault="00FD14B9" w:rsidP="00E97520">
            <w:pPr>
              <w:spacing w:line="480" w:lineRule="auto"/>
              <w:rPr>
                <w:rFonts w:eastAsia="新細明體"/>
                <w:bCs/>
                <w:szCs w:val="24"/>
              </w:rPr>
            </w:pPr>
            <w:r w:rsidRPr="00671239">
              <w:rPr>
                <w:rFonts w:eastAsia="細明體"/>
                <w:szCs w:val="24"/>
              </w:rPr>
              <w:t>DAO/DEX</w:t>
            </w:r>
            <w:r w:rsidRPr="00671239">
              <w:rPr>
                <w:rFonts w:eastAsia="細明體"/>
                <w:szCs w:val="24"/>
                <w:vertAlign w:val="subscript"/>
              </w:rPr>
              <w:t>0.5</w:t>
            </w:r>
            <w:r w:rsidRPr="00671239">
              <w:rPr>
                <w:rFonts w:eastAsia="細明體"/>
                <w:szCs w:val="24"/>
              </w:rPr>
              <w:t>-CNGs</w:t>
            </w:r>
          </w:p>
        </w:tc>
        <w:tc>
          <w:tcPr>
            <w:tcW w:w="2464" w:type="dxa"/>
            <w:tcBorders>
              <w:top w:val="single" w:sz="4" w:space="0" w:color="auto"/>
            </w:tcBorders>
            <w:tcMar>
              <w:top w:w="0" w:type="dxa"/>
              <w:left w:w="75" w:type="dxa"/>
              <w:bottom w:w="0" w:type="dxa"/>
              <w:right w:w="75" w:type="dxa"/>
            </w:tcMar>
            <w:vAlign w:val="center"/>
            <w:hideMark/>
          </w:tcPr>
          <w:p w14:paraId="1B38A3C7"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206.4 ± 7.8</w:t>
            </w:r>
          </w:p>
        </w:tc>
        <w:tc>
          <w:tcPr>
            <w:tcW w:w="2451" w:type="dxa"/>
            <w:gridSpan w:val="2"/>
            <w:tcBorders>
              <w:top w:val="single" w:sz="4" w:space="0" w:color="auto"/>
            </w:tcBorders>
            <w:tcMar>
              <w:top w:w="0" w:type="dxa"/>
              <w:left w:w="75" w:type="dxa"/>
              <w:bottom w:w="0" w:type="dxa"/>
              <w:right w:w="75" w:type="dxa"/>
            </w:tcMar>
            <w:vAlign w:val="center"/>
            <w:hideMark/>
          </w:tcPr>
          <w:p w14:paraId="66EFD724"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0.8 ± 0.2</w:t>
            </w:r>
          </w:p>
        </w:tc>
        <w:tc>
          <w:tcPr>
            <w:tcW w:w="2431" w:type="dxa"/>
            <w:tcBorders>
              <w:top w:val="single" w:sz="4" w:space="0" w:color="auto"/>
            </w:tcBorders>
            <w:tcMar>
              <w:top w:w="0" w:type="dxa"/>
              <w:left w:w="75" w:type="dxa"/>
              <w:bottom w:w="0" w:type="dxa"/>
              <w:right w:w="75" w:type="dxa"/>
            </w:tcMar>
            <w:vAlign w:val="center"/>
            <w:hideMark/>
          </w:tcPr>
          <w:p w14:paraId="1A1D75B8" w14:textId="77777777" w:rsidR="00FD14B9" w:rsidRPr="00671239" w:rsidRDefault="00FD14B9" w:rsidP="00E97520">
            <w:pPr>
              <w:spacing w:line="480" w:lineRule="auto"/>
              <w:jc w:val="center"/>
              <w:rPr>
                <w:rFonts w:eastAsia="新細明體"/>
                <w:bCs/>
                <w:szCs w:val="24"/>
              </w:rPr>
            </w:pPr>
          </w:p>
        </w:tc>
        <w:tc>
          <w:tcPr>
            <w:tcW w:w="2464" w:type="dxa"/>
            <w:gridSpan w:val="2"/>
            <w:tcBorders>
              <w:top w:val="single" w:sz="4" w:space="0" w:color="auto"/>
            </w:tcBorders>
            <w:vAlign w:val="center"/>
          </w:tcPr>
          <w:p w14:paraId="7739CE0F"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192.7 ± 6.5</w:t>
            </w:r>
          </w:p>
        </w:tc>
        <w:tc>
          <w:tcPr>
            <w:tcW w:w="2453" w:type="dxa"/>
            <w:tcBorders>
              <w:top w:val="single" w:sz="4" w:space="0" w:color="auto"/>
            </w:tcBorders>
            <w:tcMar>
              <w:top w:w="0" w:type="dxa"/>
              <w:left w:w="75" w:type="dxa"/>
              <w:bottom w:w="0" w:type="dxa"/>
              <w:right w:w="75" w:type="dxa"/>
            </w:tcMar>
            <w:vAlign w:val="center"/>
            <w:hideMark/>
          </w:tcPr>
          <w:p w14:paraId="7FA31AD1"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0.1 ± 1.2</w:t>
            </w:r>
          </w:p>
        </w:tc>
      </w:tr>
      <w:tr w:rsidR="00FD14B9" w:rsidRPr="00671239" w14:paraId="1A10DA88" w14:textId="77777777" w:rsidTr="000560AB">
        <w:trPr>
          <w:trHeight w:val="735"/>
        </w:trPr>
        <w:tc>
          <w:tcPr>
            <w:tcW w:w="1697" w:type="dxa"/>
            <w:tcMar>
              <w:top w:w="0" w:type="dxa"/>
              <w:left w:w="75" w:type="dxa"/>
              <w:bottom w:w="0" w:type="dxa"/>
              <w:right w:w="75" w:type="dxa"/>
            </w:tcMar>
            <w:vAlign w:val="center"/>
            <w:hideMark/>
          </w:tcPr>
          <w:p w14:paraId="17706287" w14:textId="77777777" w:rsidR="00FD14B9" w:rsidRPr="00671239" w:rsidRDefault="00FD14B9" w:rsidP="00E97520">
            <w:pPr>
              <w:spacing w:line="480" w:lineRule="auto"/>
              <w:rPr>
                <w:rFonts w:eastAsia="新細明體"/>
                <w:bCs/>
                <w:szCs w:val="24"/>
              </w:rPr>
            </w:pPr>
            <w:r w:rsidRPr="00671239">
              <w:rPr>
                <w:rFonts w:eastAsia="細明體"/>
                <w:szCs w:val="24"/>
              </w:rPr>
              <w:t>DAO/DEX</w:t>
            </w:r>
            <w:r w:rsidRPr="00671239">
              <w:rPr>
                <w:rFonts w:eastAsia="細明體"/>
                <w:szCs w:val="24"/>
                <w:vertAlign w:val="subscript"/>
              </w:rPr>
              <w:t>1.5</w:t>
            </w:r>
            <w:r w:rsidRPr="00671239">
              <w:rPr>
                <w:rFonts w:eastAsia="細明體"/>
                <w:szCs w:val="24"/>
              </w:rPr>
              <w:t>-CNGs</w:t>
            </w:r>
          </w:p>
        </w:tc>
        <w:tc>
          <w:tcPr>
            <w:tcW w:w="2464" w:type="dxa"/>
            <w:tcMar>
              <w:top w:w="0" w:type="dxa"/>
              <w:left w:w="75" w:type="dxa"/>
              <w:bottom w:w="0" w:type="dxa"/>
              <w:right w:w="75" w:type="dxa"/>
            </w:tcMar>
            <w:vAlign w:val="center"/>
            <w:hideMark/>
          </w:tcPr>
          <w:p w14:paraId="4D809DB9"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321.0 ± 45.9</w:t>
            </w:r>
          </w:p>
        </w:tc>
        <w:tc>
          <w:tcPr>
            <w:tcW w:w="2451" w:type="dxa"/>
            <w:gridSpan w:val="2"/>
            <w:tcMar>
              <w:top w:w="0" w:type="dxa"/>
              <w:left w:w="75" w:type="dxa"/>
              <w:bottom w:w="0" w:type="dxa"/>
              <w:right w:w="75" w:type="dxa"/>
            </w:tcMar>
            <w:vAlign w:val="center"/>
            <w:hideMark/>
          </w:tcPr>
          <w:p w14:paraId="5A2FA363"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0.6 ± 0.5</w:t>
            </w:r>
          </w:p>
        </w:tc>
        <w:tc>
          <w:tcPr>
            <w:tcW w:w="2431" w:type="dxa"/>
            <w:tcMar>
              <w:top w:w="0" w:type="dxa"/>
              <w:left w:w="75" w:type="dxa"/>
              <w:bottom w:w="0" w:type="dxa"/>
              <w:right w:w="75" w:type="dxa"/>
            </w:tcMar>
            <w:vAlign w:val="center"/>
            <w:hideMark/>
          </w:tcPr>
          <w:p w14:paraId="709BFD5B" w14:textId="77777777" w:rsidR="00FD14B9" w:rsidRPr="00671239" w:rsidRDefault="00FD14B9" w:rsidP="00E97520">
            <w:pPr>
              <w:spacing w:line="480" w:lineRule="auto"/>
              <w:jc w:val="center"/>
              <w:rPr>
                <w:rFonts w:eastAsia="新細明體"/>
                <w:bCs/>
                <w:szCs w:val="24"/>
              </w:rPr>
            </w:pPr>
          </w:p>
        </w:tc>
        <w:tc>
          <w:tcPr>
            <w:tcW w:w="2464" w:type="dxa"/>
            <w:gridSpan w:val="2"/>
            <w:vAlign w:val="center"/>
          </w:tcPr>
          <w:p w14:paraId="2B537795"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316.5 ± 47.4</w:t>
            </w:r>
          </w:p>
        </w:tc>
        <w:tc>
          <w:tcPr>
            <w:tcW w:w="2453" w:type="dxa"/>
            <w:tcMar>
              <w:top w:w="0" w:type="dxa"/>
              <w:left w:w="75" w:type="dxa"/>
              <w:bottom w:w="0" w:type="dxa"/>
              <w:right w:w="75" w:type="dxa"/>
            </w:tcMar>
            <w:vAlign w:val="center"/>
            <w:hideMark/>
          </w:tcPr>
          <w:p w14:paraId="3C1F5BC8"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−0.2 ± 0.8</w:t>
            </w:r>
          </w:p>
        </w:tc>
      </w:tr>
      <w:tr w:rsidR="00FD14B9" w:rsidRPr="00671239" w14:paraId="08035C2F" w14:textId="77777777" w:rsidTr="000560AB">
        <w:trPr>
          <w:trHeight w:val="750"/>
        </w:trPr>
        <w:tc>
          <w:tcPr>
            <w:tcW w:w="1697" w:type="dxa"/>
            <w:tcMar>
              <w:top w:w="0" w:type="dxa"/>
              <w:left w:w="75" w:type="dxa"/>
              <w:bottom w:w="0" w:type="dxa"/>
              <w:right w:w="75" w:type="dxa"/>
            </w:tcMar>
            <w:vAlign w:val="center"/>
            <w:hideMark/>
          </w:tcPr>
          <w:p w14:paraId="139C42D7" w14:textId="77777777" w:rsidR="00FD14B9" w:rsidRPr="00671239" w:rsidRDefault="00FD14B9" w:rsidP="00E97520">
            <w:pPr>
              <w:spacing w:line="480" w:lineRule="auto"/>
              <w:rPr>
                <w:rFonts w:eastAsia="新細明體"/>
                <w:bCs/>
                <w:szCs w:val="24"/>
              </w:rPr>
            </w:pPr>
            <w:r w:rsidRPr="00671239">
              <w:rPr>
                <w:rFonts w:eastAsia="細明體"/>
                <w:szCs w:val="24"/>
              </w:rPr>
              <w:t>DAO/DEX</w:t>
            </w:r>
            <w:r w:rsidRPr="00671239">
              <w:rPr>
                <w:rFonts w:eastAsia="細明體"/>
                <w:szCs w:val="24"/>
                <w:vertAlign w:val="subscript"/>
              </w:rPr>
              <w:t>5.0</w:t>
            </w:r>
            <w:r w:rsidRPr="00671239">
              <w:rPr>
                <w:rFonts w:eastAsia="細明體"/>
                <w:szCs w:val="24"/>
              </w:rPr>
              <w:t>-CNGs</w:t>
            </w:r>
          </w:p>
        </w:tc>
        <w:tc>
          <w:tcPr>
            <w:tcW w:w="2464" w:type="dxa"/>
            <w:tcMar>
              <w:top w:w="0" w:type="dxa"/>
              <w:left w:w="75" w:type="dxa"/>
              <w:bottom w:w="0" w:type="dxa"/>
              <w:right w:w="75" w:type="dxa"/>
            </w:tcMar>
            <w:vAlign w:val="center"/>
            <w:hideMark/>
          </w:tcPr>
          <w:p w14:paraId="6CBCE4C1"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568.3 ± 22.1</w:t>
            </w:r>
          </w:p>
        </w:tc>
        <w:tc>
          <w:tcPr>
            <w:tcW w:w="2451" w:type="dxa"/>
            <w:gridSpan w:val="2"/>
            <w:tcMar>
              <w:top w:w="0" w:type="dxa"/>
              <w:left w:w="75" w:type="dxa"/>
              <w:bottom w:w="0" w:type="dxa"/>
              <w:right w:w="75" w:type="dxa"/>
            </w:tcMar>
            <w:vAlign w:val="center"/>
            <w:hideMark/>
          </w:tcPr>
          <w:p w14:paraId="25A0B83A"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0.6 ± 0.6</w:t>
            </w:r>
          </w:p>
        </w:tc>
        <w:tc>
          <w:tcPr>
            <w:tcW w:w="2431" w:type="dxa"/>
            <w:tcMar>
              <w:top w:w="0" w:type="dxa"/>
              <w:left w:w="75" w:type="dxa"/>
              <w:bottom w:w="0" w:type="dxa"/>
              <w:right w:w="75" w:type="dxa"/>
            </w:tcMar>
            <w:vAlign w:val="center"/>
            <w:hideMark/>
          </w:tcPr>
          <w:p w14:paraId="21C84324" w14:textId="77777777" w:rsidR="00FD14B9" w:rsidRPr="00671239" w:rsidRDefault="00FD14B9" w:rsidP="00E97520">
            <w:pPr>
              <w:spacing w:line="480" w:lineRule="auto"/>
              <w:jc w:val="center"/>
              <w:rPr>
                <w:rFonts w:eastAsia="新細明體"/>
                <w:bCs/>
                <w:szCs w:val="24"/>
              </w:rPr>
            </w:pPr>
          </w:p>
        </w:tc>
        <w:tc>
          <w:tcPr>
            <w:tcW w:w="2464" w:type="dxa"/>
            <w:gridSpan w:val="2"/>
            <w:vAlign w:val="center"/>
          </w:tcPr>
          <w:p w14:paraId="1AC48D27"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580.2 ± 85.8</w:t>
            </w:r>
          </w:p>
        </w:tc>
        <w:tc>
          <w:tcPr>
            <w:tcW w:w="2453" w:type="dxa"/>
            <w:tcMar>
              <w:top w:w="0" w:type="dxa"/>
              <w:left w:w="75" w:type="dxa"/>
              <w:bottom w:w="0" w:type="dxa"/>
              <w:right w:w="75" w:type="dxa"/>
            </w:tcMar>
            <w:vAlign w:val="center"/>
            <w:hideMark/>
          </w:tcPr>
          <w:p w14:paraId="0167D92E"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−1.1 ± 0.42</w:t>
            </w:r>
          </w:p>
        </w:tc>
      </w:tr>
      <w:tr w:rsidR="00FD14B9" w:rsidRPr="00671239" w14:paraId="5187B6D2" w14:textId="77777777" w:rsidTr="000560AB">
        <w:trPr>
          <w:trHeight w:val="750"/>
        </w:trPr>
        <w:tc>
          <w:tcPr>
            <w:tcW w:w="1697" w:type="dxa"/>
            <w:tcBorders>
              <w:bottom w:val="single" w:sz="4" w:space="0" w:color="auto"/>
            </w:tcBorders>
            <w:tcMar>
              <w:top w:w="0" w:type="dxa"/>
              <w:left w:w="75" w:type="dxa"/>
              <w:bottom w:w="0" w:type="dxa"/>
              <w:right w:w="75" w:type="dxa"/>
            </w:tcMar>
            <w:vAlign w:val="center"/>
          </w:tcPr>
          <w:p w14:paraId="03F41979" w14:textId="77777777" w:rsidR="00FD14B9" w:rsidRPr="00671239" w:rsidRDefault="00FD14B9" w:rsidP="00E97520">
            <w:pPr>
              <w:spacing w:line="480" w:lineRule="auto"/>
              <w:rPr>
                <w:rFonts w:eastAsia="新細明體"/>
                <w:bCs/>
                <w:szCs w:val="24"/>
              </w:rPr>
            </w:pPr>
            <w:r w:rsidRPr="00671239">
              <w:rPr>
                <w:rFonts w:eastAsia="新細明體"/>
                <w:bCs/>
                <w:szCs w:val="24"/>
              </w:rPr>
              <w:t>Spd-CQDs</w:t>
            </w:r>
          </w:p>
        </w:tc>
        <w:tc>
          <w:tcPr>
            <w:tcW w:w="2464" w:type="dxa"/>
            <w:tcBorders>
              <w:bottom w:val="single" w:sz="4" w:space="0" w:color="auto"/>
            </w:tcBorders>
            <w:tcMar>
              <w:top w:w="0" w:type="dxa"/>
              <w:left w:w="75" w:type="dxa"/>
              <w:bottom w:w="0" w:type="dxa"/>
              <w:right w:w="75" w:type="dxa"/>
            </w:tcMar>
            <w:vAlign w:val="center"/>
          </w:tcPr>
          <w:p w14:paraId="4681DDE2"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38.8 ± 1.0</w:t>
            </w:r>
          </w:p>
        </w:tc>
        <w:tc>
          <w:tcPr>
            <w:tcW w:w="2451" w:type="dxa"/>
            <w:gridSpan w:val="2"/>
            <w:tcBorders>
              <w:bottom w:val="single" w:sz="4" w:space="0" w:color="auto"/>
            </w:tcBorders>
            <w:tcMar>
              <w:top w:w="0" w:type="dxa"/>
              <w:left w:w="75" w:type="dxa"/>
              <w:bottom w:w="0" w:type="dxa"/>
              <w:right w:w="75" w:type="dxa"/>
            </w:tcMar>
            <w:vAlign w:val="center"/>
          </w:tcPr>
          <w:p w14:paraId="7F29FBA8"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42.7 ± 3.2</w:t>
            </w:r>
          </w:p>
        </w:tc>
        <w:tc>
          <w:tcPr>
            <w:tcW w:w="2431" w:type="dxa"/>
            <w:tcBorders>
              <w:bottom w:val="single" w:sz="4" w:space="0" w:color="auto"/>
            </w:tcBorders>
            <w:tcMar>
              <w:top w:w="0" w:type="dxa"/>
              <w:left w:w="75" w:type="dxa"/>
              <w:bottom w:w="0" w:type="dxa"/>
              <w:right w:w="75" w:type="dxa"/>
            </w:tcMar>
            <w:vAlign w:val="center"/>
          </w:tcPr>
          <w:p w14:paraId="08A84862" w14:textId="77777777" w:rsidR="00FD14B9" w:rsidRPr="00671239" w:rsidRDefault="00FD14B9" w:rsidP="00E97520">
            <w:pPr>
              <w:spacing w:line="480" w:lineRule="auto"/>
              <w:jc w:val="center"/>
              <w:rPr>
                <w:rFonts w:eastAsia="新細明體"/>
                <w:bCs/>
                <w:szCs w:val="24"/>
              </w:rPr>
            </w:pPr>
          </w:p>
        </w:tc>
        <w:tc>
          <w:tcPr>
            <w:tcW w:w="2464" w:type="dxa"/>
            <w:gridSpan w:val="2"/>
            <w:tcBorders>
              <w:bottom w:val="single" w:sz="4" w:space="0" w:color="auto"/>
            </w:tcBorders>
            <w:vAlign w:val="center"/>
          </w:tcPr>
          <w:p w14:paraId="3AED7DE4"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202.2 ± 19.1</w:t>
            </w:r>
          </w:p>
        </w:tc>
        <w:tc>
          <w:tcPr>
            <w:tcW w:w="2453" w:type="dxa"/>
            <w:tcBorders>
              <w:bottom w:val="single" w:sz="4" w:space="0" w:color="auto"/>
            </w:tcBorders>
            <w:tcMar>
              <w:top w:w="0" w:type="dxa"/>
              <w:left w:w="75" w:type="dxa"/>
              <w:bottom w:w="0" w:type="dxa"/>
              <w:right w:w="75" w:type="dxa"/>
            </w:tcMar>
            <w:vAlign w:val="center"/>
          </w:tcPr>
          <w:p w14:paraId="440366B3" w14:textId="77777777" w:rsidR="00FD14B9" w:rsidRPr="00671239" w:rsidRDefault="00FD14B9" w:rsidP="00E97520">
            <w:pPr>
              <w:spacing w:line="480" w:lineRule="auto"/>
              <w:jc w:val="center"/>
              <w:rPr>
                <w:rFonts w:eastAsia="新細明體"/>
                <w:bCs/>
                <w:szCs w:val="24"/>
              </w:rPr>
            </w:pPr>
            <w:r w:rsidRPr="00671239">
              <w:rPr>
                <w:rFonts w:eastAsia="新細明體"/>
                <w:bCs/>
                <w:szCs w:val="24"/>
              </w:rPr>
              <w:t>15.9 ± 0.9</w:t>
            </w:r>
          </w:p>
        </w:tc>
      </w:tr>
    </w:tbl>
    <w:p w14:paraId="5E7D6F4D" w14:textId="749336D9" w:rsidR="00FD14B9" w:rsidRDefault="00FD14B9" w:rsidP="00FD14B9">
      <w:pPr>
        <w:spacing w:line="360" w:lineRule="auto"/>
        <w:jc w:val="both"/>
        <w:rPr>
          <w:rFonts w:eastAsia="新細明體"/>
        </w:rPr>
      </w:pPr>
    </w:p>
    <w:p w14:paraId="4EAC214F" w14:textId="3C86C4EB" w:rsidR="00E97520" w:rsidRDefault="00E97520" w:rsidP="00FD14B9">
      <w:pPr>
        <w:spacing w:line="360" w:lineRule="auto"/>
        <w:jc w:val="both"/>
        <w:rPr>
          <w:rFonts w:eastAsia="新細明體"/>
        </w:rPr>
      </w:pPr>
    </w:p>
    <w:p w14:paraId="193D3075" w14:textId="5B78BE1C" w:rsidR="00E97520" w:rsidRDefault="00E97520" w:rsidP="00FD14B9">
      <w:pPr>
        <w:spacing w:line="360" w:lineRule="auto"/>
        <w:jc w:val="both"/>
        <w:rPr>
          <w:rFonts w:eastAsia="新細明體"/>
        </w:rPr>
      </w:pPr>
    </w:p>
    <w:p w14:paraId="42222E8F" w14:textId="3460FD7D" w:rsidR="00E97520" w:rsidRDefault="00E97520" w:rsidP="00FD14B9">
      <w:pPr>
        <w:spacing w:line="360" w:lineRule="auto"/>
        <w:jc w:val="both"/>
        <w:rPr>
          <w:rFonts w:eastAsia="新細明體"/>
        </w:rPr>
      </w:pPr>
    </w:p>
    <w:p w14:paraId="07E98093" w14:textId="23F64AEA" w:rsidR="00E97520" w:rsidRDefault="00E97520" w:rsidP="00FD14B9">
      <w:pPr>
        <w:spacing w:line="360" w:lineRule="auto"/>
        <w:jc w:val="both"/>
        <w:rPr>
          <w:rFonts w:eastAsia="新細明體"/>
        </w:rPr>
      </w:pPr>
    </w:p>
    <w:p w14:paraId="3AA4BFBC" w14:textId="5D5C6922" w:rsidR="00E97520" w:rsidRDefault="00E97520" w:rsidP="00FD14B9">
      <w:pPr>
        <w:spacing w:line="360" w:lineRule="auto"/>
        <w:jc w:val="both"/>
        <w:rPr>
          <w:rFonts w:eastAsia="新細明體"/>
        </w:rPr>
      </w:pPr>
    </w:p>
    <w:p w14:paraId="3D3A3563" w14:textId="7D1EF05A" w:rsidR="00E97520" w:rsidRDefault="00E97520" w:rsidP="00FD14B9">
      <w:pPr>
        <w:spacing w:line="360" w:lineRule="auto"/>
        <w:jc w:val="both"/>
        <w:rPr>
          <w:rFonts w:eastAsia="新細明體"/>
        </w:rPr>
      </w:pPr>
    </w:p>
    <w:p w14:paraId="26F7A149" w14:textId="04F33947" w:rsidR="00E97520" w:rsidRDefault="00E97520" w:rsidP="00FD14B9">
      <w:pPr>
        <w:spacing w:line="360" w:lineRule="auto"/>
        <w:jc w:val="both"/>
        <w:rPr>
          <w:rFonts w:eastAsia="新細明體"/>
        </w:rPr>
      </w:pPr>
    </w:p>
    <w:p w14:paraId="01E8FE69" w14:textId="6274BCA9" w:rsidR="00E97520" w:rsidRDefault="00E97520" w:rsidP="00FD14B9">
      <w:pPr>
        <w:spacing w:line="360" w:lineRule="auto"/>
        <w:jc w:val="both"/>
        <w:rPr>
          <w:rFonts w:eastAsia="新細明體"/>
        </w:rPr>
      </w:pPr>
    </w:p>
    <w:p w14:paraId="33769A48" w14:textId="77777777" w:rsidR="00E97520" w:rsidRPr="00671239" w:rsidRDefault="00E97520" w:rsidP="00FD14B9">
      <w:pPr>
        <w:spacing w:line="360" w:lineRule="auto"/>
        <w:jc w:val="both"/>
        <w:rPr>
          <w:rFonts w:eastAsia="新細明體"/>
        </w:rPr>
      </w:pPr>
    </w:p>
    <w:p w14:paraId="32B266FD" w14:textId="572B0461" w:rsidR="00FD14B9" w:rsidRPr="00671239" w:rsidRDefault="00FD14B9" w:rsidP="00E97520">
      <w:pPr>
        <w:spacing w:line="480" w:lineRule="auto"/>
        <w:jc w:val="both"/>
        <w:rPr>
          <w:rFonts w:eastAsia="新細明體"/>
          <w:b/>
          <w:bCs/>
          <w:i/>
          <w:iCs/>
          <w:vertAlign w:val="subscript"/>
        </w:rPr>
      </w:pPr>
      <w:r w:rsidRPr="00671239">
        <w:rPr>
          <w:rFonts w:eastAsia="新細明體"/>
          <w:b/>
          <w:bCs/>
          <w:iCs/>
        </w:rPr>
        <w:t>Tab</w:t>
      </w:r>
      <w:r w:rsidR="00596CA9">
        <w:rPr>
          <w:rFonts w:eastAsia="新細明體"/>
          <w:b/>
          <w:bCs/>
          <w:iCs/>
        </w:rPr>
        <w:t>.</w:t>
      </w:r>
      <w:r w:rsidRPr="00671239">
        <w:rPr>
          <w:rFonts w:eastAsia="新細明體"/>
          <w:b/>
          <w:bCs/>
          <w:iCs/>
        </w:rPr>
        <w:t xml:space="preserve"> S4</w:t>
      </w:r>
      <w:r w:rsidRPr="00671239">
        <w:rPr>
          <w:b/>
          <w:bCs/>
        </w:rPr>
        <w:t xml:space="preserve"> </w:t>
      </w:r>
      <w:r w:rsidRPr="00671239">
        <w:rPr>
          <w:rFonts w:eastAsia="新細明體"/>
          <w:bCs/>
        </w:rPr>
        <w:t xml:space="preserve">Primer sequences used for RT-PCR of </w:t>
      </w:r>
      <w:r w:rsidRPr="00671239">
        <w:rPr>
          <w:rFonts w:eastAsia="新細明體"/>
          <w:bCs/>
          <w:i/>
          <w:iCs/>
        </w:rPr>
        <w:t>Litopenaeus vannamei</w:t>
      </w:r>
      <w:r w:rsidRPr="00671239">
        <w:rPr>
          <w:rFonts w:eastAsia="新細明體"/>
          <w:bCs/>
        </w:rPr>
        <w:t xml:space="preserve"> immune-related genes.</w:t>
      </w:r>
    </w:p>
    <w:tbl>
      <w:tblPr>
        <w:tblW w:w="5000" w:type="pct"/>
        <w:tblCellMar>
          <w:left w:w="28" w:type="dxa"/>
          <w:right w:w="28" w:type="dxa"/>
        </w:tblCellMar>
        <w:tblLook w:val="04A0" w:firstRow="1" w:lastRow="0" w:firstColumn="1" w:lastColumn="0" w:noHBand="0" w:noVBand="1"/>
      </w:tblPr>
      <w:tblGrid>
        <w:gridCol w:w="945"/>
        <w:gridCol w:w="1184"/>
        <w:gridCol w:w="3156"/>
        <w:gridCol w:w="945"/>
        <w:gridCol w:w="3510"/>
      </w:tblGrid>
      <w:tr w:rsidR="00FD14B9" w:rsidRPr="00671239" w14:paraId="3F3F2F8E" w14:textId="77777777" w:rsidTr="000560AB">
        <w:trPr>
          <w:trHeight w:val="320"/>
        </w:trPr>
        <w:tc>
          <w:tcPr>
            <w:tcW w:w="349" w:type="pct"/>
            <w:tcBorders>
              <w:top w:val="single" w:sz="4" w:space="0" w:color="auto"/>
              <w:bottom w:val="single" w:sz="4" w:space="0" w:color="auto"/>
            </w:tcBorders>
            <w:shd w:val="clear" w:color="auto" w:fill="auto"/>
            <w:noWrap/>
            <w:vAlign w:val="center"/>
            <w:hideMark/>
          </w:tcPr>
          <w:p w14:paraId="0125C205" w14:textId="77777777" w:rsidR="00FD14B9" w:rsidRPr="00671239" w:rsidRDefault="00FD14B9" w:rsidP="00E97520">
            <w:pPr>
              <w:spacing w:line="480" w:lineRule="auto"/>
              <w:jc w:val="center"/>
              <w:rPr>
                <w:rFonts w:eastAsia="新細明體"/>
                <w:b/>
                <w:bCs/>
                <w:sz w:val="20"/>
              </w:rPr>
            </w:pPr>
            <w:r w:rsidRPr="00671239">
              <w:rPr>
                <w:rFonts w:eastAsia="新細明體"/>
                <w:b/>
                <w:bCs/>
                <w:sz w:val="20"/>
              </w:rPr>
              <w:t>Gene</w:t>
            </w:r>
          </w:p>
        </w:tc>
        <w:tc>
          <w:tcPr>
            <w:tcW w:w="422" w:type="pct"/>
            <w:tcBorders>
              <w:top w:val="single" w:sz="4" w:space="0" w:color="auto"/>
              <w:bottom w:val="single" w:sz="4" w:space="0" w:color="auto"/>
            </w:tcBorders>
            <w:shd w:val="clear" w:color="auto" w:fill="auto"/>
            <w:noWrap/>
            <w:vAlign w:val="center"/>
            <w:hideMark/>
          </w:tcPr>
          <w:p w14:paraId="2090DF95" w14:textId="77777777" w:rsidR="00FD14B9" w:rsidRPr="00671239" w:rsidRDefault="00FD14B9" w:rsidP="00E97520">
            <w:pPr>
              <w:spacing w:line="480" w:lineRule="auto"/>
              <w:jc w:val="center"/>
              <w:rPr>
                <w:rFonts w:eastAsia="新細明體"/>
                <w:b/>
                <w:bCs/>
                <w:sz w:val="20"/>
              </w:rPr>
            </w:pPr>
            <w:r w:rsidRPr="00671239">
              <w:rPr>
                <w:rFonts w:eastAsia="新細明體"/>
                <w:b/>
                <w:bCs/>
                <w:sz w:val="20"/>
              </w:rPr>
              <w:t>Primer name</w:t>
            </w:r>
          </w:p>
        </w:tc>
        <w:tc>
          <w:tcPr>
            <w:tcW w:w="1146" w:type="pct"/>
            <w:tcBorders>
              <w:top w:val="single" w:sz="4" w:space="0" w:color="auto"/>
              <w:bottom w:val="single" w:sz="4" w:space="0" w:color="auto"/>
            </w:tcBorders>
            <w:shd w:val="clear" w:color="auto" w:fill="auto"/>
            <w:noWrap/>
            <w:vAlign w:val="center"/>
            <w:hideMark/>
          </w:tcPr>
          <w:p w14:paraId="70DE1F95" w14:textId="77777777" w:rsidR="00FD14B9" w:rsidRPr="00671239" w:rsidRDefault="00FD14B9" w:rsidP="00E97520">
            <w:pPr>
              <w:spacing w:line="480" w:lineRule="auto"/>
              <w:jc w:val="center"/>
              <w:rPr>
                <w:rFonts w:eastAsia="新細明體"/>
                <w:b/>
                <w:bCs/>
                <w:sz w:val="20"/>
              </w:rPr>
            </w:pPr>
            <w:r w:rsidRPr="00671239">
              <w:rPr>
                <w:rFonts w:eastAsia="新細明體"/>
                <w:b/>
                <w:bCs/>
                <w:sz w:val="20"/>
              </w:rPr>
              <w:t>Sequence 5’</w:t>
            </w:r>
            <w:r w:rsidRPr="00671239">
              <w:rPr>
                <w:rFonts w:eastAsia="新細明體"/>
                <w:b/>
                <w:bCs/>
                <w:sz w:val="20"/>
              </w:rPr>
              <w:sym w:font="Symbol" w:char="F0AE"/>
            </w:r>
            <w:r w:rsidRPr="00671239">
              <w:rPr>
                <w:rFonts w:eastAsia="新細明體"/>
                <w:b/>
                <w:bCs/>
                <w:sz w:val="20"/>
              </w:rPr>
              <w:t>3’</w:t>
            </w:r>
          </w:p>
        </w:tc>
        <w:tc>
          <w:tcPr>
            <w:tcW w:w="587" w:type="pct"/>
            <w:tcBorders>
              <w:top w:val="single" w:sz="4" w:space="0" w:color="auto"/>
              <w:bottom w:val="single" w:sz="4" w:space="0" w:color="auto"/>
            </w:tcBorders>
            <w:shd w:val="clear" w:color="auto" w:fill="auto"/>
            <w:noWrap/>
            <w:vAlign w:val="center"/>
            <w:hideMark/>
          </w:tcPr>
          <w:p w14:paraId="146E9546" w14:textId="77777777" w:rsidR="00FD14B9" w:rsidRPr="00671239" w:rsidRDefault="00FD14B9" w:rsidP="00E97520">
            <w:pPr>
              <w:spacing w:line="480" w:lineRule="auto"/>
              <w:jc w:val="center"/>
              <w:rPr>
                <w:rFonts w:eastAsia="新細明體"/>
                <w:b/>
                <w:bCs/>
                <w:sz w:val="20"/>
              </w:rPr>
            </w:pPr>
            <w:r w:rsidRPr="00671239">
              <w:rPr>
                <w:rFonts w:eastAsia="新細明體"/>
                <w:b/>
                <w:bCs/>
                <w:sz w:val="20"/>
              </w:rPr>
              <w:t>Genbank</w:t>
            </w:r>
          </w:p>
        </w:tc>
        <w:tc>
          <w:tcPr>
            <w:tcW w:w="2497" w:type="pct"/>
            <w:tcBorders>
              <w:top w:val="single" w:sz="4" w:space="0" w:color="auto"/>
              <w:bottom w:val="single" w:sz="4" w:space="0" w:color="auto"/>
            </w:tcBorders>
            <w:shd w:val="clear" w:color="auto" w:fill="auto"/>
            <w:noWrap/>
            <w:vAlign w:val="center"/>
            <w:hideMark/>
          </w:tcPr>
          <w:p w14:paraId="71615D24" w14:textId="77777777" w:rsidR="00FD14B9" w:rsidRPr="00671239" w:rsidRDefault="00FD14B9" w:rsidP="00E97520">
            <w:pPr>
              <w:spacing w:line="480" w:lineRule="auto"/>
              <w:jc w:val="center"/>
              <w:rPr>
                <w:rFonts w:eastAsia="新細明體"/>
                <w:b/>
                <w:bCs/>
                <w:sz w:val="20"/>
              </w:rPr>
            </w:pPr>
            <w:r w:rsidRPr="00671239">
              <w:rPr>
                <w:rFonts w:eastAsia="新細明體"/>
                <w:b/>
                <w:bCs/>
                <w:sz w:val="20"/>
              </w:rPr>
              <w:t>General Function</w:t>
            </w:r>
          </w:p>
        </w:tc>
      </w:tr>
      <w:tr w:rsidR="00FD14B9" w:rsidRPr="00671239" w14:paraId="4CFA704F" w14:textId="77777777" w:rsidTr="000560AB">
        <w:trPr>
          <w:trHeight w:val="321"/>
        </w:trPr>
        <w:tc>
          <w:tcPr>
            <w:tcW w:w="349" w:type="pct"/>
            <w:vMerge w:val="restart"/>
            <w:tcBorders>
              <w:top w:val="single" w:sz="4" w:space="0" w:color="auto"/>
            </w:tcBorders>
            <w:shd w:val="clear" w:color="auto" w:fill="auto"/>
            <w:noWrap/>
            <w:vAlign w:val="center"/>
            <w:hideMark/>
          </w:tcPr>
          <w:p w14:paraId="76102FA0" w14:textId="77777777" w:rsidR="00FD14B9" w:rsidRPr="00671239" w:rsidRDefault="00FD14B9" w:rsidP="00E97520">
            <w:pPr>
              <w:spacing w:line="480" w:lineRule="auto"/>
              <w:jc w:val="center"/>
              <w:rPr>
                <w:rFonts w:eastAsia="新細明體"/>
                <w:i/>
                <w:iCs/>
                <w:sz w:val="20"/>
              </w:rPr>
            </w:pPr>
            <w:r w:rsidRPr="00671239">
              <w:rPr>
                <w:rFonts w:eastAsia="新細明體"/>
                <w:i/>
                <w:iCs/>
                <w:sz w:val="20"/>
              </w:rPr>
              <w:t>LGBP</w:t>
            </w:r>
          </w:p>
        </w:tc>
        <w:tc>
          <w:tcPr>
            <w:tcW w:w="422" w:type="pct"/>
            <w:tcBorders>
              <w:top w:val="single" w:sz="4" w:space="0" w:color="auto"/>
            </w:tcBorders>
            <w:shd w:val="clear" w:color="auto" w:fill="auto"/>
            <w:noWrap/>
            <w:vAlign w:val="center"/>
            <w:hideMark/>
          </w:tcPr>
          <w:p w14:paraId="6600138B" w14:textId="77777777" w:rsidR="00FD14B9" w:rsidRPr="00671239" w:rsidRDefault="00FD14B9" w:rsidP="00E97520">
            <w:pPr>
              <w:spacing w:line="480" w:lineRule="auto"/>
              <w:rPr>
                <w:rFonts w:eastAsia="新細明體"/>
                <w:sz w:val="20"/>
              </w:rPr>
            </w:pPr>
            <w:r w:rsidRPr="00671239">
              <w:rPr>
                <w:rFonts w:eastAsia="新細明體"/>
                <w:sz w:val="20"/>
              </w:rPr>
              <w:t>LGBP qFw</w:t>
            </w:r>
          </w:p>
        </w:tc>
        <w:tc>
          <w:tcPr>
            <w:tcW w:w="1146" w:type="pct"/>
            <w:tcBorders>
              <w:top w:val="single" w:sz="4" w:space="0" w:color="auto"/>
            </w:tcBorders>
            <w:shd w:val="clear" w:color="auto" w:fill="auto"/>
            <w:noWrap/>
            <w:vAlign w:val="center"/>
            <w:hideMark/>
          </w:tcPr>
          <w:p w14:paraId="2BFAB69B" w14:textId="77777777" w:rsidR="00FD14B9" w:rsidRPr="00671239" w:rsidRDefault="00FD14B9" w:rsidP="00E97520">
            <w:pPr>
              <w:spacing w:line="480" w:lineRule="auto"/>
              <w:rPr>
                <w:rFonts w:eastAsia="新細明體"/>
                <w:sz w:val="20"/>
              </w:rPr>
            </w:pPr>
            <w:r w:rsidRPr="00671239">
              <w:rPr>
                <w:rFonts w:eastAsia="新細明體"/>
                <w:sz w:val="20"/>
              </w:rPr>
              <w:t>CGGCAACCAGTACGGAGGAAC</w:t>
            </w:r>
          </w:p>
        </w:tc>
        <w:tc>
          <w:tcPr>
            <w:tcW w:w="587" w:type="pct"/>
            <w:vMerge w:val="restart"/>
            <w:tcBorders>
              <w:top w:val="single" w:sz="4" w:space="0" w:color="auto"/>
            </w:tcBorders>
            <w:shd w:val="clear" w:color="auto" w:fill="auto"/>
            <w:noWrap/>
            <w:vAlign w:val="center"/>
            <w:hideMark/>
          </w:tcPr>
          <w:p w14:paraId="4C3C1C7E" w14:textId="77777777" w:rsidR="00FD14B9" w:rsidRPr="00671239" w:rsidRDefault="00FD14B9" w:rsidP="00E97520">
            <w:pPr>
              <w:spacing w:line="480" w:lineRule="auto"/>
              <w:jc w:val="center"/>
              <w:rPr>
                <w:rFonts w:eastAsia="新細明體"/>
                <w:sz w:val="20"/>
              </w:rPr>
            </w:pPr>
            <w:r w:rsidRPr="00671239">
              <w:rPr>
                <w:rFonts w:eastAsia="新細明體"/>
                <w:sz w:val="20"/>
              </w:rPr>
              <w:t>EU102286</w:t>
            </w:r>
          </w:p>
        </w:tc>
        <w:tc>
          <w:tcPr>
            <w:tcW w:w="2497" w:type="pct"/>
            <w:vMerge w:val="restart"/>
            <w:tcBorders>
              <w:top w:val="single" w:sz="4" w:space="0" w:color="auto"/>
            </w:tcBorders>
            <w:shd w:val="clear" w:color="auto" w:fill="auto"/>
            <w:vAlign w:val="center"/>
            <w:hideMark/>
          </w:tcPr>
          <w:p w14:paraId="391DF2DA" w14:textId="77777777" w:rsidR="00FD14B9" w:rsidRPr="00671239" w:rsidRDefault="00FD14B9" w:rsidP="00E97520">
            <w:pPr>
              <w:spacing w:line="480" w:lineRule="auto"/>
              <w:rPr>
                <w:rFonts w:eastAsia="新細明體"/>
                <w:sz w:val="20"/>
              </w:rPr>
            </w:pPr>
            <w:r w:rsidRPr="00671239">
              <w:rPr>
                <w:rFonts w:eastAsia="新細明體"/>
                <w:sz w:val="20"/>
              </w:rPr>
              <w:t>The pathogen-associated molecular patterns, which recognize lipopolysaccharide and β-1,3-glucan, and subsequently trigger immunity.</w:t>
            </w:r>
          </w:p>
        </w:tc>
      </w:tr>
      <w:tr w:rsidR="00FD14B9" w:rsidRPr="00671239" w14:paraId="35FF6B0C" w14:textId="77777777" w:rsidTr="000560AB">
        <w:trPr>
          <w:trHeight w:val="110"/>
        </w:trPr>
        <w:tc>
          <w:tcPr>
            <w:tcW w:w="349" w:type="pct"/>
            <w:vMerge/>
            <w:vAlign w:val="center"/>
            <w:hideMark/>
          </w:tcPr>
          <w:p w14:paraId="3EB35BBE" w14:textId="77777777" w:rsidR="00FD14B9" w:rsidRPr="00671239" w:rsidRDefault="00FD14B9" w:rsidP="00E97520">
            <w:pPr>
              <w:spacing w:line="480" w:lineRule="auto"/>
              <w:rPr>
                <w:rFonts w:eastAsia="新細明體"/>
                <w:sz w:val="20"/>
              </w:rPr>
            </w:pPr>
          </w:p>
        </w:tc>
        <w:tc>
          <w:tcPr>
            <w:tcW w:w="422" w:type="pct"/>
            <w:tcBorders>
              <w:bottom w:val="single" w:sz="4" w:space="0" w:color="auto"/>
            </w:tcBorders>
            <w:shd w:val="clear" w:color="auto" w:fill="auto"/>
            <w:noWrap/>
            <w:vAlign w:val="center"/>
            <w:hideMark/>
          </w:tcPr>
          <w:p w14:paraId="01D36816" w14:textId="77777777" w:rsidR="00FD14B9" w:rsidRPr="00671239" w:rsidRDefault="00FD14B9" w:rsidP="00E97520">
            <w:pPr>
              <w:spacing w:line="480" w:lineRule="auto"/>
              <w:rPr>
                <w:rFonts w:eastAsia="新細明體"/>
                <w:sz w:val="20"/>
              </w:rPr>
            </w:pPr>
            <w:r w:rsidRPr="00671239">
              <w:rPr>
                <w:rFonts w:eastAsia="新細明體"/>
                <w:sz w:val="20"/>
              </w:rPr>
              <w:t>LGBP qRv</w:t>
            </w:r>
          </w:p>
        </w:tc>
        <w:tc>
          <w:tcPr>
            <w:tcW w:w="1146" w:type="pct"/>
            <w:tcBorders>
              <w:bottom w:val="single" w:sz="4" w:space="0" w:color="auto"/>
            </w:tcBorders>
            <w:shd w:val="clear" w:color="auto" w:fill="auto"/>
            <w:noWrap/>
            <w:vAlign w:val="center"/>
            <w:hideMark/>
          </w:tcPr>
          <w:p w14:paraId="264CC23A" w14:textId="77777777" w:rsidR="00FD14B9" w:rsidRPr="00671239" w:rsidRDefault="00FD14B9" w:rsidP="00E97520">
            <w:pPr>
              <w:spacing w:line="480" w:lineRule="auto"/>
              <w:rPr>
                <w:rFonts w:eastAsia="新細明體"/>
                <w:sz w:val="20"/>
              </w:rPr>
            </w:pPr>
            <w:r w:rsidRPr="00671239">
              <w:rPr>
                <w:rFonts w:eastAsia="新細明體"/>
                <w:sz w:val="20"/>
              </w:rPr>
              <w:t>GTGGAAATCATCGGCGAAGGAG</w:t>
            </w:r>
          </w:p>
        </w:tc>
        <w:tc>
          <w:tcPr>
            <w:tcW w:w="587" w:type="pct"/>
            <w:vMerge/>
            <w:tcBorders>
              <w:bottom w:val="single" w:sz="4" w:space="0" w:color="auto"/>
            </w:tcBorders>
            <w:vAlign w:val="center"/>
            <w:hideMark/>
          </w:tcPr>
          <w:p w14:paraId="69C3E152" w14:textId="77777777" w:rsidR="00FD14B9" w:rsidRPr="00671239" w:rsidRDefault="00FD14B9" w:rsidP="00E97520">
            <w:pPr>
              <w:spacing w:line="480" w:lineRule="auto"/>
              <w:rPr>
                <w:rFonts w:eastAsia="新細明體"/>
                <w:sz w:val="20"/>
              </w:rPr>
            </w:pPr>
          </w:p>
        </w:tc>
        <w:tc>
          <w:tcPr>
            <w:tcW w:w="2497" w:type="pct"/>
            <w:vMerge/>
            <w:tcBorders>
              <w:bottom w:val="single" w:sz="4" w:space="0" w:color="auto"/>
            </w:tcBorders>
            <w:vAlign w:val="center"/>
            <w:hideMark/>
          </w:tcPr>
          <w:p w14:paraId="1AA7E4C0" w14:textId="77777777" w:rsidR="00FD14B9" w:rsidRPr="00671239" w:rsidRDefault="00FD14B9" w:rsidP="00E97520">
            <w:pPr>
              <w:spacing w:line="480" w:lineRule="auto"/>
              <w:rPr>
                <w:rFonts w:eastAsia="新細明體"/>
                <w:sz w:val="20"/>
              </w:rPr>
            </w:pPr>
          </w:p>
        </w:tc>
      </w:tr>
      <w:tr w:rsidR="00FD14B9" w:rsidRPr="00671239" w14:paraId="11E57063" w14:textId="77777777" w:rsidTr="000560AB">
        <w:trPr>
          <w:trHeight w:val="320"/>
        </w:trPr>
        <w:tc>
          <w:tcPr>
            <w:tcW w:w="349" w:type="pct"/>
            <w:vMerge w:val="restart"/>
            <w:shd w:val="clear" w:color="auto" w:fill="auto"/>
            <w:noWrap/>
            <w:vAlign w:val="center"/>
            <w:hideMark/>
          </w:tcPr>
          <w:p w14:paraId="22BA8846" w14:textId="77777777" w:rsidR="00FD14B9" w:rsidRPr="00671239" w:rsidRDefault="00FD14B9" w:rsidP="00E97520">
            <w:pPr>
              <w:spacing w:line="480" w:lineRule="auto"/>
              <w:jc w:val="center"/>
              <w:rPr>
                <w:rFonts w:eastAsia="新細明體"/>
                <w:i/>
                <w:iCs/>
                <w:sz w:val="20"/>
              </w:rPr>
            </w:pPr>
            <w:r w:rsidRPr="00671239">
              <w:rPr>
                <w:rFonts w:eastAsia="新細明體"/>
                <w:i/>
                <w:iCs/>
                <w:sz w:val="20"/>
              </w:rPr>
              <w:t>ALF</w:t>
            </w:r>
          </w:p>
        </w:tc>
        <w:tc>
          <w:tcPr>
            <w:tcW w:w="422" w:type="pct"/>
            <w:tcBorders>
              <w:top w:val="single" w:sz="4" w:space="0" w:color="auto"/>
            </w:tcBorders>
            <w:shd w:val="clear" w:color="auto" w:fill="auto"/>
            <w:noWrap/>
            <w:vAlign w:val="center"/>
            <w:hideMark/>
          </w:tcPr>
          <w:p w14:paraId="690AA1E5" w14:textId="77777777" w:rsidR="00FD14B9" w:rsidRPr="00671239" w:rsidRDefault="00FD14B9" w:rsidP="00E97520">
            <w:pPr>
              <w:spacing w:line="480" w:lineRule="auto"/>
              <w:rPr>
                <w:rFonts w:eastAsia="新細明體"/>
                <w:sz w:val="20"/>
              </w:rPr>
            </w:pPr>
            <w:r w:rsidRPr="00671239">
              <w:rPr>
                <w:rFonts w:eastAsia="新細明體"/>
                <w:sz w:val="20"/>
              </w:rPr>
              <w:t>ALF qFw</w:t>
            </w:r>
          </w:p>
        </w:tc>
        <w:tc>
          <w:tcPr>
            <w:tcW w:w="1146" w:type="pct"/>
            <w:tcBorders>
              <w:top w:val="single" w:sz="4" w:space="0" w:color="auto"/>
            </w:tcBorders>
            <w:shd w:val="clear" w:color="auto" w:fill="auto"/>
            <w:noWrap/>
            <w:vAlign w:val="center"/>
            <w:hideMark/>
          </w:tcPr>
          <w:p w14:paraId="57F1BE6F" w14:textId="77777777" w:rsidR="00FD14B9" w:rsidRPr="00671239" w:rsidRDefault="00FD14B9" w:rsidP="00E97520">
            <w:pPr>
              <w:spacing w:line="480" w:lineRule="auto"/>
              <w:rPr>
                <w:rFonts w:eastAsia="新細明體"/>
                <w:sz w:val="20"/>
              </w:rPr>
            </w:pPr>
            <w:r w:rsidRPr="00671239">
              <w:rPr>
                <w:rFonts w:eastAsia="新細明體"/>
                <w:sz w:val="20"/>
              </w:rPr>
              <w:t>CTGTGGAGGAACGAGGAGAC</w:t>
            </w:r>
          </w:p>
        </w:tc>
        <w:tc>
          <w:tcPr>
            <w:tcW w:w="587" w:type="pct"/>
            <w:vMerge w:val="restart"/>
            <w:tcBorders>
              <w:top w:val="single" w:sz="4" w:space="0" w:color="auto"/>
            </w:tcBorders>
            <w:shd w:val="clear" w:color="auto" w:fill="auto"/>
            <w:noWrap/>
            <w:vAlign w:val="center"/>
            <w:hideMark/>
          </w:tcPr>
          <w:p w14:paraId="702385E8" w14:textId="77777777" w:rsidR="00FD14B9" w:rsidRPr="00671239" w:rsidRDefault="00FD14B9" w:rsidP="00E97520">
            <w:pPr>
              <w:spacing w:line="480" w:lineRule="auto"/>
              <w:jc w:val="center"/>
              <w:rPr>
                <w:rFonts w:eastAsia="新細明體"/>
                <w:sz w:val="20"/>
              </w:rPr>
            </w:pPr>
            <w:r w:rsidRPr="00671239">
              <w:rPr>
                <w:rFonts w:eastAsia="新細明體"/>
                <w:sz w:val="20"/>
              </w:rPr>
              <w:t>DQ208705</w:t>
            </w:r>
          </w:p>
        </w:tc>
        <w:tc>
          <w:tcPr>
            <w:tcW w:w="2497" w:type="pct"/>
            <w:vMerge w:val="restart"/>
            <w:tcBorders>
              <w:top w:val="single" w:sz="4" w:space="0" w:color="auto"/>
            </w:tcBorders>
            <w:shd w:val="clear" w:color="auto" w:fill="auto"/>
            <w:vAlign w:val="center"/>
            <w:hideMark/>
          </w:tcPr>
          <w:p w14:paraId="1DD51077" w14:textId="77777777" w:rsidR="00FD14B9" w:rsidRPr="00671239" w:rsidRDefault="00FD14B9" w:rsidP="00E97520">
            <w:pPr>
              <w:spacing w:line="480" w:lineRule="auto"/>
              <w:rPr>
                <w:rFonts w:eastAsia="新細明體"/>
                <w:sz w:val="20"/>
              </w:rPr>
            </w:pPr>
            <w:r w:rsidRPr="00671239">
              <w:rPr>
                <w:rFonts w:eastAsia="新細明體"/>
                <w:sz w:val="20"/>
              </w:rPr>
              <w:t>The polypeptide with broad-spectrum antimicrobial activity.</w:t>
            </w:r>
          </w:p>
        </w:tc>
      </w:tr>
      <w:tr w:rsidR="00FD14B9" w:rsidRPr="00671239" w14:paraId="02F1F2BC" w14:textId="77777777" w:rsidTr="000560AB">
        <w:trPr>
          <w:trHeight w:val="320"/>
        </w:trPr>
        <w:tc>
          <w:tcPr>
            <w:tcW w:w="349" w:type="pct"/>
            <w:vMerge/>
            <w:vAlign w:val="center"/>
            <w:hideMark/>
          </w:tcPr>
          <w:p w14:paraId="2A15408F" w14:textId="77777777" w:rsidR="00FD14B9" w:rsidRPr="00671239" w:rsidRDefault="00FD14B9" w:rsidP="00E97520">
            <w:pPr>
              <w:spacing w:line="480" w:lineRule="auto"/>
              <w:rPr>
                <w:rFonts w:eastAsia="新細明體"/>
                <w:sz w:val="20"/>
              </w:rPr>
            </w:pPr>
          </w:p>
        </w:tc>
        <w:tc>
          <w:tcPr>
            <w:tcW w:w="422" w:type="pct"/>
            <w:tcBorders>
              <w:bottom w:val="single" w:sz="4" w:space="0" w:color="auto"/>
            </w:tcBorders>
            <w:shd w:val="clear" w:color="auto" w:fill="auto"/>
            <w:noWrap/>
            <w:vAlign w:val="center"/>
            <w:hideMark/>
          </w:tcPr>
          <w:p w14:paraId="0C5A8971" w14:textId="77777777" w:rsidR="00FD14B9" w:rsidRPr="00671239" w:rsidRDefault="00FD14B9" w:rsidP="00E97520">
            <w:pPr>
              <w:spacing w:line="480" w:lineRule="auto"/>
              <w:rPr>
                <w:rFonts w:eastAsia="新細明體"/>
                <w:sz w:val="20"/>
              </w:rPr>
            </w:pPr>
            <w:r w:rsidRPr="00671239">
              <w:rPr>
                <w:rFonts w:eastAsia="新細明體"/>
                <w:sz w:val="20"/>
              </w:rPr>
              <w:t>ALF qRw</w:t>
            </w:r>
          </w:p>
        </w:tc>
        <w:tc>
          <w:tcPr>
            <w:tcW w:w="1146" w:type="pct"/>
            <w:tcBorders>
              <w:bottom w:val="single" w:sz="4" w:space="0" w:color="auto"/>
            </w:tcBorders>
            <w:shd w:val="clear" w:color="auto" w:fill="auto"/>
            <w:noWrap/>
            <w:vAlign w:val="center"/>
            <w:hideMark/>
          </w:tcPr>
          <w:p w14:paraId="08575F37" w14:textId="77777777" w:rsidR="00FD14B9" w:rsidRPr="00671239" w:rsidRDefault="00FD14B9" w:rsidP="00E97520">
            <w:pPr>
              <w:spacing w:line="480" w:lineRule="auto"/>
              <w:rPr>
                <w:rFonts w:eastAsia="新細明體"/>
                <w:sz w:val="20"/>
              </w:rPr>
            </w:pPr>
            <w:r w:rsidRPr="00671239">
              <w:rPr>
                <w:rFonts w:eastAsia="新細明體"/>
                <w:sz w:val="20"/>
              </w:rPr>
              <w:t>CCACCGCTTAGCATCTTGTT</w:t>
            </w:r>
          </w:p>
        </w:tc>
        <w:tc>
          <w:tcPr>
            <w:tcW w:w="587" w:type="pct"/>
            <w:vMerge/>
            <w:tcBorders>
              <w:bottom w:val="single" w:sz="4" w:space="0" w:color="auto"/>
            </w:tcBorders>
            <w:vAlign w:val="center"/>
            <w:hideMark/>
          </w:tcPr>
          <w:p w14:paraId="1AEC6613" w14:textId="77777777" w:rsidR="00FD14B9" w:rsidRPr="00671239" w:rsidRDefault="00FD14B9" w:rsidP="00E97520">
            <w:pPr>
              <w:spacing w:line="480" w:lineRule="auto"/>
              <w:rPr>
                <w:rFonts w:eastAsia="新細明體"/>
                <w:sz w:val="20"/>
              </w:rPr>
            </w:pPr>
          </w:p>
        </w:tc>
        <w:tc>
          <w:tcPr>
            <w:tcW w:w="2497" w:type="pct"/>
            <w:vMerge/>
            <w:tcBorders>
              <w:bottom w:val="single" w:sz="4" w:space="0" w:color="auto"/>
            </w:tcBorders>
            <w:vAlign w:val="center"/>
            <w:hideMark/>
          </w:tcPr>
          <w:p w14:paraId="7A149701" w14:textId="77777777" w:rsidR="00FD14B9" w:rsidRPr="00671239" w:rsidRDefault="00FD14B9" w:rsidP="00E97520">
            <w:pPr>
              <w:spacing w:line="480" w:lineRule="auto"/>
              <w:rPr>
                <w:rFonts w:eastAsia="新細明體"/>
                <w:sz w:val="20"/>
              </w:rPr>
            </w:pPr>
          </w:p>
        </w:tc>
      </w:tr>
      <w:tr w:rsidR="00FD14B9" w:rsidRPr="00671239" w14:paraId="7DF0B1D9" w14:textId="77777777" w:rsidTr="000560AB">
        <w:trPr>
          <w:trHeight w:val="20"/>
        </w:trPr>
        <w:tc>
          <w:tcPr>
            <w:tcW w:w="349" w:type="pct"/>
            <w:vMerge w:val="restart"/>
            <w:shd w:val="clear" w:color="auto" w:fill="auto"/>
            <w:noWrap/>
            <w:vAlign w:val="center"/>
            <w:hideMark/>
          </w:tcPr>
          <w:p w14:paraId="16F9C308" w14:textId="77777777" w:rsidR="00FD14B9" w:rsidRPr="00671239" w:rsidRDefault="00FD14B9" w:rsidP="00E97520">
            <w:pPr>
              <w:spacing w:line="480" w:lineRule="auto"/>
              <w:jc w:val="center"/>
              <w:rPr>
                <w:rFonts w:eastAsia="新細明體"/>
                <w:i/>
                <w:iCs/>
                <w:sz w:val="20"/>
              </w:rPr>
            </w:pPr>
            <w:r w:rsidRPr="00671239">
              <w:rPr>
                <w:rFonts w:eastAsia="新細明體"/>
                <w:i/>
                <w:iCs/>
                <w:sz w:val="20"/>
              </w:rPr>
              <w:t>cytMnSOD</w:t>
            </w:r>
          </w:p>
        </w:tc>
        <w:tc>
          <w:tcPr>
            <w:tcW w:w="422" w:type="pct"/>
            <w:tcBorders>
              <w:top w:val="single" w:sz="4" w:space="0" w:color="auto"/>
            </w:tcBorders>
            <w:shd w:val="clear" w:color="auto" w:fill="auto"/>
            <w:noWrap/>
            <w:vAlign w:val="center"/>
            <w:hideMark/>
          </w:tcPr>
          <w:p w14:paraId="06BBCE3F" w14:textId="77777777" w:rsidR="00FD14B9" w:rsidRPr="00671239" w:rsidRDefault="00FD14B9" w:rsidP="00E97520">
            <w:pPr>
              <w:spacing w:line="480" w:lineRule="auto"/>
              <w:rPr>
                <w:rFonts w:eastAsia="新細明體"/>
                <w:sz w:val="20"/>
              </w:rPr>
            </w:pPr>
            <w:r w:rsidRPr="00671239">
              <w:rPr>
                <w:rFonts w:eastAsia="新細明體"/>
                <w:sz w:val="20"/>
              </w:rPr>
              <w:t>SOD qFw</w:t>
            </w:r>
          </w:p>
        </w:tc>
        <w:tc>
          <w:tcPr>
            <w:tcW w:w="1146" w:type="pct"/>
            <w:tcBorders>
              <w:top w:val="single" w:sz="4" w:space="0" w:color="auto"/>
            </w:tcBorders>
            <w:shd w:val="clear" w:color="auto" w:fill="auto"/>
            <w:noWrap/>
            <w:vAlign w:val="center"/>
            <w:hideMark/>
          </w:tcPr>
          <w:p w14:paraId="6DE4042D" w14:textId="77777777" w:rsidR="00FD14B9" w:rsidRPr="00671239" w:rsidRDefault="00FD14B9" w:rsidP="00E97520">
            <w:pPr>
              <w:spacing w:line="480" w:lineRule="auto"/>
              <w:rPr>
                <w:rFonts w:eastAsia="新細明體"/>
                <w:sz w:val="20"/>
              </w:rPr>
            </w:pPr>
            <w:r w:rsidRPr="00671239">
              <w:rPr>
                <w:rFonts w:eastAsia="新細明體"/>
                <w:sz w:val="20"/>
              </w:rPr>
              <w:t>ATCCACCACACAAAGCATCA</w:t>
            </w:r>
          </w:p>
        </w:tc>
        <w:tc>
          <w:tcPr>
            <w:tcW w:w="587" w:type="pct"/>
            <w:vMerge w:val="restart"/>
            <w:tcBorders>
              <w:top w:val="single" w:sz="4" w:space="0" w:color="auto"/>
            </w:tcBorders>
            <w:shd w:val="clear" w:color="auto" w:fill="auto"/>
            <w:noWrap/>
            <w:vAlign w:val="center"/>
            <w:hideMark/>
          </w:tcPr>
          <w:p w14:paraId="5F812284" w14:textId="77777777" w:rsidR="00FD14B9" w:rsidRPr="00671239" w:rsidRDefault="00FD14B9" w:rsidP="00E97520">
            <w:pPr>
              <w:spacing w:line="480" w:lineRule="auto"/>
              <w:jc w:val="center"/>
              <w:rPr>
                <w:rFonts w:eastAsia="新細明體"/>
                <w:sz w:val="20"/>
              </w:rPr>
            </w:pPr>
            <w:r w:rsidRPr="00671239">
              <w:rPr>
                <w:rFonts w:eastAsia="新細明體"/>
                <w:sz w:val="20"/>
              </w:rPr>
              <w:t>DQ029053</w:t>
            </w:r>
          </w:p>
        </w:tc>
        <w:tc>
          <w:tcPr>
            <w:tcW w:w="2497" w:type="pct"/>
            <w:vMerge w:val="restart"/>
            <w:tcBorders>
              <w:top w:val="single" w:sz="4" w:space="0" w:color="auto"/>
            </w:tcBorders>
            <w:shd w:val="clear" w:color="auto" w:fill="auto"/>
            <w:vAlign w:val="center"/>
            <w:hideMark/>
          </w:tcPr>
          <w:p w14:paraId="7815F8A4" w14:textId="77777777" w:rsidR="00FD14B9" w:rsidRPr="00671239" w:rsidRDefault="00FD14B9" w:rsidP="00E97520">
            <w:pPr>
              <w:spacing w:line="480" w:lineRule="auto"/>
              <w:rPr>
                <w:rFonts w:eastAsia="新細明體"/>
                <w:sz w:val="20"/>
              </w:rPr>
            </w:pPr>
            <w:r w:rsidRPr="00671239">
              <w:rPr>
                <w:rFonts w:eastAsia="新細明體"/>
                <w:sz w:val="20"/>
              </w:rPr>
              <w:t>The producer of superoxide radicals</w:t>
            </w:r>
            <w:r w:rsidRPr="00671239">
              <w:rPr>
                <w:rFonts w:eastAsia="新細明體" w:hint="eastAsia"/>
                <w:sz w:val="20"/>
              </w:rPr>
              <w:t>.</w:t>
            </w:r>
          </w:p>
        </w:tc>
      </w:tr>
      <w:tr w:rsidR="00FD14B9" w:rsidRPr="00671239" w14:paraId="1AFFF2A9" w14:textId="77777777" w:rsidTr="000560AB">
        <w:trPr>
          <w:trHeight w:val="20"/>
        </w:trPr>
        <w:tc>
          <w:tcPr>
            <w:tcW w:w="349" w:type="pct"/>
            <w:vMerge/>
            <w:vAlign w:val="center"/>
            <w:hideMark/>
          </w:tcPr>
          <w:p w14:paraId="15E3BEDB" w14:textId="77777777" w:rsidR="00FD14B9" w:rsidRPr="00671239" w:rsidRDefault="00FD14B9" w:rsidP="00E97520">
            <w:pPr>
              <w:spacing w:line="480" w:lineRule="auto"/>
              <w:rPr>
                <w:rFonts w:eastAsia="新細明體"/>
                <w:sz w:val="20"/>
              </w:rPr>
            </w:pPr>
          </w:p>
        </w:tc>
        <w:tc>
          <w:tcPr>
            <w:tcW w:w="422" w:type="pct"/>
            <w:tcBorders>
              <w:bottom w:val="single" w:sz="4" w:space="0" w:color="auto"/>
            </w:tcBorders>
            <w:shd w:val="clear" w:color="auto" w:fill="auto"/>
            <w:noWrap/>
            <w:vAlign w:val="center"/>
            <w:hideMark/>
          </w:tcPr>
          <w:p w14:paraId="5D1D961F" w14:textId="77777777" w:rsidR="00FD14B9" w:rsidRPr="00671239" w:rsidRDefault="00FD14B9" w:rsidP="00E97520">
            <w:pPr>
              <w:spacing w:line="480" w:lineRule="auto"/>
              <w:rPr>
                <w:rFonts w:eastAsia="新細明體"/>
                <w:sz w:val="20"/>
              </w:rPr>
            </w:pPr>
            <w:r w:rsidRPr="00671239">
              <w:rPr>
                <w:rFonts w:eastAsia="新細明體"/>
                <w:sz w:val="20"/>
              </w:rPr>
              <w:t>SOD qRv</w:t>
            </w:r>
          </w:p>
        </w:tc>
        <w:tc>
          <w:tcPr>
            <w:tcW w:w="1146" w:type="pct"/>
            <w:tcBorders>
              <w:bottom w:val="single" w:sz="4" w:space="0" w:color="auto"/>
            </w:tcBorders>
            <w:shd w:val="clear" w:color="auto" w:fill="auto"/>
            <w:noWrap/>
            <w:vAlign w:val="center"/>
            <w:hideMark/>
          </w:tcPr>
          <w:p w14:paraId="531516CD" w14:textId="77777777" w:rsidR="00FD14B9" w:rsidRPr="00671239" w:rsidRDefault="00FD14B9" w:rsidP="00E97520">
            <w:pPr>
              <w:spacing w:line="480" w:lineRule="auto"/>
              <w:rPr>
                <w:rFonts w:eastAsia="新細明體"/>
                <w:sz w:val="20"/>
              </w:rPr>
            </w:pPr>
            <w:r w:rsidRPr="00671239">
              <w:rPr>
                <w:rFonts w:eastAsia="新細明體"/>
                <w:sz w:val="20"/>
              </w:rPr>
              <w:t>AGCTCTCGTCAATGGCTTGT</w:t>
            </w:r>
          </w:p>
        </w:tc>
        <w:tc>
          <w:tcPr>
            <w:tcW w:w="587" w:type="pct"/>
            <w:vMerge/>
            <w:tcBorders>
              <w:bottom w:val="single" w:sz="4" w:space="0" w:color="auto"/>
            </w:tcBorders>
            <w:vAlign w:val="center"/>
            <w:hideMark/>
          </w:tcPr>
          <w:p w14:paraId="6B1893C2" w14:textId="77777777" w:rsidR="00FD14B9" w:rsidRPr="00671239" w:rsidRDefault="00FD14B9" w:rsidP="00E97520">
            <w:pPr>
              <w:spacing w:line="480" w:lineRule="auto"/>
              <w:rPr>
                <w:rFonts w:eastAsia="新細明體"/>
                <w:sz w:val="20"/>
              </w:rPr>
            </w:pPr>
          </w:p>
        </w:tc>
        <w:tc>
          <w:tcPr>
            <w:tcW w:w="2497" w:type="pct"/>
            <w:vMerge/>
            <w:tcBorders>
              <w:bottom w:val="single" w:sz="4" w:space="0" w:color="auto"/>
            </w:tcBorders>
            <w:vAlign w:val="center"/>
            <w:hideMark/>
          </w:tcPr>
          <w:p w14:paraId="28E958C9" w14:textId="77777777" w:rsidR="00FD14B9" w:rsidRPr="00671239" w:rsidRDefault="00FD14B9" w:rsidP="00E97520">
            <w:pPr>
              <w:spacing w:line="480" w:lineRule="auto"/>
              <w:rPr>
                <w:rFonts w:eastAsia="新細明體"/>
                <w:sz w:val="20"/>
              </w:rPr>
            </w:pPr>
          </w:p>
        </w:tc>
      </w:tr>
      <w:tr w:rsidR="00FD14B9" w:rsidRPr="00671239" w14:paraId="3EC53162" w14:textId="77777777" w:rsidTr="000560AB">
        <w:trPr>
          <w:trHeight w:val="20"/>
        </w:trPr>
        <w:tc>
          <w:tcPr>
            <w:tcW w:w="349" w:type="pct"/>
            <w:vMerge w:val="restart"/>
            <w:shd w:val="clear" w:color="auto" w:fill="auto"/>
            <w:noWrap/>
            <w:vAlign w:val="center"/>
            <w:hideMark/>
          </w:tcPr>
          <w:p w14:paraId="680CF67D" w14:textId="77777777" w:rsidR="00FD14B9" w:rsidRPr="00671239" w:rsidRDefault="00FD14B9" w:rsidP="00E97520">
            <w:pPr>
              <w:spacing w:line="480" w:lineRule="auto"/>
              <w:jc w:val="center"/>
              <w:rPr>
                <w:rFonts w:eastAsia="新細明體"/>
                <w:i/>
                <w:iCs/>
                <w:sz w:val="20"/>
              </w:rPr>
            </w:pPr>
            <w:r w:rsidRPr="00671239">
              <w:rPr>
                <w:rFonts w:eastAsia="新細明體"/>
                <w:i/>
                <w:iCs/>
                <w:sz w:val="20"/>
              </w:rPr>
              <w:t>LYZ</w:t>
            </w:r>
          </w:p>
        </w:tc>
        <w:tc>
          <w:tcPr>
            <w:tcW w:w="422" w:type="pct"/>
            <w:tcBorders>
              <w:top w:val="single" w:sz="4" w:space="0" w:color="auto"/>
            </w:tcBorders>
            <w:shd w:val="clear" w:color="auto" w:fill="auto"/>
            <w:noWrap/>
            <w:vAlign w:val="center"/>
            <w:hideMark/>
          </w:tcPr>
          <w:p w14:paraId="545902FC" w14:textId="77777777" w:rsidR="00FD14B9" w:rsidRPr="00671239" w:rsidRDefault="00FD14B9" w:rsidP="00E97520">
            <w:pPr>
              <w:spacing w:line="480" w:lineRule="auto"/>
              <w:rPr>
                <w:rFonts w:eastAsia="新細明體"/>
                <w:sz w:val="20"/>
              </w:rPr>
            </w:pPr>
            <w:r w:rsidRPr="00671239">
              <w:rPr>
                <w:rFonts w:eastAsia="新細明體"/>
                <w:sz w:val="20"/>
              </w:rPr>
              <w:t>LYZ qFw</w:t>
            </w:r>
          </w:p>
        </w:tc>
        <w:tc>
          <w:tcPr>
            <w:tcW w:w="1146" w:type="pct"/>
            <w:tcBorders>
              <w:top w:val="single" w:sz="4" w:space="0" w:color="auto"/>
            </w:tcBorders>
            <w:shd w:val="clear" w:color="auto" w:fill="auto"/>
            <w:noWrap/>
            <w:vAlign w:val="center"/>
            <w:hideMark/>
          </w:tcPr>
          <w:p w14:paraId="75D454C3" w14:textId="77777777" w:rsidR="00FD14B9" w:rsidRPr="00671239" w:rsidRDefault="00FD14B9" w:rsidP="00E97520">
            <w:pPr>
              <w:spacing w:line="480" w:lineRule="auto"/>
              <w:rPr>
                <w:rFonts w:eastAsia="新細明體"/>
                <w:sz w:val="20"/>
              </w:rPr>
            </w:pPr>
            <w:r w:rsidRPr="00671239">
              <w:rPr>
                <w:rFonts w:eastAsia="新細明體"/>
                <w:sz w:val="20"/>
              </w:rPr>
              <w:t>GAAGCGACTACGGCAAGAAC</w:t>
            </w:r>
          </w:p>
        </w:tc>
        <w:tc>
          <w:tcPr>
            <w:tcW w:w="587" w:type="pct"/>
            <w:vMerge w:val="restart"/>
            <w:tcBorders>
              <w:top w:val="single" w:sz="4" w:space="0" w:color="auto"/>
            </w:tcBorders>
            <w:shd w:val="clear" w:color="auto" w:fill="auto"/>
            <w:noWrap/>
            <w:vAlign w:val="center"/>
            <w:hideMark/>
          </w:tcPr>
          <w:p w14:paraId="6DC4A729" w14:textId="77777777" w:rsidR="00FD14B9" w:rsidRPr="00671239" w:rsidRDefault="00FD14B9" w:rsidP="00E97520">
            <w:pPr>
              <w:spacing w:line="480" w:lineRule="auto"/>
              <w:jc w:val="center"/>
              <w:rPr>
                <w:rFonts w:eastAsia="新細明體"/>
                <w:sz w:val="20"/>
              </w:rPr>
            </w:pPr>
            <w:r w:rsidRPr="00671239">
              <w:rPr>
                <w:rFonts w:eastAsia="新細明體"/>
                <w:sz w:val="20"/>
              </w:rPr>
              <w:t>AF425673</w:t>
            </w:r>
          </w:p>
        </w:tc>
        <w:tc>
          <w:tcPr>
            <w:tcW w:w="2497" w:type="pct"/>
            <w:vMerge w:val="restart"/>
            <w:tcBorders>
              <w:top w:val="single" w:sz="4" w:space="0" w:color="auto"/>
            </w:tcBorders>
            <w:shd w:val="clear" w:color="auto" w:fill="auto"/>
            <w:vAlign w:val="center"/>
            <w:hideMark/>
          </w:tcPr>
          <w:p w14:paraId="2C4DC682" w14:textId="77777777" w:rsidR="00FD14B9" w:rsidRPr="00671239" w:rsidRDefault="00FD14B9" w:rsidP="00E97520">
            <w:pPr>
              <w:spacing w:line="480" w:lineRule="auto"/>
              <w:rPr>
                <w:rFonts w:eastAsia="新細明體"/>
                <w:sz w:val="20"/>
              </w:rPr>
            </w:pPr>
            <w:r w:rsidRPr="00671239">
              <w:rPr>
                <w:rFonts w:eastAsia="新細明體"/>
                <w:sz w:val="20"/>
              </w:rPr>
              <w:t>An antimicrobial enzyme that disrupts the integrity of bacterial cell walls.</w:t>
            </w:r>
          </w:p>
        </w:tc>
      </w:tr>
      <w:tr w:rsidR="00FD14B9" w:rsidRPr="00671239" w14:paraId="00484075" w14:textId="77777777" w:rsidTr="000560AB">
        <w:trPr>
          <w:trHeight w:val="20"/>
        </w:trPr>
        <w:tc>
          <w:tcPr>
            <w:tcW w:w="349" w:type="pct"/>
            <w:vMerge/>
            <w:vAlign w:val="center"/>
            <w:hideMark/>
          </w:tcPr>
          <w:p w14:paraId="2E04535F" w14:textId="77777777" w:rsidR="00FD14B9" w:rsidRPr="00671239" w:rsidRDefault="00FD14B9" w:rsidP="00E97520">
            <w:pPr>
              <w:spacing w:line="480" w:lineRule="auto"/>
              <w:rPr>
                <w:rFonts w:eastAsia="新細明體"/>
                <w:sz w:val="20"/>
              </w:rPr>
            </w:pPr>
          </w:p>
        </w:tc>
        <w:tc>
          <w:tcPr>
            <w:tcW w:w="422" w:type="pct"/>
            <w:tcBorders>
              <w:bottom w:val="single" w:sz="4" w:space="0" w:color="auto"/>
            </w:tcBorders>
            <w:shd w:val="clear" w:color="auto" w:fill="auto"/>
            <w:noWrap/>
            <w:vAlign w:val="center"/>
            <w:hideMark/>
          </w:tcPr>
          <w:p w14:paraId="76FF2406" w14:textId="77777777" w:rsidR="00FD14B9" w:rsidRPr="00671239" w:rsidRDefault="00FD14B9" w:rsidP="00E97520">
            <w:pPr>
              <w:spacing w:line="480" w:lineRule="auto"/>
              <w:rPr>
                <w:rFonts w:eastAsia="新細明體"/>
                <w:sz w:val="20"/>
              </w:rPr>
            </w:pPr>
            <w:r w:rsidRPr="00671239">
              <w:rPr>
                <w:rFonts w:eastAsia="新細明體"/>
                <w:sz w:val="20"/>
              </w:rPr>
              <w:t>LYZ qRv</w:t>
            </w:r>
          </w:p>
        </w:tc>
        <w:tc>
          <w:tcPr>
            <w:tcW w:w="1146" w:type="pct"/>
            <w:tcBorders>
              <w:bottom w:val="single" w:sz="4" w:space="0" w:color="auto"/>
            </w:tcBorders>
            <w:shd w:val="clear" w:color="auto" w:fill="auto"/>
            <w:noWrap/>
            <w:vAlign w:val="center"/>
            <w:hideMark/>
          </w:tcPr>
          <w:p w14:paraId="3515E315" w14:textId="77777777" w:rsidR="00FD14B9" w:rsidRPr="00671239" w:rsidRDefault="00FD14B9" w:rsidP="00E97520">
            <w:pPr>
              <w:spacing w:line="480" w:lineRule="auto"/>
              <w:rPr>
                <w:rFonts w:eastAsia="新細明體"/>
                <w:sz w:val="20"/>
              </w:rPr>
            </w:pPr>
            <w:r w:rsidRPr="00671239">
              <w:rPr>
                <w:rFonts w:eastAsia="新細明體"/>
                <w:sz w:val="20"/>
              </w:rPr>
              <w:t>AACCGTGAGACCAGCACTCT</w:t>
            </w:r>
          </w:p>
        </w:tc>
        <w:tc>
          <w:tcPr>
            <w:tcW w:w="587" w:type="pct"/>
            <w:vMerge/>
            <w:tcBorders>
              <w:bottom w:val="single" w:sz="4" w:space="0" w:color="auto"/>
            </w:tcBorders>
            <w:vAlign w:val="center"/>
            <w:hideMark/>
          </w:tcPr>
          <w:p w14:paraId="23B55B7F" w14:textId="77777777" w:rsidR="00FD14B9" w:rsidRPr="00671239" w:rsidRDefault="00FD14B9" w:rsidP="00E97520">
            <w:pPr>
              <w:spacing w:line="480" w:lineRule="auto"/>
              <w:rPr>
                <w:rFonts w:eastAsia="新細明體"/>
                <w:sz w:val="20"/>
              </w:rPr>
            </w:pPr>
          </w:p>
        </w:tc>
        <w:tc>
          <w:tcPr>
            <w:tcW w:w="2497" w:type="pct"/>
            <w:vMerge/>
            <w:tcBorders>
              <w:bottom w:val="single" w:sz="4" w:space="0" w:color="auto"/>
            </w:tcBorders>
            <w:vAlign w:val="center"/>
            <w:hideMark/>
          </w:tcPr>
          <w:p w14:paraId="7F83D9D2" w14:textId="77777777" w:rsidR="00FD14B9" w:rsidRPr="00671239" w:rsidRDefault="00FD14B9" w:rsidP="00E97520">
            <w:pPr>
              <w:spacing w:line="480" w:lineRule="auto"/>
              <w:rPr>
                <w:rFonts w:eastAsia="新細明體"/>
                <w:sz w:val="20"/>
              </w:rPr>
            </w:pPr>
          </w:p>
        </w:tc>
      </w:tr>
      <w:tr w:rsidR="00FD14B9" w:rsidRPr="00671239" w14:paraId="35D6C883" w14:textId="77777777" w:rsidTr="000560AB">
        <w:trPr>
          <w:trHeight w:val="20"/>
        </w:trPr>
        <w:tc>
          <w:tcPr>
            <w:tcW w:w="349" w:type="pct"/>
            <w:vMerge w:val="restart"/>
            <w:tcBorders>
              <w:bottom w:val="single" w:sz="4" w:space="0" w:color="auto"/>
            </w:tcBorders>
            <w:shd w:val="clear" w:color="auto" w:fill="auto"/>
            <w:noWrap/>
            <w:vAlign w:val="center"/>
            <w:hideMark/>
          </w:tcPr>
          <w:p w14:paraId="6EDD8305" w14:textId="77777777" w:rsidR="00FD14B9" w:rsidRPr="00671239" w:rsidRDefault="00FD14B9" w:rsidP="00E97520">
            <w:pPr>
              <w:spacing w:line="480" w:lineRule="auto"/>
              <w:jc w:val="center"/>
              <w:rPr>
                <w:rFonts w:eastAsia="新細明體"/>
                <w:i/>
                <w:iCs/>
                <w:sz w:val="20"/>
              </w:rPr>
            </w:pPr>
            <w:r w:rsidRPr="00671239">
              <w:rPr>
                <w:rFonts w:eastAsia="新細明體"/>
                <w:i/>
                <w:iCs/>
                <w:sz w:val="20"/>
              </w:rPr>
              <w:t>EF1α</w:t>
            </w:r>
          </w:p>
        </w:tc>
        <w:tc>
          <w:tcPr>
            <w:tcW w:w="422" w:type="pct"/>
            <w:tcBorders>
              <w:top w:val="single" w:sz="4" w:space="0" w:color="auto"/>
            </w:tcBorders>
            <w:shd w:val="clear" w:color="auto" w:fill="auto"/>
            <w:noWrap/>
            <w:vAlign w:val="center"/>
            <w:hideMark/>
          </w:tcPr>
          <w:p w14:paraId="42F851B3" w14:textId="77777777" w:rsidR="00FD14B9" w:rsidRPr="00671239" w:rsidRDefault="00FD14B9" w:rsidP="00E97520">
            <w:pPr>
              <w:spacing w:line="480" w:lineRule="auto"/>
              <w:rPr>
                <w:rFonts w:eastAsia="新細明體"/>
                <w:sz w:val="20"/>
              </w:rPr>
            </w:pPr>
            <w:r w:rsidRPr="00671239">
              <w:rPr>
                <w:rFonts w:eastAsia="新細明體"/>
                <w:sz w:val="20"/>
              </w:rPr>
              <w:t>EF1α qFw</w:t>
            </w:r>
          </w:p>
        </w:tc>
        <w:tc>
          <w:tcPr>
            <w:tcW w:w="1146" w:type="pct"/>
            <w:tcBorders>
              <w:top w:val="single" w:sz="4" w:space="0" w:color="auto"/>
            </w:tcBorders>
            <w:shd w:val="clear" w:color="auto" w:fill="auto"/>
            <w:noWrap/>
            <w:vAlign w:val="center"/>
            <w:hideMark/>
          </w:tcPr>
          <w:p w14:paraId="4B63240E" w14:textId="77777777" w:rsidR="00FD14B9" w:rsidRPr="00671239" w:rsidRDefault="00FD14B9" w:rsidP="00E97520">
            <w:pPr>
              <w:spacing w:line="480" w:lineRule="auto"/>
              <w:rPr>
                <w:rFonts w:eastAsia="新細明體"/>
                <w:sz w:val="20"/>
              </w:rPr>
            </w:pPr>
            <w:r w:rsidRPr="00671239">
              <w:rPr>
                <w:rFonts w:eastAsia="新細明體"/>
                <w:sz w:val="20"/>
              </w:rPr>
              <w:t>GCCAGGTATGGTTGTCAACTTTG</w:t>
            </w:r>
          </w:p>
        </w:tc>
        <w:tc>
          <w:tcPr>
            <w:tcW w:w="587" w:type="pct"/>
            <w:vMerge w:val="restart"/>
            <w:tcBorders>
              <w:top w:val="single" w:sz="4" w:space="0" w:color="auto"/>
              <w:bottom w:val="single" w:sz="4" w:space="0" w:color="auto"/>
            </w:tcBorders>
            <w:shd w:val="clear" w:color="auto" w:fill="auto"/>
            <w:noWrap/>
            <w:vAlign w:val="center"/>
            <w:hideMark/>
          </w:tcPr>
          <w:p w14:paraId="356B19BC" w14:textId="77777777" w:rsidR="00FD14B9" w:rsidRPr="00671239" w:rsidRDefault="00FD14B9" w:rsidP="00E97520">
            <w:pPr>
              <w:spacing w:line="480" w:lineRule="auto"/>
              <w:jc w:val="center"/>
              <w:rPr>
                <w:rFonts w:eastAsia="新細明體"/>
                <w:sz w:val="20"/>
              </w:rPr>
            </w:pPr>
            <w:r w:rsidRPr="00671239">
              <w:rPr>
                <w:rFonts w:eastAsia="新細明體"/>
                <w:sz w:val="20"/>
              </w:rPr>
              <w:t>GU136229</w:t>
            </w:r>
          </w:p>
        </w:tc>
        <w:tc>
          <w:tcPr>
            <w:tcW w:w="2497" w:type="pct"/>
            <w:vMerge w:val="restart"/>
            <w:tcBorders>
              <w:top w:val="single" w:sz="4" w:space="0" w:color="auto"/>
              <w:bottom w:val="single" w:sz="4" w:space="0" w:color="auto"/>
            </w:tcBorders>
            <w:shd w:val="clear" w:color="auto" w:fill="auto"/>
            <w:vAlign w:val="center"/>
            <w:hideMark/>
          </w:tcPr>
          <w:p w14:paraId="68C7034E" w14:textId="77777777" w:rsidR="00FD14B9" w:rsidRPr="00671239" w:rsidRDefault="00FD14B9" w:rsidP="00E97520">
            <w:pPr>
              <w:spacing w:line="480" w:lineRule="auto"/>
              <w:rPr>
                <w:rFonts w:eastAsia="新細明體"/>
                <w:sz w:val="20"/>
              </w:rPr>
            </w:pPr>
            <w:r w:rsidRPr="00671239">
              <w:rPr>
                <w:rFonts w:eastAsia="新細明體"/>
                <w:sz w:val="20"/>
              </w:rPr>
              <w:t>Eukaryotic translation elongation factor 1 alpha; housekeeping gene.</w:t>
            </w:r>
          </w:p>
        </w:tc>
      </w:tr>
      <w:tr w:rsidR="00FD14B9" w:rsidRPr="00671239" w14:paraId="52AC66CE" w14:textId="77777777" w:rsidTr="000560AB">
        <w:trPr>
          <w:trHeight w:val="20"/>
        </w:trPr>
        <w:tc>
          <w:tcPr>
            <w:tcW w:w="349" w:type="pct"/>
            <w:vMerge/>
            <w:tcBorders>
              <w:bottom w:val="single" w:sz="4" w:space="0" w:color="auto"/>
            </w:tcBorders>
            <w:vAlign w:val="center"/>
            <w:hideMark/>
          </w:tcPr>
          <w:p w14:paraId="0BD72920" w14:textId="77777777" w:rsidR="00FD14B9" w:rsidRPr="00671239" w:rsidRDefault="00FD14B9" w:rsidP="00E97520">
            <w:pPr>
              <w:spacing w:line="480" w:lineRule="auto"/>
              <w:rPr>
                <w:rFonts w:eastAsia="新細明體"/>
                <w:sz w:val="20"/>
              </w:rPr>
            </w:pPr>
          </w:p>
        </w:tc>
        <w:tc>
          <w:tcPr>
            <w:tcW w:w="422" w:type="pct"/>
            <w:tcBorders>
              <w:bottom w:val="single" w:sz="4" w:space="0" w:color="auto"/>
            </w:tcBorders>
            <w:shd w:val="clear" w:color="auto" w:fill="auto"/>
            <w:noWrap/>
            <w:vAlign w:val="center"/>
            <w:hideMark/>
          </w:tcPr>
          <w:p w14:paraId="58517ACE" w14:textId="77777777" w:rsidR="00FD14B9" w:rsidRPr="00671239" w:rsidRDefault="00FD14B9" w:rsidP="00E97520">
            <w:pPr>
              <w:spacing w:line="480" w:lineRule="auto"/>
              <w:rPr>
                <w:rFonts w:eastAsia="新細明體"/>
                <w:sz w:val="20"/>
              </w:rPr>
            </w:pPr>
            <w:r w:rsidRPr="00671239">
              <w:rPr>
                <w:rFonts w:eastAsia="新細明體"/>
                <w:sz w:val="20"/>
              </w:rPr>
              <w:t>EF1α qRv</w:t>
            </w:r>
          </w:p>
        </w:tc>
        <w:tc>
          <w:tcPr>
            <w:tcW w:w="1146" w:type="pct"/>
            <w:tcBorders>
              <w:bottom w:val="single" w:sz="4" w:space="0" w:color="auto"/>
            </w:tcBorders>
            <w:shd w:val="clear" w:color="auto" w:fill="auto"/>
            <w:noWrap/>
            <w:vAlign w:val="center"/>
            <w:hideMark/>
          </w:tcPr>
          <w:p w14:paraId="48E103EE" w14:textId="77777777" w:rsidR="00FD14B9" w:rsidRPr="00671239" w:rsidRDefault="00FD14B9" w:rsidP="00E97520">
            <w:pPr>
              <w:spacing w:line="480" w:lineRule="auto"/>
              <w:rPr>
                <w:rFonts w:eastAsia="新細明體"/>
                <w:sz w:val="20"/>
              </w:rPr>
            </w:pPr>
            <w:r w:rsidRPr="00671239">
              <w:rPr>
                <w:rFonts w:eastAsia="新細明體"/>
                <w:sz w:val="20"/>
              </w:rPr>
              <w:t>GCCACGCTTCAGATCCTTCA</w:t>
            </w:r>
          </w:p>
        </w:tc>
        <w:tc>
          <w:tcPr>
            <w:tcW w:w="587" w:type="pct"/>
            <w:vMerge/>
            <w:tcBorders>
              <w:bottom w:val="single" w:sz="4" w:space="0" w:color="auto"/>
            </w:tcBorders>
            <w:vAlign w:val="center"/>
            <w:hideMark/>
          </w:tcPr>
          <w:p w14:paraId="7B60AC28" w14:textId="77777777" w:rsidR="00FD14B9" w:rsidRPr="00671239" w:rsidRDefault="00FD14B9" w:rsidP="00E97520">
            <w:pPr>
              <w:spacing w:line="480" w:lineRule="auto"/>
              <w:rPr>
                <w:rFonts w:eastAsia="新細明體"/>
                <w:sz w:val="20"/>
              </w:rPr>
            </w:pPr>
          </w:p>
        </w:tc>
        <w:tc>
          <w:tcPr>
            <w:tcW w:w="2497" w:type="pct"/>
            <w:vMerge/>
            <w:tcBorders>
              <w:bottom w:val="single" w:sz="4" w:space="0" w:color="auto"/>
            </w:tcBorders>
            <w:vAlign w:val="center"/>
            <w:hideMark/>
          </w:tcPr>
          <w:p w14:paraId="46B96D8C" w14:textId="77777777" w:rsidR="00FD14B9" w:rsidRPr="00671239" w:rsidRDefault="00FD14B9" w:rsidP="00E97520">
            <w:pPr>
              <w:spacing w:line="480" w:lineRule="auto"/>
              <w:rPr>
                <w:rFonts w:eastAsia="新細明體"/>
                <w:sz w:val="20"/>
              </w:rPr>
            </w:pPr>
          </w:p>
        </w:tc>
      </w:tr>
    </w:tbl>
    <w:p w14:paraId="251986CA" w14:textId="03011ED4" w:rsidR="008E351E" w:rsidRDefault="008E351E" w:rsidP="008E351E">
      <w:pPr>
        <w:rPr>
          <w:rFonts w:eastAsia="新細明體"/>
        </w:rPr>
      </w:pPr>
    </w:p>
    <w:p w14:paraId="5D085666" w14:textId="23E7676B" w:rsidR="00E97520" w:rsidRDefault="00E97520" w:rsidP="008E351E">
      <w:pPr>
        <w:rPr>
          <w:rFonts w:eastAsia="新細明體"/>
        </w:rPr>
      </w:pPr>
    </w:p>
    <w:p w14:paraId="7F772E9D" w14:textId="77777777" w:rsidR="00E97520" w:rsidRPr="00671239" w:rsidRDefault="00E97520" w:rsidP="008E351E">
      <w:pPr>
        <w:rPr>
          <w:rFonts w:eastAsia="新細明體"/>
        </w:rPr>
      </w:pPr>
    </w:p>
    <w:p w14:paraId="275543D4" w14:textId="61748C93" w:rsidR="0008457B" w:rsidRPr="0008457B" w:rsidRDefault="0008457B" w:rsidP="0008457B">
      <w:pPr>
        <w:pageBreakBefore/>
        <w:spacing w:line="360" w:lineRule="auto"/>
        <w:jc w:val="both"/>
        <w:rPr>
          <w:rFonts w:eastAsia="新細明體"/>
          <w:b/>
          <w:bCs/>
          <w:iCs/>
          <w:sz w:val="28"/>
          <w:lang w:eastAsia="zh-TW"/>
        </w:rPr>
      </w:pPr>
      <w:r w:rsidRPr="0008457B">
        <w:rPr>
          <w:rFonts w:eastAsia="新細明體" w:hint="eastAsia"/>
          <w:b/>
          <w:bCs/>
          <w:iCs/>
          <w:sz w:val="28"/>
          <w:lang w:eastAsia="zh-TW"/>
        </w:rPr>
        <w:t>A</w:t>
      </w:r>
      <w:r w:rsidRPr="0008457B">
        <w:rPr>
          <w:rFonts w:eastAsia="新細明體"/>
          <w:b/>
          <w:bCs/>
          <w:iCs/>
          <w:sz w:val="28"/>
          <w:lang w:eastAsia="zh-TW"/>
        </w:rPr>
        <w:t xml:space="preserve">dditional </w:t>
      </w:r>
      <w:r w:rsidRPr="0008457B">
        <w:rPr>
          <w:rFonts w:eastAsia="新細明體" w:hint="eastAsia"/>
          <w:b/>
          <w:bCs/>
          <w:iCs/>
          <w:sz w:val="28"/>
          <w:lang w:eastAsia="zh-TW"/>
        </w:rPr>
        <w:t>R</w:t>
      </w:r>
      <w:r w:rsidRPr="0008457B">
        <w:rPr>
          <w:rFonts w:eastAsia="新細明體"/>
          <w:b/>
          <w:bCs/>
          <w:iCs/>
          <w:sz w:val="28"/>
          <w:lang w:eastAsia="zh-TW"/>
        </w:rPr>
        <w:t>eference</w:t>
      </w:r>
      <w:r w:rsidR="004B6A9D">
        <w:rPr>
          <w:rFonts w:eastAsia="新細明體"/>
          <w:b/>
          <w:bCs/>
          <w:iCs/>
          <w:sz w:val="28"/>
          <w:lang w:eastAsia="zh-TW"/>
        </w:rPr>
        <w:t>s</w:t>
      </w:r>
      <w:bookmarkStart w:id="0" w:name="_GoBack"/>
      <w:bookmarkEnd w:id="0"/>
      <w:r w:rsidRPr="0008457B">
        <w:rPr>
          <w:rFonts w:eastAsia="新細明體"/>
          <w:b/>
          <w:bCs/>
          <w:iCs/>
          <w:sz w:val="28"/>
          <w:lang w:eastAsia="zh-TW"/>
        </w:rPr>
        <w:t xml:space="preserve"> </w:t>
      </w:r>
    </w:p>
    <w:p w14:paraId="2037486D" w14:textId="12EE0583" w:rsidR="002557CF" w:rsidRPr="00022DC7" w:rsidRDefault="002557CF" w:rsidP="002557CF">
      <w:pPr>
        <w:pStyle w:val="affc"/>
        <w:numPr>
          <w:ilvl w:val="0"/>
          <w:numId w:val="14"/>
        </w:numPr>
        <w:jc w:val="both"/>
      </w:pPr>
      <w:r w:rsidRPr="00022DC7">
        <w:t>J</w:t>
      </w:r>
      <w:r w:rsidRPr="005C310B">
        <w:t>ian</w:t>
      </w:r>
      <w:r w:rsidRPr="0033571C">
        <w:t xml:space="preserve"> </w:t>
      </w:r>
      <w:r w:rsidRPr="005C310B">
        <w:t>H</w:t>
      </w:r>
      <w:r>
        <w:t>-</w:t>
      </w:r>
      <w:r w:rsidRPr="005C310B">
        <w:t>J</w:t>
      </w:r>
      <w:r>
        <w:t xml:space="preserve">, </w:t>
      </w:r>
      <w:r w:rsidRPr="005C310B">
        <w:t>Wu</w:t>
      </w:r>
      <w:r w:rsidRPr="0033571C">
        <w:t xml:space="preserve"> </w:t>
      </w:r>
      <w:r w:rsidRPr="005C310B">
        <w:t>R</w:t>
      </w:r>
      <w:r>
        <w:t>-</w:t>
      </w:r>
      <w:r w:rsidRPr="005C310B">
        <w:t>S</w:t>
      </w:r>
      <w:r>
        <w:t>,</w:t>
      </w:r>
      <w:r>
        <w:rPr>
          <w:rFonts w:hint="eastAsia"/>
          <w:lang w:eastAsia="zh-TW"/>
        </w:rPr>
        <w:t xml:space="preserve"> </w:t>
      </w:r>
      <w:r w:rsidRPr="005C310B">
        <w:t>Lin</w:t>
      </w:r>
      <w:r w:rsidRPr="0033571C">
        <w:t xml:space="preserve"> </w:t>
      </w:r>
      <w:r w:rsidRPr="005C310B">
        <w:t>T</w:t>
      </w:r>
      <w:r>
        <w:t>-</w:t>
      </w:r>
      <w:r w:rsidRPr="005C310B">
        <w:t>Y</w:t>
      </w:r>
      <w:r>
        <w:t>,</w:t>
      </w:r>
      <w:r w:rsidRPr="005C310B">
        <w:t xml:space="preserve"> Li</w:t>
      </w:r>
      <w:r w:rsidRPr="0033571C">
        <w:t xml:space="preserve"> </w:t>
      </w:r>
      <w:r w:rsidRPr="005C310B">
        <w:t>Y</w:t>
      </w:r>
      <w:r>
        <w:t>-</w:t>
      </w:r>
      <w:r w:rsidRPr="005C310B">
        <w:t>J</w:t>
      </w:r>
      <w:r>
        <w:t>,</w:t>
      </w:r>
      <w:r w:rsidRPr="005C310B">
        <w:t xml:space="preserve"> Lin</w:t>
      </w:r>
      <w:r w:rsidRPr="0033571C">
        <w:t xml:space="preserve"> </w:t>
      </w:r>
      <w:r w:rsidRPr="005C310B">
        <w:t>H</w:t>
      </w:r>
      <w:r>
        <w:t>-</w:t>
      </w:r>
      <w:r w:rsidRPr="005C310B">
        <w:t>J</w:t>
      </w:r>
      <w:r>
        <w:t>,</w:t>
      </w:r>
      <w:r w:rsidRPr="005C310B">
        <w:t xml:space="preserve"> Harroun</w:t>
      </w:r>
      <w:r w:rsidRPr="0033571C">
        <w:t xml:space="preserve"> </w:t>
      </w:r>
      <w:r w:rsidRPr="005C310B">
        <w:t>SG</w:t>
      </w:r>
      <w:r>
        <w:t>,</w:t>
      </w:r>
      <w:r w:rsidRPr="005C310B">
        <w:t xml:space="preserve"> </w:t>
      </w:r>
      <w:r>
        <w:t>et al.</w:t>
      </w:r>
      <w:r w:rsidRPr="00F23F5F">
        <w:t xml:space="preserve"> Super-cationic carbon quantum dots synthesized from sperm</w:t>
      </w:r>
      <w:r w:rsidRPr="00022DC7">
        <w:t>idine as an eye drop formulation for topical treatment of bacterial keratitis</w:t>
      </w:r>
      <w:r>
        <w:t>.</w:t>
      </w:r>
      <w:r w:rsidRPr="00022DC7">
        <w:t xml:space="preserve"> ACS Nano</w:t>
      </w:r>
      <w:r>
        <w:t>.</w:t>
      </w:r>
      <w:r w:rsidRPr="00022DC7">
        <w:t xml:space="preserve"> </w:t>
      </w:r>
      <w:r>
        <w:t>2017;</w:t>
      </w:r>
      <w:r w:rsidRPr="00022DC7">
        <w:t>11</w:t>
      </w:r>
      <w:r>
        <w:t>:</w:t>
      </w:r>
      <w:r w:rsidRPr="00022DC7">
        <w:t>6703</w:t>
      </w:r>
      <w:r>
        <w:sym w:font="Symbol" w:char="F02D"/>
      </w:r>
      <w:r w:rsidRPr="00022DC7">
        <w:t>16.</w:t>
      </w:r>
      <w:r>
        <w:t xml:space="preserve"> </w:t>
      </w:r>
    </w:p>
    <w:p w14:paraId="03E24755" w14:textId="77777777" w:rsidR="002557CF" w:rsidRDefault="002557CF" w:rsidP="002557CF">
      <w:pPr>
        <w:pStyle w:val="affc"/>
        <w:numPr>
          <w:ilvl w:val="0"/>
          <w:numId w:val="14"/>
        </w:numPr>
        <w:jc w:val="both"/>
      </w:pPr>
      <w:r w:rsidRPr="00022DC7">
        <w:t>Magoč</w:t>
      </w:r>
      <w:r w:rsidRPr="009E5626">
        <w:t xml:space="preserve"> </w:t>
      </w:r>
      <w:r w:rsidRPr="00022DC7">
        <w:t>T</w:t>
      </w:r>
      <w:r>
        <w:t>,</w:t>
      </w:r>
      <w:r w:rsidRPr="00022DC7">
        <w:t xml:space="preserve"> Salzberg</w:t>
      </w:r>
      <w:r w:rsidRPr="009E5626">
        <w:t xml:space="preserve"> </w:t>
      </w:r>
      <w:r w:rsidRPr="00022DC7">
        <w:t>SL</w:t>
      </w:r>
      <w:r>
        <w:t>,</w:t>
      </w:r>
      <w:r>
        <w:rPr>
          <w:rFonts w:hint="eastAsia"/>
          <w:lang w:eastAsia="zh-TW"/>
        </w:rPr>
        <w:t xml:space="preserve"> </w:t>
      </w:r>
      <w:r w:rsidRPr="00022DC7">
        <w:t xml:space="preserve">FLASH: </w:t>
      </w:r>
      <w:r>
        <w:t>f</w:t>
      </w:r>
      <w:r w:rsidRPr="00022DC7">
        <w:t>ast length adjustment of short reads to improve genome assemblies</w:t>
      </w:r>
      <w:r>
        <w:t>.</w:t>
      </w:r>
      <w:r w:rsidRPr="00022DC7">
        <w:t xml:space="preserve"> Bioinformatics</w:t>
      </w:r>
      <w:r>
        <w:t>.</w:t>
      </w:r>
      <w:r w:rsidRPr="00022DC7">
        <w:t xml:space="preserve"> </w:t>
      </w:r>
      <w:r>
        <w:t>2011;</w:t>
      </w:r>
      <w:r w:rsidRPr="00022DC7">
        <w:t>27</w:t>
      </w:r>
      <w:r>
        <w:t>:</w:t>
      </w:r>
      <w:r w:rsidRPr="00022DC7">
        <w:t>2957</w:t>
      </w:r>
      <w:r>
        <w:sym w:font="Symbol" w:char="F02D"/>
      </w:r>
      <w:r w:rsidRPr="00022DC7">
        <w:t>63.</w:t>
      </w:r>
      <w:r>
        <w:rPr>
          <w:rFonts w:hint="eastAsia"/>
          <w:lang w:eastAsia="zh-TW"/>
        </w:rPr>
        <w:t xml:space="preserve"> </w:t>
      </w:r>
    </w:p>
    <w:p w14:paraId="1AD7312B" w14:textId="77777777" w:rsidR="002557CF" w:rsidRDefault="002557CF" w:rsidP="002557CF">
      <w:pPr>
        <w:pStyle w:val="affc"/>
        <w:numPr>
          <w:ilvl w:val="0"/>
          <w:numId w:val="14"/>
        </w:numPr>
        <w:jc w:val="both"/>
      </w:pPr>
      <w:r w:rsidRPr="00022DC7">
        <w:t>Caporaso</w:t>
      </w:r>
      <w:r w:rsidRPr="009E5626">
        <w:t xml:space="preserve"> </w:t>
      </w:r>
      <w:r w:rsidRPr="00022DC7">
        <w:t>JG</w:t>
      </w:r>
      <w:r>
        <w:t>,</w:t>
      </w:r>
      <w:r w:rsidRPr="00022DC7">
        <w:t xml:space="preserve"> Kuczynski</w:t>
      </w:r>
      <w:r w:rsidRPr="009E5626">
        <w:t xml:space="preserve"> </w:t>
      </w:r>
      <w:r w:rsidRPr="00022DC7">
        <w:t>J</w:t>
      </w:r>
      <w:r>
        <w:t>,</w:t>
      </w:r>
      <w:r w:rsidRPr="00022DC7">
        <w:t xml:space="preserve"> Stombaugh</w:t>
      </w:r>
      <w:r w:rsidRPr="009E5626">
        <w:t xml:space="preserve"> </w:t>
      </w:r>
      <w:r w:rsidRPr="00022DC7">
        <w:t>J</w:t>
      </w:r>
      <w:r>
        <w:t>,</w:t>
      </w:r>
      <w:r w:rsidRPr="00022DC7">
        <w:t xml:space="preserve"> Bittinger</w:t>
      </w:r>
      <w:r w:rsidRPr="009E5626">
        <w:t xml:space="preserve"> </w:t>
      </w:r>
      <w:r w:rsidRPr="00022DC7">
        <w:t>K</w:t>
      </w:r>
      <w:r>
        <w:t>,</w:t>
      </w:r>
      <w:r w:rsidRPr="00022DC7">
        <w:t xml:space="preserve"> Bushman</w:t>
      </w:r>
      <w:r w:rsidRPr="009E5626">
        <w:t xml:space="preserve"> </w:t>
      </w:r>
      <w:r w:rsidRPr="00022DC7">
        <w:t>FD</w:t>
      </w:r>
      <w:r>
        <w:t>,</w:t>
      </w:r>
      <w:r w:rsidRPr="00022DC7">
        <w:t xml:space="preserve"> Costello</w:t>
      </w:r>
      <w:r w:rsidRPr="009E5626">
        <w:t xml:space="preserve"> </w:t>
      </w:r>
      <w:r w:rsidRPr="00022DC7">
        <w:t>EK</w:t>
      </w:r>
      <w:r>
        <w:t>,</w:t>
      </w:r>
      <w:r>
        <w:rPr>
          <w:rFonts w:hint="eastAsia"/>
          <w:lang w:eastAsia="zh-TW"/>
        </w:rPr>
        <w:t xml:space="preserve"> </w:t>
      </w:r>
      <w:r>
        <w:t>et al.</w:t>
      </w:r>
      <w:r>
        <w:rPr>
          <w:rFonts w:hint="eastAsia"/>
          <w:lang w:eastAsia="zh-TW"/>
        </w:rPr>
        <w:t xml:space="preserve"> </w:t>
      </w:r>
      <w:r w:rsidRPr="00022DC7">
        <w:t>QIIME allows analysis of high-throughput community sequencing data</w:t>
      </w:r>
      <w:r>
        <w:t>.</w:t>
      </w:r>
      <w:r w:rsidRPr="00022DC7">
        <w:t xml:space="preserve"> Nat Methods</w:t>
      </w:r>
      <w:r>
        <w:t>.</w:t>
      </w:r>
      <w:r w:rsidRPr="00022DC7">
        <w:t xml:space="preserve"> </w:t>
      </w:r>
      <w:r>
        <w:t>2010;</w:t>
      </w:r>
      <w:r w:rsidRPr="00022DC7">
        <w:t>7</w:t>
      </w:r>
      <w:r>
        <w:t>:</w:t>
      </w:r>
      <w:r w:rsidRPr="00022DC7">
        <w:t>335</w:t>
      </w:r>
      <w:r>
        <w:sym w:font="Symbol" w:char="F02D"/>
      </w:r>
      <w:r w:rsidRPr="00022DC7">
        <w:t>6.</w:t>
      </w:r>
      <w:r>
        <w:rPr>
          <w:rFonts w:hint="eastAsia"/>
          <w:lang w:eastAsia="zh-TW"/>
        </w:rPr>
        <w:t xml:space="preserve"> </w:t>
      </w:r>
    </w:p>
    <w:p w14:paraId="4C85F551" w14:textId="77777777" w:rsidR="002557CF" w:rsidRDefault="002557CF" w:rsidP="002557CF">
      <w:pPr>
        <w:pStyle w:val="affc"/>
        <w:numPr>
          <w:ilvl w:val="0"/>
          <w:numId w:val="14"/>
        </w:numPr>
        <w:jc w:val="both"/>
      </w:pPr>
      <w:r w:rsidRPr="00022DC7">
        <w:t>Bokulich</w:t>
      </w:r>
      <w:r w:rsidRPr="000B1345">
        <w:t xml:space="preserve"> </w:t>
      </w:r>
      <w:r w:rsidRPr="00022DC7">
        <w:t>NA</w:t>
      </w:r>
      <w:r>
        <w:t>,</w:t>
      </w:r>
      <w:r w:rsidRPr="00022DC7">
        <w:t xml:space="preserve"> Subramanian</w:t>
      </w:r>
      <w:r w:rsidRPr="000B1345">
        <w:t xml:space="preserve"> </w:t>
      </w:r>
      <w:r w:rsidRPr="00022DC7">
        <w:t>S</w:t>
      </w:r>
      <w:r>
        <w:t>,</w:t>
      </w:r>
      <w:r w:rsidRPr="00022DC7">
        <w:t xml:space="preserve"> Faith</w:t>
      </w:r>
      <w:r w:rsidRPr="000B1345">
        <w:t xml:space="preserve"> </w:t>
      </w:r>
      <w:r w:rsidRPr="00022DC7">
        <w:t>JJ</w:t>
      </w:r>
      <w:r>
        <w:t>,</w:t>
      </w:r>
      <w:r w:rsidRPr="00022DC7">
        <w:t xml:space="preserve"> Gevers</w:t>
      </w:r>
      <w:r w:rsidRPr="000B1345">
        <w:t xml:space="preserve"> </w:t>
      </w:r>
      <w:r w:rsidRPr="00022DC7">
        <w:t>D</w:t>
      </w:r>
      <w:r>
        <w:t>,</w:t>
      </w:r>
      <w:r w:rsidRPr="00022DC7">
        <w:t xml:space="preserve"> Gordon</w:t>
      </w:r>
      <w:r w:rsidRPr="000B1345">
        <w:t xml:space="preserve"> </w:t>
      </w:r>
      <w:r w:rsidRPr="00022DC7">
        <w:t>JI</w:t>
      </w:r>
      <w:r>
        <w:t>,</w:t>
      </w:r>
      <w:r w:rsidRPr="00022DC7">
        <w:t xml:space="preserve"> Knight</w:t>
      </w:r>
      <w:r w:rsidRPr="000B1345">
        <w:t xml:space="preserve"> </w:t>
      </w:r>
      <w:r w:rsidRPr="00022DC7">
        <w:t>R</w:t>
      </w:r>
      <w:r>
        <w:t>,</w:t>
      </w:r>
      <w:r w:rsidRPr="00022DC7">
        <w:t xml:space="preserve"> </w:t>
      </w:r>
      <w:r>
        <w:t>et al.</w:t>
      </w:r>
      <w:r>
        <w:rPr>
          <w:rFonts w:hint="eastAsia"/>
          <w:lang w:eastAsia="zh-TW"/>
        </w:rPr>
        <w:t xml:space="preserve"> </w:t>
      </w:r>
      <w:r w:rsidRPr="00022DC7">
        <w:t>Quality-filtering vastly improves diversity estimates from illumina amplicon sequencing</w:t>
      </w:r>
      <w:r>
        <w:t>.</w:t>
      </w:r>
      <w:r w:rsidRPr="00022DC7">
        <w:t xml:space="preserve"> Nat Methods</w:t>
      </w:r>
      <w:r>
        <w:t>.</w:t>
      </w:r>
      <w:r w:rsidRPr="00022DC7">
        <w:t xml:space="preserve"> </w:t>
      </w:r>
      <w:r>
        <w:t>2013;</w:t>
      </w:r>
      <w:r w:rsidRPr="00022DC7">
        <w:t>10</w:t>
      </w:r>
      <w:r>
        <w:t>:</w:t>
      </w:r>
      <w:r w:rsidRPr="00022DC7">
        <w:t>57</w:t>
      </w:r>
      <w:r>
        <w:sym w:font="Symbol" w:char="F02D"/>
      </w:r>
      <w:r w:rsidRPr="00022DC7">
        <w:t>9.</w:t>
      </w:r>
      <w:r>
        <w:rPr>
          <w:rFonts w:hint="eastAsia"/>
          <w:lang w:eastAsia="zh-TW"/>
        </w:rPr>
        <w:t xml:space="preserve"> </w:t>
      </w:r>
    </w:p>
    <w:p w14:paraId="4A211531" w14:textId="77777777" w:rsidR="002557CF" w:rsidRDefault="002557CF" w:rsidP="002557CF">
      <w:pPr>
        <w:pStyle w:val="affc"/>
        <w:numPr>
          <w:ilvl w:val="0"/>
          <w:numId w:val="14"/>
        </w:numPr>
        <w:jc w:val="both"/>
      </w:pPr>
      <w:r w:rsidRPr="00022DC7">
        <w:t>Haas</w:t>
      </w:r>
      <w:r w:rsidRPr="000B1345">
        <w:t xml:space="preserve"> </w:t>
      </w:r>
      <w:r w:rsidRPr="00022DC7">
        <w:t>BJ</w:t>
      </w:r>
      <w:r>
        <w:t xml:space="preserve">, </w:t>
      </w:r>
      <w:r w:rsidRPr="00022DC7">
        <w:t>G</w:t>
      </w:r>
      <w:r w:rsidRPr="000B1345">
        <w:t xml:space="preserve">evers </w:t>
      </w:r>
      <w:r w:rsidRPr="00022DC7">
        <w:t>D</w:t>
      </w:r>
      <w:r>
        <w:t>,</w:t>
      </w:r>
      <w:r w:rsidRPr="000B1345">
        <w:t xml:space="preserve"> Earl AM</w:t>
      </w:r>
      <w:r>
        <w:t>,</w:t>
      </w:r>
      <w:r w:rsidRPr="000B1345">
        <w:t xml:space="preserve"> Feldgarden M</w:t>
      </w:r>
      <w:r>
        <w:t>,</w:t>
      </w:r>
      <w:r w:rsidRPr="000B1345">
        <w:t xml:space="preserve"> Ward DV</w:t>
      </w:r>
      <w:r>
        <w:t>,</w:t>
      </w:r>
      <w:r w:rsidRPr="000B1345">
        <w:t xml:space="preserve"> Giannoukos G</w:t>
      </w:r>
      <w:r>
        <w:t>,</w:t>
      </w:r>
      <w:r w:rsidRPr="000B1345">
        <w:t xml:space="preserve"> </w:t>
      </w:r>
      <w:r>
        <w:t>et al.</w:t>
      </w:r>
      <w:r w:rsidRPr="000B1345">
        <w:t xml:space="preserve"> Chimeric 16</w:t>
      </w:r>
      <w:r w:rsidRPr="000B1345">
        <w:rPr>
          <w:rFonts w:hint="eastAsia"/>
          <w:lang w:eastAsia="zh-TW"/>
        </w:rPr>
        <w:t>S</w:t>
      </w:r>
      <w:r w:rsidRPr="000B1345">
        <w:t xml:space="preserve"> rRNA sequence formation and detection in Sanger and 454-pyrosequenced PCR amplicons. Genome Res. 2011;21:494</w:t>
      </w:r>
      <w:r w:rsidRPr="000B1345">
        <w:sym w:font="Symbol" w:char="F02D"/>
      </w:r>
      <w:r w:rsidRPr="000B1345">
        <w:t>504.</w:t>
      </w:r>
      <w:r>
        <w:t xml:space="preserve"> </w:t>
      </w:r>
    </w:p>
    <w:p w14:paraId="7236E0CC" w14:textId="77777777" w:rsidR="002557CF" w:rsidRDefault="002557CF" w:rsidP="002557CF">
      <w:pPr>
        <w:pStyle w:val="affc"/>
        <w:numPr>
          <w:ilvl w:val="0"/>
          <w:numId w:val="14"/>
        </w:numPr>
        <w:jc w:val="both"/>
      </w:pPr>
      <w:r w:rsidRPr="00022DC7">
        <w:t>Edgar</w:t>
      </w:r>
      <w:r w:rsidRPr="00EE0691">
        <w:t xml:space="preserve"> </w:t>
      </w:r>
      <w:r w:rsidRPr="00022DC7">
        <w:t>RC</w:t>
      </w:r>
      <w:r>
        <w:t>,</w:t>
      </w:r>
      <w:r w:rsidRPr="00022DC7">
        <w:t xml:space="preserve"> Haas</w:t>
      </w:r>
      <w:r w:rsidRPr="00EE0691">
        <w:t xml:space="preserve"> </w:t>
      </w:r>
      <w:r w:rsidRPr="00022DC7">
        <w:t>BJ</w:t>
      </w:r>
      <w:r>
        <w:t>,</w:t>
      </w:r>
      <w:r w:rsidRPr="00022DC7">
        <w:t xml:space="preserve"> Clemente</w:t>
      </w:r>
      <w:r w:rsidRPr="00EE0691">
        <w:t xml:space="preserve"> </w:t>
      </w:r>
      <w:r w:rsidRPr="00022DC7">
        <w:t>JC</w:t>
      </w:r>
      <w:r>
        <w:t>,</w:t>
      </w:r>
      <w:r w:rsidRPr="00022DC7">
        <w:t xml:space="preserve"> Quince</w:t>
      </w:r>
      <w:r w:rsidRPr="00EE0691">
        <w:t xml:space="preserve"> </w:t>
      </w:r>
      <w:r w:rsidRPr="00022DC7">
        <w:t>C</w:t>
      </w:r>
      <w:r>
        <w:t>,</w:t>
      </w:r>
      <w:r w:rsidRPr="00022DC7">
        <w:t xml:space="preserve"> Knight</w:t>
      </w:r>
      <w:r w:rsidRPr="00EE0691">
        <w:t xml:space="preserve"> </w:t>
      </w:r>
      <w:r w:rsidRPr="00022DC7">
        <w:t>R</w:t>
      </w:r>
      <w:r>
        <w:t>,</w:t>
      </w:r>
      <w:r>
        <w:rPr>
          <w:rFonts w:hint="eastAsia"/>
          <w:lang w:eastAsia="zh-TW"/>
        </w:rPr>
        <w:t xml:space="preserve"> </w:t>
      </w:r>
      <w:r w:rsidRPr="00022DC7">
        <w:t>UCHIME improves sensitivity and speed of chimera detection</w:t>
      </w:r>
      <w:r>
        <w:t>.</w:t>
      </w:r>
      <w:r w:rsidRPr="00022DC7">
        <w:t xml:space="preserve"> Bioinformatics</w:t>
      </w:r>
      <w:r>
        <w:t>. 2011;</w:t>
      </w:r>
      <w:r w:rsidRPr="00022DC7">
        <w:t>27</w:t>
      </w:r>
      <w:r>
        <w:t>:</w:t>
      </w:r>
      <w:r w:rsidRPr="00022DC7">
        <w:t>2194</w:t>
      </w:r>
      <w:r>
        <w:sym w:font="Symbol" w:char="F02D"/>
      </w:r>
      <w:r w:rsidRPr="00022DC7">
        <w:t>200.</w:t>
      </w:r>
      <w:r>
        <w:rPr>
          <w:rFonts w:hint="eastAsia"/>
          <w:lang w:eastAsia="zh-TW"/>
        </w:rPr>
        <w:t xml:space="preserve"> </w:t>
      </w:r>
    </w:p>
    <w:p w14:paraId="3E5AF6CF" w14:textId="77777777" w:rsidR="002557CF" w:rsidRDefault="002557CF" w:rsidP="002557CF">
      <w:pPr>
        <w:pStyle w:val="affc"/>
        <w:numPr>
          <w:ilvl w:val="0"/>
          <w:numId w:val="14"/>
        </w:numPr>
        <w:jc w:val="both"/>
      </w:pPr>
      <w:r w:rsidRPr="00022DC7">
        <w:t>Edgar</w:t>
      </w:r>
      <w:r w:rsidRPr="00EE0691">
        <w:t xml:space="preserve"> </w:t>
      </w:r>
      <w:r w:rsidRPr="00022DC7">
        <w:t>RC</w:t>
      </w:r>
      <w:r>
        <w:t>.</w:t>
      </w:r>
      <w:r w:rsidRPr="00022DC7">
        <w:t xml:space="preserve"> Search and clustering orders of magnitude faster than BLAST</w:t>
      </w:r>
      <w:r>
        <w:t>.</w:t>
      </w:r>
      <w:r w:rsidRPr="00022DC7">
        <w:t xml:space="preserve"> Bioinformatics</w:t>
      </w:r>
      <w:r>
        <w:t>.</w:t>
      </w:r>
      <w:r w:rsidRPr="00022DC7">
        <w:t xml:space="preserve"> </w:t>
      </w:r>
      <w:r>
        <w:t>2010;</w:t>
      </w:r>
      <w:r w:rsidRPr="00022DC7">
        <w:t>26</w:t>
      </w:r>
      <w:r>
        <w:t>:</w:t>
      </w:r>
      <w:r w:rsidRPr="00022DC7">
        <w:t>2460</w:t>
      </w:r>
      <w:r>
        <w:sym w:font="Symbol" w:char="F02D"/>
      </w:r>
      <w:r w:rsidRPr="00022DC7">
        <w:t>61.</w:t>
      </w:r>
      <w:r>
        <w:t xml:space="preserve"> </w:t>
      </w:r>
    </w:p>
    <w:p w14:paraId="42BB310D" w14:textId="77777777" w:rsidR="002557CF" w:rsidRDefault="002557CF" w:rsidP="002557CF">
      <w:pPr>
        <w:pStyle w:val="affc"/>
        <w:numPr>
          <w:ilvl w:val="0"/>
          <w:numId w:val="14"/>
        </w:numPr>
        <w:jc w:val="both"/>
      </w:pPr>
      <w:r w:rsidRPr="00022DC7">
        <w:t>Edgar</w:t>
      </w:r>
      <w:r w:rsidRPr="00EE0691">
        <w:t xml:space="preserve"> </w:t>
      </w:r>
      <w:r w:rsidRPr="00022DC7">
        <w:t>RC</w:t>
      </w:r>
      <w:r>
        <w:t xml:space="preserve">. </w:t>
      </w:r>
      <w:r w:rsidRPr="00555482">
        <w:t>UPARSE:</w:t>
      </w:r>
      <w:r>
        <w:t xml:space="preserve"> h</w:t>
      </w:r>
      <w:r w:rsidRPr="00022DC7">
        <w:t>ighly accurate OTU sequences from microbial amplicon reads</w:t>
      </w:r>
      <w:r>
        <w:t>.</w:t>
      </w:r>
      <w:r w:rsidRPr="00022DC7">
        <w:t xml:space="preserve"> Nat Methods</w:t>
      </w:r>
      <w:r>
        <w:t>. 2013;</w:t>
      </w:r>
      <w:r w:rsidRPr="00022DC7">
        <w:t>10</w:t>
      </w:r>
      <w:r>
        <w:t>:</w:t>
      </w:r>
      <w:r w:rsidRPr="00022DC7">
        <w:t>996</w:t>
      </w:r>
      <w:r>
        <w:sym w:font="Symbol" w:char="F02D"/>
      </w:r>
      <w:r w:rsidRPr="00022DC7">
        <w:t>8.</w:t>
      </w:r>
      <w:r>
        <w:t xml:space="preserve"> </w:t>
      </w:r>
    </w:p>
    <w:p w14:paraId="22558F00" w14:textId="77777777" w:rsidR="002557CF" w:rsidRDefault="002557CF" w:rsidP="002557CF">
      <w:pPr>
        <w:pStyle w:val="affc"/>
        <w:numPr>
          <w:ilvl w:val="0"/>
          <w:numId w:val="14"/>
        </w:numPr>
        <w:jc w:val="both"/>
        <w:rPr>
          <w:lang w:eastAsia="zh-TW"/>
        </w:rPr>
      </w:pPr>
      <w:r w:rsidRPr="00022DC7">
        <w:t>Quast</w:t>
      </w:r>
      <w:r w:rsidRPr="00EE0691">
        <w:t xml:space="preserve"> </w:t>
      </w:r>
      <w:r w:rsidRPr="00022DC7">
        <w:t>C</w:t>
      </w:r>
      <w:r>
        <w:t>,</w:t>
      </w:r>
      <w:r w:rsidRPr="00022DC7">
        <w:t xml:space="preserve"> Pruesse</w:t>
      </w:r>
      <w:r w:rsidRPr="00EE0691">
        <w:t xml:space="preserve"> </w:t>
      </w:r>
      <w:r w:rsidRPr="00022DC7">
        <w:t>E</w:t>
      </w:r>
      <w:r>
        <w:t>,</w:t>
      </w:r>
      <w:r w:rsidRPr="00022DC7">
        <w:t xml:space="preserve"> Yilmaz</w:t>
      </w:r>
      <w:r w:rsidRPr="00EE0691">
        <w:t xml:space="preserve"> </w:t>
      </w:r>
      <w:r w:rsidRPr="00022DC7">
        <w:t>P</w:t>
      </w:r>
      <w:r>
        <w:t>,</w:t>
      </w:r>
      <w:r w:rsidRPr="00022DC7">
        <w:t xml:space="preserve"> Gerken</w:t>
      </w:r>
      <w:r w:rsidRPr="00EE0691">
        <w:t xml:space="preserve"> </w:t>
      </w:r>
      <w:r w:rsidRPr="00022DC7">
        <w:t>J</w:t>
      </w:r>
      <w:r>
        <w:t>,</w:t>
      </w:r>
      <w:r w:rsidRPr="00022DC7">
        <w:t xml:space="preserve"> Schweer</w:t>
      </w:r>
      <w:r w:rsidRPr="00EE0691">
        <w:t xml:space="preserve"> </w:t>
      </w:r>
      <w:r w:rsidRPr="00022DC7">
        <w:t>T</w:t>
      </w:r>
      <w:r>
        <w:t>,</w:t>
      </w:r>
      <w:r w:rsidRPr="00022DC7">
        <w:t xml:space="preserve"> Yarza</w:t>
      </w:r>
      <w:r w:rsidRPr="00EE0691">
        <w:t xml:space="preserve"> </w:t>
      </w:r>
      <w:r w:rsidRPr="00022DC7">
        <w:t>P</w:t>
      </w:r>
      <w:r>
        <w:t>,</w:t>
      </w:r>
      <w:r w:rsidRPr="00022DC7">
        <w:t xml:space="preserve"> </w:t>
      </w:r>
      <w:r>
        <w:t>et al.</w:t>
      </w:r>
      <w:r>
        <w:rPr>
          <w:rFonts w:hint="eastAsia"/>
          <w:lang w:eastAsia="zh-TW"/>
        </w:rPr>
        <w:t xml:space="preserve"> </w:t>
      </w:r>
      <w:r w:rsidRPr="00022DC7">
        <w:t xml:space="preserve">The SILVA ribosomal RNA gene database project: </w:t>
      </w:r>
      <w:r>
        <w:t>i</w:t>
      </w:r>
      <w:r w:rsidRPr="00022DC7">
        <w:t>mproved data processing and web-based tools</w:t>
      </w:r>
      <w:r>
        <w:t>.</w:t>
      </w:r>
      <w:r w:rsidRPr="00022DC7">
        <w:t xml:space="preserve"> Nucleic Acids Res. </w:t>
      </w:r>
      <w:r>
        <w:t>2013;</w:t>
      </w:r>
      <w:r w:rsidRPr="00022DC7">
        <w:t>41</w:t>
      </w:r>
      <w:r>
        <w:t>:</w:t>
      </w:r>
      <w:r w:rsidRPr="00022DC7">
        <w:t>D590</w:t>
      </w:r>
      <w:r>
        <w:sym w:font="Symbol" w:char="F02D"/>
      </w:r>
      <w:r w:rsidRPr="00022DC7">
        <w:t>6.</w:t>
      </w:r>
      <w:r>
        <w:rPr>
          <w:rFonts w:hint="eastAsia"/>
          <w:lang w:eastAsia="zh-TW"/>
        </w:rPr>
        <w:t xml:space="preserve"> </w:t>
      </w:r>
    </w:p>
    <w:p w14:paraId="2E859BA0" w14:textId="62798ED2" w:rsidR="00D638B1" w:rsidRPr="00671239" w:rsidRDefault="002557CF" w:rsidP="002557CF">
      <w:pPr>
        <w:pStyle w:val="affc"/>
        <w:numPr>
          <w:ilvl w:val="0"/>
          <w:numId w:val="14"/>
        </w:numPr>
        <w:ind w:left="482" w:hanging="482"/>
        <w:jc w:val="both"/>
        <w:rPr>
          <w:rFonts w:eastAsia="新細明體"/>
        </w:rPr>
      </w:pPr>
      <w:r w:rsidRPr="00022DC7">
        <w:t>Yilmaz</w:t>
      </w:r>
      <w:r w:rsidRPr="00EE0691">
        <w:t xml:space="preserve"> </w:t>
      </w:r>
      <w:r w:rsidRPr="00022DC7">
        <w:t>P</w:t>
      </w:r>
      <w:r>
        <w:t>,</w:t>
      </w:r>
      <w:r w:rsidRPr="00022DC7">
        <w:t xml:space="preserve"> Parfrey</w:t>
      </w:r>
      <w:r w:rsidRPr="00EE0691">
        <w:t xml:space="preserve"> </w:t>
      </w:r>
      <w:r w:rsidRPr="00022DC7">
        <w:t>LW</w:t>
      </w:r>
      <w:r>
        <w:t>,</w:t>
      </w:r>
      <w:r w:rsidRPr="00022DC7">
        <w:t xml:space="preserve"> Yarza</w:t>
      </w:r>
      <w:r w:rsidRPr="00EE0691">
        <w:t xml:space="preserve"> </w:t>
      </w:r>
      <w:r w:rsidRPr="00022DC7">
        <w:t>P</w:t>
      </w:r>
      <w:r>
        <w:t>,</w:t>
      </w:r>
      <w:r w:rsidRPr="00022DC7">
        <w:t xml:space="preserve"> Gerken</w:t>
      </w:r>
      <w:r w:rsidRPr="00EE0691">
        <w:t xml:space="preserve"> </w:t>
      </w:r>
      <w:r w:rsidRPr="00022DC7">
        <w:t>J</w:t>
      </w:r>
      <w:r>
        <w:t>,</w:t>
      </w:r>
      <w:r w:rsidRPr="00022DC7">
        <w:t xml:space="preserve"> Pruesse</w:t>
      </w:r>
      <w:r w:rsidRPr="00EE0691">
        <w:t xml:space="preserve"> </w:t>
      </w:r>
      <w:r w:rsidRPr="00022DC7">
        <w:t>E</w:t>
      </w:r>
      <w:r>
        <w:t>,</w:t>
      </w:r>
      <w:r w:rsidRPr="00022DC7">
        <w:t xml:space="preserve"> Quast</w:t>
      </w:r>
      <w:r w:rsidRPr="00EE0691">
        <w:t xml:space="preserve"> </w:t>
      </w:r>
      <w:r w:rsidRPr="00022DC7">
        <w:t>C</w:t>
      </w:r>
      <w:r>
        <w:t>,</w:t>
      </w:r>
      <w:r w:rsidRPr="00022DC7">
        <w:t xml:space="preserve"> </w:t>
      </w:r>
      <w:r>
        <w:t>et al.</w:t>
      </w:r>
      <w:r w:rsidRPr="00022DC7">
        <w:t xml:space="preserve"> The SILVA and “all-species living tree project (LTP)” taxonomic frameworks</w:t>
      </w:r>
      <w:r>
        <w:t>.</w:t>
      </w:r>
      <w:r w:rsidRPr="00022DC7">
        <w:t xml:space="preserve"> Nucleic Acids Res. </w:t>
      </w:r>
      <w:r>
        <w:t>2014;</w:t>
      </w:r>
      <w:r w:rsidRPr="00022DC7">
        <w:t>42</w:t>
      </w:r>
      <w:r>
        <w:t>:</w:t>
      </w:r>
      <w:r w:rsidRPr="00022DC7">
        <w:t>D64</w:t>
      </w:r>
      <w:r>
        <w:t>3</w:t>
      </w:r>
      <w:r>
        <w:sym w:font="Symbol" w:char="F02D"/>
      </w:r>
      <w:r w:rsidRPr="00022DC7">
        <w:t>8.</w:t>
      </w:r>
      <w:r>
        <w:t xml:space="preserve"> </w:t>
      </w:r>
    </w:p>
    <w:sectPr w:rsidR="00D638B1" w:rsidRPr="00671239" w:rsidSect="00795435">
      <w:headerReference w:type="default" r:id="rId27"/>
      <w:footerReference w:type="default" r:id="rId28"/>
      <w:type w:val="continuous"/>
      <w:pgSz w:w="11900" w:h="16840"/>
      <w:pgMar w:top="1440" w:right="1080" w:bottom="1440" w:left="1080"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ED5022" w14:textId="77777777" w:rsidR="000628D9" w:rsidRDefault="000628D9">
      <w:r>
        <w:separator/>
      </w:r>
    </w:p>
  </w:endnote>
  <w:endnote w:type="continuationSeparator" w:id="0">
    <w:p w14:paraId="0A049D33" w14:textId="77777777" w:rsidR="000628D9" w:rsidRDefault="00062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細明體">
    <w:altName w:val="MingLiU"/>
    <w:panose1 w:val="02020509000000000000"/>
    <w:charset w:val="88"/>
    <w:family w:val="modern"/>
    <w:pitch w:val="fixed"/>
    <w:sig w:usb0="A00002FF" w:usb1="28CFFCFA" w:usb2="00000016" w:usb3="00000000" w:csb0="00100001" w:csb1="00000000"/>
  </w:font>
  <w:font w:name="Microsoft YaHei">
    <w:panose1 w:val="020B0503020204020204"/>
    <w:charset w:val="86"/>
    <w:family w:val="swiss"/>
    <w:pitch w:val="variable"/>
    <w:sig w:usb0="80000287" w:usb1="2ACF3C50" w:usb2="00000016" w:usb3="00000000" w:csb0="0004001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00000000" w:usb1="E9DFFFFF" w:usb2="0000003F" w:usb3="00000000" w:csb0="003F01FF" w:csb1="00000000"/>
  </w:font>
  <w:font w:name="TimesNewRomanP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3B1D1DE0" w:rsidR="00F125EE" w:rsidRPr="008E351E" w:rsidRDefault="00997481">
    <w:pPr>
      <w:pStyle w:val="aff1"/>
      <w:jc w:val="right"/>
      <w:rPr>
        <w:sz w:val="21"/>
      </w:rPr>
    </w:pPr>
    <w:r w:rsidRPr="008E351E">
      <w:rPr>
        <w:rFonts w:hint="eastAsia"/>
        <w:sz w:val="21"/>
        <w:lang w:eastAsia="zh-TW"/>
      </w:rPr>
      <w:t>S</w:t>
    </w:r>
    <w:r w:rsidR="00114193" w:rsidRPr="008E351E">
      <w:rPr>
        <w:sz w:val="21"/>
      </w:rPr>
      <w:fldChar w:fldCharType="begin"/>
    </w:r>
    <w:r w:rsidR="00114193" w:rsidRPr="008E351E">
      <w:rPr>
        <w:sz w:val="21"/>
      </w:rPr>
      <w:instrText xml:space="preserve"> PAGE   \* MERGEFORMAT </w:instrText>
    </w:r>
    <w:r w:rsidR="00114193" w:rsidRPr="008E351E">
      <w:rPr>
        <w:sz w:val="21"/>
      </w:rPr>
      <w:fldChar w:fldCharType="separate"/>
    </w:r>
    <w:r w:rsidR="00BC6F2E">
      <w:rPr>
        <w:noProof/>
        <w:sz w:val="21"/>
      </w:rPr>
      <w:t>1</w:t>
    </w:r>
    <w:r w:rsidR="00114193" w:rsidRPr="008E351E">
      <w:rPr>
        <w:sz w:val="21"/>
      </w:rP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FB9E59" w14:textId="77777777" w:rsidR="000628D9" w:rsidRDefault="000628D9">
      <w:r>
        <w:separator/>
      </w:r>
    </w:p>
  </w:footnote>
  <w:footnote w:type="continuationSeparator" w:id="0">
    <w:p w14:paraId="483C6409" w14:textId="77777777" w:rsidR="000628D9" w:rsidRDefault="00062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6160852"/>
    <w:multiLevelType w:val="hybridMultilevel"/>
    <w:tmpl w:val="EF7868C6"/>
    <w:lvl w:ilvl="0" w:tplc="101AFA40">
      <w:start w:val="1"/>
      <w:numFmt w:val="decimal"/>
      <w:lvlText w:val="[%1]"/>
      <w:lvlJc w:val="left"/>
      <w:pPr>
        <w:ind w:left="396" w:hanging="396"/>
      </w:pPr>
      <w:rPr>
        <w:rFonts w:ascii="Times New Roman" w:hAnsi="Times New Roman" w:hint="default"/>
        <w:b w:val="0"/>
        <w:i w:val="0"/>
        <w:sz w:val="24"/>
        <w:szCs w:val="24"/>
      </w:rPr>
    </w:lvl>
    <w:lvl w:ilvl="1" w:tplc="04090019">
      <w:start w:val="1"/>
      <w:numFmt w:val="ideographTraditional"/>
      <w:lvlText w:val="%2、"/>
      <w:lvlJc w:val="left"/>
      <w:pPr>
        <w:ind w:left="865" w:hanging="480"/>
      </w:pPr>
    </w:lvl>
    <w:lvl w:ilvl="2" w:tplc="0409001B">
      <w:start w:val="1"/>
      <w:numFmt w:val="lowerRoman"/>
      <w:lvlText w:val="%3."/>
      <w:lvlJc w:val="right"/>
      <w:pPr>
        <w:ind w:left="1345" w:hanging="480"/>
      </w:pPr>
    </w:lvl>
    <w:lvl w:ilvl="3" w:tplc="0409000F">
      <w:start w:val="1"/>
      <w:numFmt w:val="decimal"/>
      <w:lvlText w:val="%4."/>
      <w:lvlJc w:val="left"/>
      <w:pPr>
        <w:ind w:left="1825" w:hanging="480"/>
      </w:pPr>
    </w:lvl>
    <w:lvl w:ilvl="4" w:tplc="04090019">
      <w:start w:val="1"/>
      <w:numFmt w:val="ideographTraditional"/>
      <w:lvlText w:val="%5、"/>
      <w:lvlJc w:val="left"/>
      <w:pPr>
        <w:ind w:left="2305" w:hanging="480"/>
      </w:pPr>
    </w:lvl>
    <w:lvl w:ilvl="5" w:tplc="0409001B">
      <w:start w:val="1"/>
      <w:numFmt w:val="lowerRoman"/>
      <w:lvlText w:val="%6."/>
      <w:lvlJc w:val="right"/>
      <w:pPr>
        <w:ind w:left="2785" w:hanging="480"/>
      </w:pPr>
    </w:lvl>
    <w:lvl w:ilvl="6" w:tplc="0409000F">
      <w:start w:val="1"/>
      <w:numFmt w:val="decimal"/>
      <w:lvlText w:val="%7."/>
      <w:lvlJc w:val="left"/>
      <w:pPr>
        <w:ind w:left="3265" w:hanging="480"/>
      </w:pPr>
    </w:lvl>
    <w:lvl w:ilvl="7" w:tplc="04090019">
      <w:start w:val="1"/>
      <w:numFmt w:val="ideographTraditional"/>
      <w:lvlText w:val="%8、"/>
      <w:lvlJc w:val="left"/>
      <w:pPr>
        <w:ind w:left="3745" w:hanging="480"/>
      </w:pPr>
    </w:lvl>
    <w:lvl w:ilvl="8" w:tplc="0409001B">
      <w:start w:val="1"/>
      <w:numFmt w:val="lowerRoman"/>
      <w:lvlText w:val="%9."/>
      <w:lvlJc w:val="right"/>
      <w:pPr>
        <w:ind w:left="4225" w:hanging="480"/>
      </w:pPr>
    </w:lvl>
  </w:abstractNum>
  <w:abstractNum w:abstractNumId="11" w15:restartNumberingAfterBreak="0">
    <w:nsid w:val="16560BA9"/>
    <w:multiLevelType w:val="hybridMultilevel"/>
    <w:tmpl w:val="1D9A10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22F527D"/>
    <w:multiLevelType w:val="hybridMultilevel"/>
    <w:tmpl w:val="D7A6983E"/>
    <w:lvl w:ilvl="0" w:tplc="8B303F3C">
      <w:start w:val="1"/>
      <w:numFmt w:val="decimal"/>
      <w:lvlText w:val="(%1)"/>
      <w:lvlJc w:val="center"/>
      <w:pPr>
        <w:ind w:left="622" w:hanging="480"/>
      </w:pPr>
      <w:rPr>
        <w:rFonts w:hint="eastAsia"/>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4151BEF"/>
    <w:multiLevelType w:val="hybridMultilevel"/>
    <w:tmpl w:val="B2841556"/>
    <w:lvl w:ilvl="0" w:tplc="0409000F">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0"/>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U0tzCysDSzNDE0MDRX0lEKTi0uzszPAymwqAUACuL0aywAAAA="/>
  </w:docVars>
  <w:rsids>
    <w:rsidRoot w:val="002C030F"/>
    <w:rsid w:val="00001FB5"/>
    <w:rsid w:val="000071A9"/>
    <w:rsid w:val="00015F74"/>
    <w:rsid w:val="00045F7C"/>
    <w:rsid w:val="00055CD8"/>
    <w:rsid w:val="000628D9"/>
    <w:rsid w:val="00065EBD"/>
    <w:rsid w:val="00066D0C"/>
    <w:rsid w:val="00083B44"/>
    <w:rsid w:val="0008457B"/>
    <w:rsid w:val="000850DC"/>
    <w:rsid w:val="000C07BF"/>
    <w:rsid w:val="000C2771"/>
    <w:rsid w:val="000C7D9E"/>
    <w:rsid w:val="000D46F4"/>
    <w:rsid w:val="000F0842"/>
    <w:rsid w:val="000F0DCE"/>
    <w:rsid w:val="000F6BE3"/>
    <w:rsid w:val="001004D0"/>
    <w:rsid w:val="00112C5B"/>
    <w:rsid w:val="00114193"/>
    <w:rsid w:val="00115A38"/>
    <w:rsid w:val="0011687B"/>
    <w:rsid w:val="00124F82"/>
    <w:rsid w:val="00141F87"/>
    <w:rsid w:val="00156D19"/>
    <w:rsid w:val="0016337A"/>
    <w:rsid w:val="00164269"/>
    <w:rsid w:val="001660C1"/>
    <w:rsid w:val="001769BF"/>
    <w:rsid w:val="001A1BDE"/>
    <w:rsid w:val="001A4894"/>
    <w:rsid w:val="001B0BBE"/>
    <w:rsid w:val="001F0876"/>
    <w:rsid w:val="001F167C"/>
    <w:rsid w:val="001F21BA"/>
    <w:rsid w:val="001F5E91"/>
    <w:rsid w:val="002077B9"/>
    <w:rsid w:val="00244482"/>
    <w:rsid w:val="002454AB"/>
    <w:rsid w:val="002505EA"/>
    <w:rsid w:val="002557CF"/>
    <w:rsid w:val="00262D72"/>
    <w:rsid w:val="0026773F"/>
    <w:rsid w:val="0027440A"/>
    <w:rsid w:val="00286471"/>
    <w:rsid w:val="00294FBB"/>
    <w:rsid w:val="002C030F"/>
    <w:rsid w:val="002D0928"/>
    <w:rsid w:val="002F0FB6"/>
    <w:rsid w:val="0031671A"/>
    <w:rsid w:val="00331D75"/>
    <w:rsid w:val="0034167A"/>
    <w:rsid w:val="0035496B"/>
    <w:rsid w:val="00355362"/>
    <w:rsid w:val="00363E44"/>
    <w:rsid w:val="003659A8"/>
    <w:rsid w:val="003669F9"/>
    <w:rsid w:val="00392402"/>
    <w:rsid w:val="00393BAB"/>
    <w:rsid w:val="00394323"/>
    <w:rsid w:val="00395E86"/>
    <w:rsid w:val="003A2FD8"/>
    <w:rsid w:val="003B14B5"/>
    <w:rsid w:val="003B40E6"/>
    <w:rsid w:val="003C58C7"/>
    <w:rsid w:val="003E15EB"/>
    <w:rsid w:val="003E74FB"/>
    <w:rsid w:val="003F5904"/>
    <w:rsid w:val="003F6E14"/>
    <w:rsid w:val="004013C3"/>
    <w:rsid w:val="00405336"/>
    <w:rsid w:val="004061CE"/>
    <w:rsid w:val="0041121A"/>
    <w:rsid w:val="00420DBD"/>
    <w:rsid w:val="0043318C"/>
    <w:rsid w:val="00435ABE"/>
    <w:rsid w:val="00444A40"/>
    <w:rsid w:val="00455D0C"/>
    <w:rsid w:val="004571D5"/>
    <w:rsid w:val="00461D81"/>
    <w:rsid w:val="0046356B"/>
    <w:rsid w:val="00477182"/>
    <w:rsid w:val="004779CB"/>
    <w:rsid w:val="00480547"/>
    <w:rsid w:val="004900C8"/>
    <w:rsid w:val="00493D22"/>
    <w:rsid w:val="00497682"/>
    <w:rsid w:val="004A6F57"/>
    <w:rsid w:val="004B4F10"/>
    <w:rsid w:val="004B6A9D"/>
    <w:rsid w:val="004D1305"/>
    <w:rsid w:val="004D74C1"/>
    <w:rsid w:val="004E2117"/>
    <w:rsid w:val="004E42D8"/>
    <w:rsid w:val="004E7BA2"/>
    <w:rsid w:val="004F7EDF"/>
    <w:rsid w:val="005001AC"/>
    <w:rsid w:val="00502C97"/>
    <w:rsid w:val="00525EA5"/>
    <w:rsid w:val="00527D71"/>
    <w:rsid w:val="00533910"/>
    <w:rsid w:val="005520A8"/>
    <w:rsid w:val="005607DD"/>
    <w:rsid w:val="00596CA9"/>
    <w:rsid w:val="005A558C"/>
    <w:rsid w:val="005E1D7A"/>
    <w:rsid w:val="005E28F8"/>
    <w:rsid w:val="005E6513"/>
    <w:rsid w:val="00607E8E"/>
    <w:rsid w:val="00620F5C"/>
    <w:rsid w:val="00632CA3"/>
    <w:rsid w:val="00651114"/>
    <w:rsid w:val="00664560"/>
    <w:rsid w:val="00670299"/>
    <w:rsid w:val="00671239"/>
    <w:rsid w:val="00691985"/>
    <w:rsid w:val="00697611"/>
    <w:rsid w:val="006A1B64"/>
    <w:rsid w:val="006B49B9"/>
    <w:rsid w:val="006C281F"/>
    <w:rsid w:val="006C3F18"/>
    <w:rsid w:val="006C7A97"/>
    <w:rsid w:val="006D1A9A"/>
    <w:rsid w:val="006D4828"/>
    <w:rsid w:val="006D520D"/>
    <w:rsid w:val="007108F5"/>
    <w:rsid w:val="00713E5B"/>
    <w:rsid w:val="00734998"/>
    <w:rsid w:val="007402FC"/>
    <w:rsid w:val="007411A1"/>
    <w:rsid w:val="007574FC"/>
    <w:rsid w:val="00793072"/>
    <w:rsid w:val="00795435"/>
    <w:rsid w:val="007E2786"/>
    <w:rsid w:val="007E30FF"/>
    <w:rsid w:val="00804B4E"/>
    <w:rsid w:val="00806868"/>
    <w:rsid w:val="00807D35"/>
    <w:rsid w:val="008218C4"/>
    <w:rsid w:val="00823FE1"/>
    <w:rsid w:val="008305E2"/>
    <w:rsid w:val="00843151"/>
    <w:rsid w:val="0086248D"/>
    <w:rsid w:val="00866D1E"/>
    <w:rsid w:val="00867823"/>
    <w:rsid w:val="00867A98"/>
    <w:rsid w:val="00870867"/>
    <w:rsid w:val="00885C9B"/>
    <w:rsid w:val="00893D70"/>
    <w:rsid w:val="0089471D"/>
    <w:rsid w:val="008A45DC"/>
    <w:rsid w:val="008C33A2"/>
    <w:rsid w:val="008D5D2A"/>
    <w:rsid w:val="008E351E"/>
    <w:rsid w:val="008E3F94"/>
    <w:rsid w:val="0090678F"/>
    <w:rsid w:val="00914B63"/>
    <w:rsid w:val="00927549"/>
    <w:rsid w:val="009354F3"/>
    <w:rsid w:val="00935BE3"/>
    <w:rsid w:val="009447DC"/>
    <w:rsid w:val="00945471"/>
    <w:rsid w:val="009475B5"/>
    <w:rsid w:val="00950234"/>
    <w:rsid w:val="00961BA5"/>
    <w:rsid w:val="009743A9"/>
    <w:rsid w:val="00974B8E"/>
    <w:rsid w:val="00997481"/>
    <w:rsid w:val="009A5287"/>
    <w:rsid w:val="009A7C5F"/>
    <w:rsid w:val="009B2AC5"/>
    <w:rsid w:val="009B7984"/>
    <w:rsid w:val="009C3334"/>
    <w:rsid w:val="009F4BED"/>
    <w:rsid w:val="009F7D93"/>
    <w:rsid w:val="00A02E0C"/>
    <w:rsid w:val="00A17DBC"/>
    <w:rsid w:val="00A3403B"/>
    <w:rsid w:val="00A51A12"/>
    <w:rsid w:val="00A53A78"/>
    <w:rsid w:val="00A627D4"/>
    <w:rsid w:val="00A74DA2"/>
    <w:rsid w:val="00A77632"/>
    <w:rsid w:val="00AB399E"/>
    <w:rsid w:val="00AB721D"/>
    <w:rsid w:val="00AC59D0"/>
    <w:rsid w:val="00AD16B1"/>
    <w:rsid w:val="00AD499C"/>
    <w:rsid w:val="00B36869"/>
    <w:rsid w:val="00B43B31"/>
    <w:rsid w:val="00B47CFA"/>
    <w:rsid w:val="00B57F00"/>
    <w:rsid w:val="00B63245"/>
    <w:rsid w:val="00B77B2A"/>
    <w:rsid w:val="00B77ECF"/>
    <w:rsid w:val="00B82C22"/>
    <w:rsid w:val="00B93287"/>
    <w:rsid w:val="00B93DBA"/>
    <w:rsid w:val="00B9440A"/>
    <w:rsid w:val="00BB2D2A"/>
    <w:rsid w:val="00BC290E"/>
    <w:rsid w:val="00BC3E04"/>
    <w:rsid w:val="00BC6F2E"/>
    <w:rsid w:val="00BD114C"/>
    <w:rsid w:val="00BD58CF"/>
    <w:rsid w:val="00BF0C92"/>
    <w:rsid w:val="00C0425E"/>
    <w:rsid w:val="00C04CC1"/>
    <w:rsid w:val="00C05328"/>
    <w:rsid w:val="00C4096C"/>
    <w:rsid w:val="00C50C6D"/>
    <w:rsid w:val="00C600D9"/>
    <w:rsid w:val="00C92B22"/>
    <w:rsid w:val="00C94289"/>
    <w:rsid w:val="00CA1A65"/>
    <w:rsid w:val="00CC1384"/>
    <w:rsid w:val="00CD3720"/>
    <w:rsid w:val="00CE5126"/>
    <w:rsid w:val="00CE7F84"/>
    <w:rsid w:val="00CF1848"/>
    <w:rsid w:val="00CF5C2F"/>
    <w:rsid w:val="00D04BCF"/>
    <w:rsid w:val="00D11A56"/>
    <w:rsid w:val="00D143D9"/>
    <w:rsid w:val="00D30C95"/>
    <w:rsid w:val="00D3257C"/>
    <w:rsid w:val="00D40743"/>
    <w:rsid w:val="00D42BE7"/>
    <w:rsid w:val="00D51C15"/>
    <w:rsid w:val="00D5511B"/>
    <w:rsid w:val="00D638B1"/>
    <w:rsid w:val="00D65E3A"/>
    <w:rsid w:val="00D74CB2"/>
    <w:rsid w:val="00D766F1"/>
    <w:rsid w:val="00DD2E17"/>
    <w:rsid w:val="00DE045B"/>
    <w:rsid w:val="00E00447"/>
    <w:rsid w:val="00E257C8"/>
    <w:rsid w:val="00E340D9"/>
    <w:rsid w:val="00E40A10"/>
    <w:rsid w:val="00E41512"/>
    <w:rsid w:val="00E4519A"/>
    <w:rsid w:val="00E853D5"/>
    <w:rsid w:val="00E97520"/>
    <w:rsid w:val="00E9773B"/>
    <w:rsid w:val="00EA6F42"/>
    <w:rsid w:val="00EC13A3"/>
    <w:rsid w:val="00EC7C85"/>
    <w:rsid w:val="00ED2CBE"/>
    <w:rsid w:val="00EF29C1"/>
    <w:rsid w:val="00F125EE"/>
    <w:rsid w:val="00F12E98"/>
    <w:rsid w:val="00F22029"/>
    <w:rsid w:val="00F401B5"/>
    <w:rsid w:val="00F515FB"/>
    <w:rsid w:val="00F630EA"/>
    <w:rsid w:val="00F7007E"/>
    <w:rsid w:val="00F73193"/>
    <w:rsid w:val="00F74F95"/>
    <w:rsid w:val="00F80705"/>
    <w:rsid w:val="00FA1481"/>
    <w:rsid w:val="00FA1593"/>
    <w:rsid w:val="00FD14B9"/>
    <w:rsid w:val="00FF04E3"/>
    <w:rsid w:val="00FF24C8"/>
    <w:rsid w:val="00FF718F"/>
    <w:rsid w:val="49592D5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標題 1 字元"/>
    <w:link w:val="1"/>
    <w:semiHidden/>
    <w:rsid w:val="00FF04E3"/>
    <w:rPr>
      <w:b/>
      <w:bCs/>
      <w:kern w:val="32"/>
      <w:sz w:val="24"/>
      <w:szCs w:val="24"/>
    </w:rPr>
  </w:style>
  <w:style w:type="character" w:customStyle="1" w:styleId="22">
    <w:name w:val="標題 2 字元"/>
    <w:link w:val="21"/>
    <w:semiHidden/>
    <w:rsid w:val="00FF04E3"/>
    <w:rPr>
      <w:rFonts w:ascii="Cambria" w:hAnsi="Cambria"/>
      <w:b/>
      <w:bCs/>
      <w:i/>
      <w:iCs/>
      <w:sz w:val="28"/>
      <w:szCs w:val="28"/>
    </w:rPr>
  </w:style>
  <w:style w:type="character" w:customStyle="1" w:styleId="52">
    <w:name w:val="標題 5 字元"/>
    <w:link w:val="51"/>
    <w:semiHidden/>
    <w:rsid w:val="00FF04E3"/>
    <w:rPr>
      <w:rFonts w:ascii="Calibri" w:hAnsi="Calibri"/>
      <w:b/>
      <w:bCs/>
      <w:i/>
      <w:iCs/>
      <w:sz w:val="26"/>
      <w:szCs w:val="26"/>
    </w:rPr>
  </w:style>
  <w:style w:type="character" w:customStyle="1" w:styleId="60">
    <w:name w:val="標題 6 字元"/>
    <w:link w:val="6"/>
    <w:semiHidden/>
    <w:rsid w:val="00FF04E3"/>
    <w:rPr>
      <w:rFonts w:ascii="Calibri" w:hAnsi="Calibri"/>
      <w:b/>
      <w:bCs/>
      <w:sz w:val="22"/>
      <w:szCs w:val="22"/>
    </w:rPr>
  </w:style>
  <w:style w:type="character" w:customStyle="1" w:styleId="70">
    <w:name w:val="標題 7 字元"/>
    <w:link w:val="7"/>
    <w:semiHidden/>
    <w:rsid w:val="00FF04E3"/>
    <w:rPr>
      <w:rFonts w:ascii="Calibri" w:hAnsi="Calibri"/>
      <w:sz w:val="24"/>
      <w:szCs w:val="24"/>
    </w:rPr>
  </w:style>
  <w:style w:type="character" w:customStyle="1" w:styleId="80">
    <w:name w:val="標題 8 字元"/>
    <w:link w:val="8"/>
    <w:semiHidden/>
    <w:rsid w:val="00FF04E3"/>
    <w:rPr>
      <w:rFonts w:ascii="Calibri" w:hAnsi="Calibri"/>
      <w:i/>
      <w:iCs/>
      <w:sz w:val="24"/>
      <w:szCs w:val="24"/>
    </w:rPr>
  </w:style>
  <w:style w:type="character" w:customStyle="1" w:styleId="90">
    <w:name w:val="標題 9 字元"/>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註解方塊文字 字元"/>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本文 字元"/>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本文 2 字元"/>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本文 3 字元"/>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本文第一層縮排 字元"/>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本文縮排 字元"/>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本文第一層縮排 2 字元"/>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本文縮排 2 字元"/>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本文縮排 3 字元"/>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結語 字元"/>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註解文字 字元"/>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註解主旨 字元"/>
    <w:link w:val="af5"/>
    <w:semiHidden/>
    <w:rsid w:val="00FF04E3"/>
    <w:rPr>
      <w:b/>
      <w:bCs/>
    </w:rPr>
  </w:style>
  <w:style w:type="paragraph" w:styleId="af7">
    <w:name w:val="Date"/>
    <w:basedOn w:val="a1"/>
    <w:next w:val="a1"/>
    <w:link w:val="af8"/>
    <w:semiHidden/>
    <w:rsid w:val="00405336"/>
  </w:style>
  <w:style w:type="character" w:customStyle="1" w:styleId="af8">
    <w:name w:val="日期 字元"/>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件引導模式 字元"/>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電子郵件簽名 字元"/>
    <w:link w:val="afb"/>
    <w:semiHidden/>
    <w:rsid w:val="00FF04E3"/>
    <w:rPr>
      <w:sz w:val="24"/>
    </w:rPr>
  </w:style>
  <w:style w:type="paragraph" w:styleId="afd">
    <w:name w:val="endnote text"/>
    <w:basedOn w:val="a1"/>
    <w:link w:val="afe"/>
    <w:semiHidden/>
    <w:rsid w:val="00405336"/>
    <w:rPr>
      <w:sz w:val="20"/>
    </w:rPr>
  </w:style>
  <w:style w:type="character" w:customStyle="1" w:styleId="afe">
    <w:name w:val="章節附註文字 字元"/>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頁尾 字元"/>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註腳文字 字元"/>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頁首 字元"/>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位址 字元"/>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預設格式 字元"/>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鮮明引文 字元"/>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巨集文字 字元"/>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訊息欄位名稱 字元"/>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Web">
    <w:name w:val="Normal (Web)"/>
    <w:basedOn w:val="a1"/>
    <w:uiPriority w:val="99"/>
    <w:rsid w:val="00405336"/>
    <w:rPr>
      <w:szCs w:val="24"/>
    </w:rPr>
  </w:style>
  <w:style w:type="paragraph" w:styleId="afff2">
    <w:name w:val="Normal Indent"/>
    <w:basedOn w:val="a1"/>
    <w:semiHidden/>
    <w:rsid w:val="00405336"/>
    <w:pPr>
      <w:ind w:left="720"/>
    </w:pPr>
  </w:style>
  <w:style w:type="paragraph" w:styleId="afff3">
    <w:name w:val="Note Heading"/>
    <w:basedOn w:val="a1"/>
    <w:next w:val="a1"/>
    <w:link w:val="afff4"/>
    <w:semiHidden/>
    <w:rsid w:val="00405336"/>
  </w:style>
  <w:style w:type="character" w:customStyle="1" w:styleId="afff4">
    <w:name w:val="註釋標題 字元"/>
    <w:link w:val="afff3"/>
    <w:semiHidden/>
    <w:rsid w:val="00FF04E3"/>
    <w:rPr>
      <w:sz w:val="24"/>
    </w:rPr>
  </w:style>
  <w:style w:type="paragraph" w:styleId="afff5">
    <w:name w:val="Plain Text"/>
    <w:basedOn w:val="a1"/>
    <w:link w:val="afff6"/>
    <w:semiHidden/>
    <w:rsid w:val="00405336"/>
    <w:rPr>
      <w:rFonts w:ascii="Courier New" w:hAnsi="Courier New" w:cs="Courier New"/>
      <w:sz w:val="20"/>
    </w:rPr>
  </w:style>
  <w:style w:type="character" w:customStyle="1" w:styleId="afff6">
    <w:name w:val="純文字 字元"/>
    <w:link w:val="afff5"/>
    <w:semiHidden/>
    <w:rsid w:val="00FF04E3"/>
    <w:rPr>
      <w:rFonts w:ascii="Courier New" w:hAnsi="Courier New" w:cs="Courier New"/>
    </w:rPr>
  </w:style>
  <w:style w:type="paragraph" w:styleId="afff7">
    <w:name w:val="Quote"/>
    <w:basedOn w:val="a1"/>
    <w:next w:val="a1"/>
    <w:link w:val="afff8"/>
    <w:uiPriority w:val="29"/>
    <w:semiHidden/>
    <w:qFormat/>
    <w:rsid w:val="00405336"/>
    <w:rPr>
      <w:i/>
      <w:iCs/>
      <w:color w:val="000000"/>
    </w:rPr>
  </w:style>
  <w:style w:type="character" w:customStyle="1" w:styleId="afff8">
    <w:name w:val="引文 字元"/>
    <w:link w:val="afff7"/>
    <w:uiPriority w:val="29"/>
    <w:semiHidden/>
    <w:rsid w:val="00FF04E3"/>
    <w:rPr>
      <w:i/>
      <w:iCs/>
      <w:color w:val="000000"/>
      <w:sz w:val="24"/>
    </w:rPr>
  </w:style>
  <w:style w:type="paragraph" w:styleId="afff9">
    <w:name w:val="Salutation"/>
    <w:basedOn w:val="a1"/>
    <w:next w:val="a1"/>
    <w:link w:val="afffa"/>
    <w:semiHidden/>
    <w:rsid w:val="00405336"/>
  </w:style>
  <w:style w:type="character" w:customStyle="1" w:styleId="afffa">
    <w:name w:val="問候 字元"/>
    <w:link w:val="afff9"/>
    <w:semiHidden/>
    <w:rsid w:val="00FF04E3"/>
    <w:rPr>
      <w:sz w:val="24"/>
    </w:rPr>
  </w:style>
  <w:style w:type="paragraph" w:styleId="afffb">
    <w:name w:val="Signature"/>
    <w:basedOn w:val="a1"/>
    <w:link w:val="afffc"/>
    <w:semiHidden/>
    <w:rsid w:val="00405336"/>
    <w:pPr>
      <w:ind w:left="4320"/>
    </w:pPr>
  </w:style>
  <w:style w:type="character" w:customStyle="1" w:styleId="afffc">
    <w:name w:val="簽名 字元"/>
    <w:link w:val="afffb"/>
    <w:semiHidden/>
    <w:rsid w:val="00FF04E3"/>
    <w:rPr>
      <w:sz w:val="24"/>
    </w:rPr>
  </w:style>
  <w:style w:type="paragraph" w:styleId="afffd">
    <w:name w:val="Subtitle"/>
    <w:basedOn w:val="a1"/>
    <w:next w:val="a1"/>
    <w:link w:val="afffe"/>
    <w:semiHidden/>
    <w:qFormat/>
    <w:rsid w:val="00405336"/>
    <w:pPr>
      <w:spacing w:after="60"/>
      <w:jc w:val="center"/>
      <w:outlineLvl w:val="1"/>
    </w:pPr>
    <w:rPr>
      <w:rFonts w:ascii="Cambria" w:hAnsi="Cambria"/>
      <w:szCs w:val="24"/>
    </w:rPr>
  </w:style>
  <w:style w:type="character" w:customStyle="1" w:styleId="afffe">
    <w:name w:val="副標題 字元"/>
    <w:link w:val="afffd"/>
    <w:semiHidden/>
    <w:rsid w:val="00FF04E3"/>
    <w:rPr>
      <w:rFonts w:ascii="Cambria" w:hAnsi="Cambria"/>
      <w:sz w:val="24"/>
      <w:szCs w:val="24"/>
    </w:rPr>
  </w:style>
  <w:style w:type="paragraph" w:styleId="affff">
    <w:name w:val="table of authorities"/>
    <w:basedOn w:val="a1"/>
    <w:next w:val="a1"/>
    <w:semiHidden/>
    <w:rsid w:val="00405336"/>
    <w:pPr>
      <w:ind w:left="240" w:hanging="240"/>
    </w:pPr>
  </w:style>
  <w:style w:type="paragraph" w:styleId="affff0">
    <w:name w:val="table of figures"/>
    <w:basedOn w:val="a1"/>
    <w:next w:val="a1"/>
    <w:semiHidden/>
    <w:rsid w:val="00405336"/>
  </w:style>
  <w:style w:type="paragraph" w:styleId="affff1">
    <w:name w:val="Title"/>
    <w:basedOn w:val="a1"/>
    <w:next w:val="a1"/>
    <w:link w:val="affff2"/>
    <w:semiHidden/>
    <w:qFormat/>
    <w:rsid w:val="00405336"/>
    <w:pPr>
      <w:spacing w:before="240" w:after="60"/>
      <w:jc w:val="center"/>
      <w:outlineLvl w:val="0"/>
    </w:pPr>
    <w:rPr>
      <w:rFonts w:ascii="Cambria" w:hAnsi="Cambria"/>
      <w:b/>
      <w:bCs/>
      <w:kern w:val="28"/>
      <w:sz w:val="32"/>
      <w:szCs w:val="32"/>
    </w:rPr>
  </w:style>
  <w:style w:type="character" w:customStyle="1" w:styleId="affff2">
    <w:name w:val="標題 字元"/>
    <w:link w:val="affff1"/>
    <w:semiHidden/>
    <w:rsid w:val="00FF04E3"/>
    <w:rPr>
      <w:rFonts w:ascii="Cambria" w:hAnsi="Cambria"/>
      <w:b/>
      <w:bCs/>
      <w:kern w:val="28"/>
      <w:sz w:val="32"/>
      <w:szCs w:val="32"/>
    </w:rPr>
  </w:style>
  <w:style w:type="paragraph" w:styleId="affff3">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c">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affff4">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3">
    <w:name w:val="未解析的提及項目1"/>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paragraph" w:customStyle="1" w:styleId="Teaser">
    <w:name w:val="Teaser"/>
    <w:basedOn w:val="a1"/>
    <w:rsid w:val="00C0425E"/>
    <w:pPr>
      <w:spacing w:before="120"/>
    </w:pPr>
    <w:rPr>
      <w:rFonts w:eastAsia="Times New Roman"/>
      <w:szCs w:val="24"/>
    </w:rPr>
  </w:style>
  <w:style w:type="paragraph" w:customStyle="1" w:styleId="BBAuthorName">
    <w:name w:val="BB_Author_Name"/>
    <w:basedOn w:val="a1"/>
    <w:next w:val="BCAuthorAddress"/>
    <w:rsid w:val="00997481"/>
    <w:pPr>
      <w:spacing w:after="240" w:line="480" w:lineRule="auto"/>
      <w:jc w:val="center"/>
    </w:pPr>
    <w:rPr>
      <w:rFonts w:ascii="Times" w:hAnsi="Times"/>
      <w:i/>
    </w:rPr>
  </w:style>
  <w:style w:type="paragraph" w:customStyle="1" w:styleId="BCAuthorAddress">
    <w:name w:val="BC_Author_Address"/>
    <w:basedOn w:val="a1"/>
    <w:next w:val="a1"/>
    <w:rsid w:val="00997481"/>
    <w:pPr>
      <w:spacing w:after="240" w:line="480" w:lineRule="auto"/>
      <w:jc w:val="center"/>
    </w:pPr>
    <w:rPr>
      <w:rFonts w:ascii="Times" w:hAnsi="Times"/>
    </w:rPr>
  </w:style>
  <w:style w:type="paragraph" w:customStyle="1" w:styleId="TFReferencesSection">
    <w:name w:val="TF_References_Section"/>
    <w:basedOn w:val="a1"/>
    <w:rsid w:val="00502C97"/>
    <w:pPr>
      <w:spacing w:after="200" w:line="480" w:lineRule="auto"/>
      <w:ind w:firstLine="187"/>
      <w:jc w:val="both"/>
    </w:pPr>
    <w:rPr>
      <w:rFonts w:ascii="Times" w:hAnsi="Times"/>
    </w:rPr>
  </w:style>
  <w:style w:type="paragraph" w:customStyle="1" w:styleId="BIEmailAddress">
    <w:name w:val="BI_Email_Address"/>
    <w:basedOn w:val="a1"/>
    <w:next w:val="AIReceivedDate"/>
    <w:rsid w:val="0086248D"/>
    <w:pPr>
      <w:spacing w:after="200" w:line="480" w:lineRule="auto"/>
      <w:jc w:val="both"/>
    </w:pPr>
    <w:rPr>
      <w:rFonts w:ascii="Times" w:hAnsi="Times"/>
    </w:rPr>
  </w:style>
  <w:style w:type="paragraph" w:customStyle="1" w:styleId="AIReceivedDate">
    <w:name w:val="AI_Received_Date"/>
    <w:basedOn w:val="a1"/>
    <w:next w:val="a1"/>
    <w:rsid w:val="0086248D"/>
    <w:pPr>
      <w:spacing w:after="240" w:line="480" w:lineRule="auto"/>
      <w:jc w:val="both"/>
    </w:pPr>
    <w:rPr>
      <w:rFonts w:ascii="Times" w:hAnsi="Times"/>
      <w:b/>
    </w:rPr>
  </w:style>
  <w:style w:type="paragraph" w:customStyle="1" w:styleId="FACorrespondingAuthorFootnote">
    <w:name w:val="FA_Corresponding_Author_Footnote"/>
    <w:basedOn w:val="a1"/>
    <w:next w:val="a1"/>
    <w:rsid w:val="0086248D"/>
    <w:pPr>
      <w:spacing w:after="200" w:line="480" w:lineRule="auto"/>
      <w:jc w:val="both"/>
    </w:pPr>
    <w:rPr>
      <w:rFonts w:ascii="Times" w:hAnsi="Times"/>
    </w:rPr>
  </w:style>
  <w:style w:type="paragraph" w:customStyle="1" w:styleId="Addresses">
    <w:name w:val="Addresses"/>
    <w:basedOn w:val="a1"/>
    <w:rsid w:val="0086248D"/>
    <w:rPr>
      <w:rFonts w:eastAsia="MS Mincho"/>
      <w:szCs w:val="24"/>
      <w:lang w:eastAsia="ja-JP"/>
    </w:rPr>
  </w:style>
  <w:style w:type="paragraph" w:customStyle="1" w:styleId="TAMainText">
    <w:name w:val="TA_Main_Text"/>
    <w:basedOn w:val="a1"/>
    <w:link w:val="TAMainText0"/>
    <w:rsid w:val="002454AB"/>
    <w:pPr>
      <w:spacing w:line="480" w:lineRule="auto"/>
      <w:ind w:firstLine="202"/>
      <w:jc w:val="both"/>
    </w:pPr>
    <w:rPr>
      <w:rFonts w:ascii="Times" w:hAnsi="Times"/>
    </w:rPr>
  </w:style>
  <w:style w:type="character" w:customStyle="1" w:styleId="TAMainText0">
    <w:name w:val="TA_Main_Text 字元"/>
    <w:basedOn w:val="a2"/>
    <w:link w:val="TAMainText"/>
    <w:rsid w:val="002454AB"/>
    <w:rPr>
      <w:rFonts w:ascii="Times" w:hAnsi="Times"/>
      <w:sz w:val="24"/>
    </w:rPr>
  </w:style>
  <w:style w:type="character" w:customStyle="1" w:styleId="UnresolvedMention">
    <w:name w:val="Unresolved Mention"/>
    <w:basedOn w:val="a2"/>
    <w:uiPriority w:val="99"/>
    <w:semiHidden/>
    <w:unhideWhenUsed/>
    <w:rsid w:val="00045F7C"/>
    <w:rPr>
      <w:color w:val="605E5C"/>
      <w:shd w:val="clear" w:color="auto" w:fill="E1DFDD"/>
    </w:rPr>
  </w:style>
  <w:style w:type="character" w:styleId="affff8">
    <w:name w:val="line number"/>
    <w:basedOn w:val="a2"/>
    <w:semiHidden/>
    <w:unhideWhenUsed/>
    <w:rsid w:val="00795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149174">
      <w:bodyDiv w:val="1"/>
      <w:marLeft w:val="0"/>
      <w:marRight w:val="0"/>
      <w:marTop w:val="0"/>
      <w:marBottom w:val="0"/>
      <w:divBdr>
        <w:top w:val="none" w:sz="0" w:space="0" w:color="auto"/>
        <w:left w:val="none" w:sz="0" w:space="0" w:color="auto"/>
        <w:bottom w:val="none" w:sz="0" w:space="0" w:color="auto"/>
        <w:right w:val="none" w:sz="0" w:space="0" w:color="auto"/>
      </w:divBdr>
    </w:div>
    <w:div w:id="58434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f"/><Relationship Id="rId18" Type="http://schemas.openxmlformats.org/officeDocument/2006/relationships/image" Target="media/image7.png"/><Relationship Id="rId26" Type="http://schemas.openxmlformats.org/officeDocument/2006/relationships/image" Target="media/image15.tiff"/><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jia@ntou.edu.tw" TargetMode="External"/><Relationship Id="rId24" Type="http://schemas.openxmlformats.org/officeDocument/2006/relationships/image" Target="media/image13.tiff"/><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606A6A5F-BF35-401C-A3A1-63045C831006}">
  <ds:schemaRefs>
    <ds:schemaRef ds:uri="http://schemas.microsoft.com/office/2006/documentManagement/types"/>
    <ds:schemaRef ds:uri="http://www.w3.org/XML/1998/namespace"/>
    <ds:schemaRef ds:uri="1867113f-8995-4870-a940-2b72f688d265"/>
    <ds:schemaRef ds:uri="http://purl.org/dc/elements/1.1/"/>
    <ds:schemaRef ds:uri="http://schemas.openxmlformats.org/package/2006/metadata/core-properties"/>
    <ds:schemaRef ds:uri="http://schemas.microsoft.com/office/2006/metadata/properties"/>
    <ds:schemaRef ds:uri="http://purl.org/dc/terms/"/>
    <ds:schemaRef ds:uri="http://purl.org/dc/dcmitype/"/>
    <ds:schemaRef ds:uri="http://schemas.microsoft.com/office/infopath/2007/PartnerControls"/>
    <ds:schemaRef ds:uri="96858f5b-69cf-4d49-a520-6ae816db1d8d"/>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1A2AF8-07F2-47E2-A4DA-0E70A6628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3857</Words>
  <Characters>21154</Characters>
  <Application>Microsoft Office Word</Application>
  <DocSecurity>0</DocSecurity>
  <Lines>176</Lines>
  <Paragraphs>49</Paragraphs>
  <ScaleCrop>false</ScaleCrop>
  <Company>AAAS</Company>
  <LinksUpToDate>false</LinksUpToDate>
  <CharactersWithSpaces>24962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user</cp:lastModifiedBy>
  <cp:revision>2</cp:revision>
  <cp:lastPrinted>2021-09-24T09:00:00Z</cp:lastPrinted>
  <dcterms:created xsi:type="dcterms:W3CDTF">2021-09-26T04:42:00Z</dcterms:created>
  <dcterms:modified xsi:type="dcterms:W3CDTF">2021-09-26T04:42:00Z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