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2B" w:rsidRDefault="0042042B" w:rsidP="0042042B">
      <w:pPr>
        <w:pStyle w:val="Level3heading"/>
        <w:spacing w:before="120" w:after="120" w:line="360" w:lineRule="auto"/>
        <w:outlineLvl w:val="0"/>
        <w:rPr>
          <w:rFonts w:cs="Times New Roman"/>
          <w:b/>
          <w:bCs/>
        </w:rPr>
      </w:pPr>
      <w:bookmarkStart w:id="0" w:name="_GoBack"/>
      <w:r w:rsidRPr="00544E94">
        <w:rPr>
          <w:rFonts w:cs="Times New Roman"/>
          <w:b/>
          <w:bCs/>
        </w:rPr>
        <w:t>APPENDIX</w:t>
      </w:r>
      <w:r>
        <w:rPr>
          <w:rFonts w:cs="Times New Roman"/>
          <w:b/>
          <w:bCs/>
        </w:rPr>
        <w:t xml:space="preserve"> </w:t>
      </w:r>
      <w:bookmarkEnd w:id="0"/>
      <w:r>
        <w:rPr>
          <w:rFonts w:cs="Times New Roman"/>
          <w:b/>
          <w:bCs/>
        </w:rPr>
        <w:t xml:space="preserve">A    </w:t>
      </w:r>
    </w:p>
    <w:p w:rsidR="0042042B" w:rsidRPr="004F0E39" w:rsidRDefault="0042042B" w:rsidP="0042042B">
      <w:pPr>
        <w:pStyle w:val="Level3heading"/>
        <w:spacing w:before="120" w:after="0" w:line="240" w:lineRule="auto"/>
        <w:rPr>
          <w:rFonts w:cs="Times New Roman"/>
        </w:rPr>
      </w:pPr>
      <w:r>
        <w:rPr>
          <w:rFonts w:cs="Times New Roman"/>
        </w:rPr>
        <w:t xml:space="preserve">Panel A: </w:t>
      </w:r>
      <w:r w:rsidRPr="00716FF2">
        <w:rPr>
          <w:rFonts w:eastAsiaTheme="minorEastAsia" w:cs="Times New Roman"/>
        </w:rPr>
        <w:t>D</w:t>
      </w:r>
      <w:r w:rsidRPr="00716FF2">
        <w:rPr>
          <w:rFonts w:cs="Times New Roman"/>
        </w:rPr>
        <w:t>e</w:t>
      </w:r>
      <w:r w:rsidRPr="004F0E39">
        <w:rPr>
          <w:rFonts w:cs="Times New Roman"/>
        </w:rPr>
        <w:t>al description by home country</w:t>
      </w:r>
    </w:p>
    <w:tbl>
      <w:tblPr>
        <w:tblStyle w:val="TableGrid"/>
        <w:tblW w:w="498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6"/>
        <w:gridCol w:w="1265"/>
        <w:gridCol w:w="1265"/>
        <w:gridCol w:w="733"/>
        <w:gridCol w:w="1985"/>
        <w:gridCol w:w="1263"/>
        <w:gridCol w:w="1259"/>
      </w:tblGrid>
      <w:tr w:rsidR="0042042B" w:rsidRPr="003C1E0F" w:rsidTr="00CF371E">
        <w:trPr>
          <w:trHeight w:val="269"/>
        </w:trPr>
        <w:tc>
          <w:tcPr>
            <w:tcW w:w="835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Country name</w:t>
            </w:r>
          </w:p>
        </w:tc>
        <w:tc>
          <w:tcPr>
            <w:tcW w:w="678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678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Percentage</w:t>
            </w:r>
          </w:p>
        </w:tc>
        <w:tc>
          <w:tcPr>
            <w:tcW w:w="393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Country name</w:t>
            </w:r>
          </w:p>
        </w:tc>
        <w:tc>
          <w:tcPr>
            <w:tcW w:w="677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675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Percentage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Australia</w:t>
            </w:r>
          </w:p>
        </w:tc>
        <w:tc>
          <w:tcPr>
            <w:tcW w:w="678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592</w:t>
            </w:r>
          </w:p>
        </w:tc>
        <w:tc>
          <w:tcPr>
            <w:tcW w:w="678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2.92</w:t>
            </w:r>
          </w:p>
        </w:tc>
        <w:tc>
          <w:tcPr>
            <w:tcW w:w="393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Luxembourg</w:t>
            </w:r>
          </w:p>
        </w:tc>
        <w:tc>
          <w:tcPr>
            <w:tcW w:w="677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54</w:t>
            </w:r>
          </w:p>
        </w:tc>
        <w:tc>
          <w:tcPr>
            <w:tcW w:w="675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0.27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Austria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211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1.04</w:t>
            </w:r>
          </w:p>
        </w:tc>
        <w:tc>
          <w:tcPr>
            <w:tcW w:w="393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Malaysia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57</w:t>
            </w:r>
          </w:p>
        </w:tc>
        <w:tc>
          <w:tcPr>
            <w:tcW w:w="67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0.28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Bahamas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10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0.05</w:t>
            </w:r>
          </w:p>
        </w:tc>
        <w:tc>
          <w:tcPr>
            <w:tcW w:w="393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Mexico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64</w:t>
            </w:r>
          </w:p>
        </w:tc>
        <w:tc>
          <w:tcPr>
            <w:tcW w:w="67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0.32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Belgium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242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1.19</w:t>
            </w:r>
          </w:p>
        </w:tc>
        <w:tc>
          <w:tcPr>
            <w:tcW w:w="393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Netherlands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699</w:t>
            </w:r>
          </w:p>
        </w:tc>
        <w:tc>
          <w:tcPr>
            <w:tcW w:w="67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3.45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Bermuda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79</w:t>
            </w:r>
          </w:p>
        </w:tc>
        <w:tc>
          <w:tcPr>
            <w:tcW w:w="678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0.39</w:t>
            </w:r>
          </w:p>
        </w:tc>
        <w:tc>
          <w:tcPr>
            <w:tcW w:w="393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New Zealand</w:t>
            </w:r>
          </w:p>
        </w:tc>
        <w:tc>
          <w:tcPr>
            <w:tcW w:w="677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12</w:t>
            </w:r>
          </w:p>
        </w:tc>
        <w:tc>
          <w:tcPr>
            <w:tcW w:w="675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0.06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834674">
              <w:rPr>
                <w:sz w:val="20"/>
                <w:szCs w:val="20"/>
              </w:rPr>
              <w:t>Brazil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77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0.38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Norway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174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0.86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Canada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805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3.97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Philippines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22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0.11</w:t>
            </w:r>
          </w:p>
        </w:tc>
      </w:tr>
      <w:tr w:rsidR="0042042B" w:rsidRPr="004F073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Chile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24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0.12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Poland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16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0.08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China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91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0.45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Portugal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47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0.23</w:t>
            </w:r>
          </w:p>
        </w:tc>
      </w:tr>
      <w:tr w:rsidR="0042042B" w:rsidRPr="004F073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Colombia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21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0.10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Puerto Rico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7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0.04</w:t>
            </w:r>
          </w:p>
        </w:tc>
      </w:tr>
      <w:tr w:rsidR="0042042B" w:rsidRPr="004F073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Cyprus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11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0.05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Russian Federation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93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0.46</w:t>
            </w:r>
          </w:p>
        </w:tc>
      </w:tr>
      <w:tr w:rsidR="0042042B" w:rsidRPr="004F073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Denmark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190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0.94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Saudi Arabia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7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0.04</w:t>
            </w:r>
          </w:p>
        </w:tc>
      </w:tr>
      <w:tr w:rsidR="0042042B" w:rsidRPr="004F073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Egypt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6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0.03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Singapore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220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1.09</w:t>
            </w:r>
          </w:p>
        </w:tc>
      </w:tr>
      <w:tr w:rsidR="0042042B" w:rsidRPr="004F073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Finland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359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1.77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South Africa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115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0.57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France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1,986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9.80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Spain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355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1.75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Germany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1,464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7.22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Sweden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682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3.36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Greece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51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0.25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Switzerland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1,081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5.33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Hong Kong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168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0.83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Taiwan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62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0.31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India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93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0.46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Thailand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36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0.18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Indonesia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0.01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Turkey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9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0.04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Ireland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313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1.54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United Arab Emirates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0.03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Israel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58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0.29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United Kingdom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2,548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12.57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Italy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336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1.66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United States</w:t>
            </w: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4,618</w:t>
            </w: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22.78</w:t>
            </w: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Japan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1,962</w:t>
            </w:r>
          </w:p>
        </w:tc>
        <w:tc>
          <w:tcPr>
            <w:tcW w:w="678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9.68</w:t>
            </w:r>
          </w:p>
        </w:tc>
        <w:tc>
          <w:tcPr>
            <w:tcW w:w="393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77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675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2042B" w:rsidRPr="003C1E0F" w:rsidTr="00CF371E">
        <w:trPr>
          <w:trHeight w:val="269"/>
        </w:trPr>
        <w:tc>
          <w:tcPr>
            <w:tcW w:w="835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834674">
              <w:rPr>
                <w:sz w:val="20"/>
                <w:szCs w:val="20"/>
              </w:rPr>
              <w:t>Korea (South)</w:t>
            </w:r>
          </w:p>
        </w:tc>
        <w:tc>
          <w:tcPr>
            <w:tcW w:w="678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142</w:t>
            </w:r>
          </w:p>
        </w:tc>
        <w:tc>
          <w:tcPr>
            <w:tcW w:w="678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0.70</w:t>
            </w:r>
          </w:p>
        </w:tc>
        <w:tc>
          <w:tcPr>
            <w:tcW w:w="393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64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Total</w:t>
            </w:r>
          </w:p>
        </w:tc>
        <w:tc>
          <w:tcPr>
            <w:tcW w:w="677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20,275</w:t>
            </w:r>
          </w:p>
        </w:tc>
        <w:tc>
          <w:tcPr>
            <w:tcW w:w="675" w:type="pct"/>
            <w:tcBorders>
              <w:bottom w:val="thickThinSmallGap" w:sz="12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4674">
              <w:rPr>
                <w:sz w:val="20"/>
                <w:szCs w:val="20"/>
              </w:rPr>
              <w:t>100.00</w:t>
            </w:r>
          </w:p>
        </w:tc>
      </w:tr>
    </w:tbl>
    <w:p w:rsidR="0042042B" w:rsidRDefault="0042042B" w:rsidP="0042042B">
      <w:pP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cs="Times New Roman"/>
          <w:b/>
          <w:bCs/>
        </w:rPr>
        <w:br w:type="page"/>
      </w:r>
    </w:p>
    <w:p w:rsidR="0042042B" w:rsidRPr="004F0E39" w:rsidRDefault="0042042B" w:rsidP="0042042B">
      <w:pPr>
        <w:pStyle w:val="Level3heading"/>
        <w:spacing w:before="120" w:after="0" w:line="240" w:lineRule="auto"/>
        <w:rPr>
          <w:rFonts w:cs="Times New Roman"/>
        </w:rPr>
      </w:pPr>
      <w:r>
        <w:rPr>
          <w:rFonts w:cs="Times New Roman"/>
        </w:rPr>
        <w:lastRenderedPageBreak/>
        <w:t>Panel B: D</w:t>
      </w:r>
      <w:r w:rsidRPr="004F0E39">
        <w:rPr>
          <w:rFonts w:cs="Times New Roman"/>
        </w:rPr>
        <w:t>eal description by ho</w:t>
      </w:r>
      <w:r>
        <w:rPr>
          <w:rFonts w:cs="Times New Roman"/>
        </w:rPr>
        <w:t>st</w:t>
      </w:r>
      <w:r w:rsidRPr="004F0E39">
        <w:rPr>
          <w:rFonts w:cs="Times New Roman"/>
        </w:rPr>
        <w:t xml:space="preserve"> country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1134"/>
        <w:gridCol w:w="1213"/>
        <w:gridCol w:w="346"/>
        <w:gridCol w:w="1982"/>
        <w:gridCol w:w="1213"/>
        <w:gridCol w:w="1202"/>
      </w:tblGrid>
      <w:tr w:rsidR="0042042B" w:rsidRPr="003C1E0F" w:rsidTr="00CF371E">
        <w:trPr>
          <w:trHeight w:val="269"/>
        </w:trPr>
        <w:tc>
          <w:tcPr>
            <w:tcW w:w="1212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b/>
                <w:bCs/>
                <w:sz w:val="20"/>
                <w:szCs w:val="20"/>
              </w:rPr>
              <w:t>Country name</w:t>
            </w:r>
          </w:p>
        </w:tc>
        <w:tc>
          <w:tcPr>
            <w:tcW w:w="606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b/>
                <w:bCs/>
                <w:sz w:val="20"/>
                <w:szCs w:val="20"/>
              </w:rPr>
              <w:t>Percentage</w:t>
            </w:r>
          </w:p>
        </w:tc>
        <w:tc>
          <w:tcPr>
            <w:tcW w:w="185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b/>
                <w:bCs/>
                <w:sz w:val="20"/>
                <w:szCs w:val="20"/>
              </w:rPr>
              <w:t>Country name</w:t>
            </w:r>
          </w:p>
        </w:tc>
        <w:tc>
          <w:tcPr>
            <w:tcW w:w="648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642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716FF2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b/>
                <w:bCs/>
                <w:sz w:val="20"/>
                <w:szCs w:val="20"/>
              </w:rPr>
              <w:t>Percentage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Algeria</w:t>
            </w:r>
          </w:p>
        </w:tc>
        <w:tc>
          <w:tcPr>
            <w:tcW w:w="606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pct"/>
            <w:tcBorders>
              <w:top w:val="single" w:sz="4" w:space="0" w:color="auto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Argentina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Armenia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Luxembourg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Australia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4.18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Macau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Malaysia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Azerbaijan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Mali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Bahamas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Malta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Mauritania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Belarus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Mexico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Belgium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Moldova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Bermuda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Bolivia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Bosnia and Herzegovina</w:t>
            </w:r>
          </w:p>
        </w:tc>
        <w:tc>
          <w:tcPr>
            <w:tcW w:w="606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5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Montenegro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2" w:type="pct"/>
            <w:tcBorders>
              <w:top w:val="nil"/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Morocco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Brazil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2.61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Bulgaria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Myanmar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Namibia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Canada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1,021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5.04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Netherlands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2.27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Cayman Islands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New Zealand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1.29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Colombia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Oman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Congo, Rep.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Pakistan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Costa Rica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Panama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Cyprus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Paraguay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Czech Republic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Peru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Philippines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Dominican Republic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Ecuador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Portugal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El Salvador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Fiji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Russian Federation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1.83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Saudi Arabia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3.94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Serbia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Georgia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1.02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1,176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5.80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Slovak Republic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Slovenia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Guatemala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528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2.60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Guyana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Sri Lanka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Hong Kong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2.02</w:t>
            </w:r>
          </w:p>
        </w:tc>
      </w:tr>
      <w:tr w:rsidR="0042042B" w:rsidRPr="004F073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1.57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lastRenderedPageBreak/>
              <w:t>Iceland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Taiwan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42042B" w:rsidRPr="004F073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549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Thailand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42042B" w:rsidRPr="004F073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Indonesia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Trinidad and Tobago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42042B" w:rsidRPr="004F073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4F073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Ireland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42042B" w:rsidRPr="004F073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Israel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Jamaica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United Arab Emirates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Japan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United Kingdom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1,871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9.23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Jordan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United States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4,365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21.53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Uruguay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b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Uzbekistan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Korea (South)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Venezuela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Kuwait</w:t>
            </w:r>
          </w:p>
        </w:tc>
        <w:tc>
          <w:tcPr>
            <w:tcW w:w="606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85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Vietnam</w:t>
            </w:r>
          </w:p>
        </w:tc>
        <w:tc>
          <w:tcPr>
            <w:tcW w:w="648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642" w:type="pct"/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42042B" w:rsidRPr="003C1E0F" w:rsidTr="00CF371E">
        <w:trPr>
          <w:trHeight w:val="269"/>
        </w:trPr>
        <w:tc>
          <w:tcPr>
            <w:tcW w:w="1212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Kyrgyz Republic</w:t>
            </w:r>
          </w:p>
        </w:tc>
        <w:tc>
          <w:tcPr>
            <w:tcW w:w="606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8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85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59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648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42" w:type="pct"/>
            <w:tcBorders>
              <w:bottom w:val="nil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716FF2">
              <w:rPr>
                <w:rFonts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42042B" w:rsidRPr="00716FF2" w:rsidTr="00CF371E">
        <w:trPr>
          <w:trHeight w:val="269"/>
        </w:trPr>
        <w:tc>
          <w:tcPr>
            <w:tcW w:w="1212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</w:rPr>
            </w:pPr>
            <w:r w:rsidRPr="00716FF2">
              <w:rPr>
                <w:rFonts w:cs="Times New Roman"/>
                <w:sz w:val="20"/>
                <w:szCs w:val="20"/>
              </w:rPr>
              <w:t>Latvia</w:t>
            </w:r>
          </w:p>
        </w:tc>
        <w:tc>
          <w:tcPr>
            <w:tcW w:w="606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</w:rPr>
            </w:pPr>
            <w:r w:rsidRPr="00716FF2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648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</w:rPr>
            </w:pPr>
            <w:r w:rsidRPr="00716FF2">
              <w:rPr>
                <w:rFonts w:cs="Times New Roman"/>
                <w:sz w:val="20"/>
                <w:szCs w:val="20"/>
              </w:rPr>
              <w:t>0.09</w:t>
            </w:r>
          </w:p>
        </w:tc>
        <w:tc>
          <w:tcPr>
            <w:tcW w:w="185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59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rPr>
                <w:rFonts w:cs="Times New Roman"/>
                <w:sz w:val="20"/>
                <w:szCs w:val="20"/>
              </w:rPr>
            </w:pPr>
            <w:r w:rsidRPr="00716FF2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648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</w:rPr>
            </w:pPr>
            <w:r w:rsidRPr="00716FF2">
              <w:rPr>
                <w:rFonts w:cs="Times New Roman"/>
                <w:sz w:val="20"/>
                <w:szCs w:val="20"/>
              </w:rPr>
              <w:t>20,275</w:t>
            </w:r>
          </w:p>
        </w:tc>
        <w:tc>
          <w:tcPr>
            <w:tcW w:w="642" w:type="pct"/>
            <w:tcBorders>
              <w:top w:val="nil"/>
              <w:bottom w:val="thickThinSmallGap" w:sz="12" w:space="0" w:color="auto"/>
            </w:tcBorders>
            <w:vAlign w:val="bottom"/>
          </w:tcPr>
          <w:p w:rsidR="0042042B" w:rsidRPr="00716FF2" w:rsidRDefault="0042042B" w:rsidP="00CF371E">
            <w:pPr>
              <w:jc w:val="right"/>
              <w:rPr>
                <w:rFonts w:cs="Times New Roman"/>
                <w:sz w:val="20"/>
                <w:szCs w:val="20"/>
              </w:rPr>
            </w:pPr>
            <w:r w:rsidRPr="00716FF2">
              <w:rPr>
                <w:rFonts w:cs="Times New Roman"/>
                <w:sz w:val="20"/>
                <w:szCs w:val="20"/>
              </w:rPr>
              <w:t>100.00</w:t>
            </w:r>
          </w:p>
        </w:tc>
      </w:tr>
    </w:tbl>
    <w:p w:rsidR="0042042B" w:rsidRPr="00FC0DC3" w:rsidRDefault="0042042B" w:rsidP="0042042B">
      <w:pPr>
        <w:pStyle w:val="Level3heading"/>
        <w:spacing w:before="120" w:after="0" w:line="240" w:lineRule="auto"/>
        <w:rPr>
          <w:rFonts w:cs="Times New Roman"/>
        </w:rPr>
      </w:pPr>
      <w:r w:rsidRPr="00FC0DC3">
        <w:rPr>
          <w:rFonts w:cs="Times New Roman"/>
        </w:rPr>
        <w:t>Panel C Deal description by year</w:t>
      </w:r>
    </w:p>
    <w:tbl>
      <w:tblPr>
        <w:tblStyle w:val="TableGrid"/>
        <w:tblW w:w="2348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265"/>
        <w:gridCol w:w="1573"/>
      </w:tblGrid>
      <w:tr w:rsidR="0042042B" w:rsidRPr="00834674" w:rsidTr="00CF371E">
        <w:trPr>
          <w:trHeight w:val="269"/>
        </w:trPr>
        <w:tc>
          <w:tcPr>
            <w:tcW w:w="1771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both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Country name</w:t>
            </w:r>
          </w:p>
        </w:tc>
        <w:tc>
          <w:tcPr>
            <w:tcW w:w="1439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Frequency</w:t>
            </w:r>
          </w:p>
        </w:tc>
        <w:tc>
          <w:tcPr>
            <w:tcW w:w="1790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834674">
              <w:rPr>
                <w:b/>
                <w:bCs/>
                <w:sz w:val="20"/>
                <w:szCs w:val="20"/>
              </w:rPr>
              <w:t>Percentage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2003</w:t>
            </w:r>
          </w:p>
        </w:tc>
        <w:tc>
          <w:tcPr>
            <w:tcW w:w="1439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857</w:t>
            </w:r>
          </w:p>
        </w:tc>
        <w:tc>
          <w:tcPr>
            <w:tcW w:w="1790" w:type="pct"/>
            <w:tcBorders>
              <w:top w:val="single" w:sz="4" w:space="0" w:color="auto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4.23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2004</w:t>
            </w:r>
          </w:p>
        </w:tc>
        <w:tc>
          <w:tcPr>
            <w:tcW w:w="1439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917</w:t>
            </w:r>
          </w:p>
        </w:tc>
        <w:tc>
          <w:tcPr>
            <w:tcW w:w="1790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4.52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2005</w:t>
            </w:r>
          </w:p>
        </w:tc>
        <w:tc>
          <w:tcPr>
            <w:tcW w:w="1439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</w:t>
            </w:r>
            <w:r>
              <w:t>,</w:t>
            </w:r>
            <w:r w:rsidRPr="008300E2">
              <w:t>562</w:t>
            </w:r>
          </w:p>
        </w:tc>
        <w:tc>
          <w:tcPr>
            <w:tcW w:w="1790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7.70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2006</w:t>
            </w:r>
          </w:p>
        </w:tc>
        <w:tc>
          <w:tcPr>
            <w:tcW w:w="1439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2</w:t>
            </w:r>
            <w:r>
              <w:t>,</w:t>
            </w:r>
            <w:r w:rsidRPr="008300E2">
              <w:t>051</w:t>
            </w:r>
          </w:p>
        </w:tc>
        <w:tc>
          <w:tcPr>
            <w:tcW w:w="1790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10.12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2007</w:t>
            </w:r>
          </w:p>
        </w:tc>
        <w:tc>
          <w:tcPr>
            <w:tcW w:w="1439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2</w:t>
            </w:r>
            <w:r>
              <w:t>,</w:t>
            </w:r>
            <w:r w:rsidRPr="008300E2">
              <w:t>227</w:t>
            </w:r>
          </w:p>
        </w:tc>
        <w:tc>
          <w:tcPr>
            <w:tcW w:w="1790" w:type="pct"/>
            <w:tcBorders>
              <w:top w:val="nil"/>
              <w:bottom w:val="nil"/>
            </w:tcBorders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10.98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527504" w:rsidRDefault="0042042B" w:rsidP="00CF371E">
            <w:pPr>
              <w:rPr>
                <w:rFonts w:cs="Times New Roman"/>
                <w:iCs/>
                <w:sz w:val="20"/>
                <w:szCs w:val="20"/>
                <w:lang w:val="en-US"/>
              </w:rPr>
            </w:pPr>
            <w:r w:rsidRPr="00527504">
              <w:rPr>
                <w:rFonts w:cs="Times New Roman"/>
                <w:iCs/>
                <w:sz w:val="20"/>
                <w:szCs w:val="20"/>
                <w:lang w:val="en-US"/>
              </w:rPr>
              <w:t>2008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00E2">
              <w:t>2</w:t>
            </w:r>
            <w:r>
              <w:t>,</w:t>
            </w:r>
            <w:r w:rsidRPr="008300E2">
              <w:t>162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i/>
                <w:sz w:val="20"/>
                <w:szCs w:val="20"/>
                <w:lang w:val="en-US"/>
              </w:rPr>
            </w:pPr>
            <w:r w:rsidRPr="008300E2">
              <w:t>10.66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2009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</w:t>
            </w:r>
            <w:r>
              <w:t>,</w:t>
            </w:r>
            <w:r w:rsidRPr="008300E2">
              <w:t>403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6.92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</w:t>
            </w:r>
            <w:r>
              <w:t>,</w:t>
            </w:r>
            <w:r w:rsidRPr="008300E2">
              <w:t>758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8.67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2</w:t>
            </w:r>
            <w:r>
              <w:t>,</w:t>
            </w:r>
            <w:r w:rsidRPr="008300E2">
              <w:t>017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9.95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2</w:t>
            </w:r>
            <w:r>
              <w:t>,</w:t>
            </w:r>
            <w:r w:rsidRPr="008300E2">
              <w:t>033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10.03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834674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</w:t>
            </w:r>
            <w:r>
              <w:t>,</w:t>
            </w:r>
            <w:r w:rsidRPr="008300E2">
              <w:t>704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8.40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</w:tcPr>
          <w:p w:rsidR="0042042B" w:rsidRPr="00527504" w:rsidRDefault="0042042B" w:rsidP="00CF371E">
            <w:pPr>
              <w:rPr>
                <w:rFonts w:cs="Times New Roman"/>
                <w:iCs/>
                <w:sz w:val="20"/>
                <w:szCs w:val="20"/>
                <w:lang w:val="en-US"/>
              </w:rPr>
            </w:pPr>
            <w:r w:rsidRPr="00527504">
              <w:rPr>
                <w:rFonts w:cs="Times New Roman"/>
                <w:iCs/>
                <w:sz w:val="20"/>
                <w:szCs w:val="20"/>
                <w:lang w:val="en-US"/>
              </w:rPr>
              <w:t>2014</w:t>
            </w:r>
          </w:p>
        </w:tc>
        <w:tc>
          <w:tcPr>
            <w:tcW w:w="1439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1</w:t>
            </w:r>
            <w:r>
              <w:t>,</w:t>
            </w:r>
            <w:r w:rsidRPr="008300E2">
              <w:t>584</w:t>
            </w:r>
          </w:p>
        </w:tc>
        <w:tc>
          <w:tcPr>
            <w:tcW w:w="1790" w:type="pct"/>
          </w:tcPr>
          <w:p w:rsidR="0042042B" w:rsidRPr="00834674" w:rsidRDefault="0042042B" w:rsidP="00CF371E">
            <w:pPr>
              <w:jc w:val="right"/>
              <w:rPr>
                <w:rFonts w:cs="Times New Roman"/>
                <w:sz w:val="20"/>
                <w:szCs w:val="20"/>
                <w:lang w:val="en-US"/>
              </w:rPr>
            </w:pPr>
            <w:r w:rsidRPr="008300E2">
              <w:t>7.81</w:t>
            </w:r>
          </w:p>
        </w:tc>
      </w:tr>
      <w:tr w:rsidR="0042042B" w:rsidRPr="00834674" w:rsidTr="00CF371E">
        <w:trPr>
          <w:trHeight w:val="269"/>
        </w:trPr>
        <w:tc>
          <w:tcPr>
            <w:tcW w:w="1771" w:type="pct"/>
            <w:tcBorders>
              <w:bottom w:val="thickThinSmallGap" w:sz="12" w:space="0" w:color="auto"/>
            </w:tcBorders>
          </w:tcPr>
          <w:p w:rsidR="0042042B" w:rsidRPr="00527504" w:rsidRDefault="0042042B" w:rsidP="00CF371E">
            <w:pPr>
              <w:rPr>
                <w:rFonts w:cs="Times New Roman"/>
                <w:iCs/>
                <w:sz w:val="20"/>
                <w:szCs w:val="20"/>
                <w:lang w:val="en-US"/>
              </w:rPr>
            </w:pPr>
            <w:r>
              <w:rPr>
                <w:rFonts w:cs="Times New Roman"/>
                <w:iCs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39" w:type="pct"/>
            <w:tcBorders>
              <w:bottom w:val="thickThinSmallGap" w:sz="12" w:space="0" w:color="auto"/>
            </w:tcBorders>
          </w:tcPr>
          <w:p w:rsidR="0042042B" w:rsidRPr="008300E2" w:rsidRDefault="0042042B" w:rsidP="00CF371E">
            <w:pPr>
              <w:jc w:val="right"/>
            </w:pPr>
            <w:r>
              <w:t>20,275</w:t>
            </w:r>
          </w:p>
        </w:tc>
        <w:tc>
          <w:tcPr>
            <w:tcW w:w="1790" w:type="pct"/>
            <w:tcBorders>
              <w:bottom w:val="thickThinSmallGap" w:sz="12" w:space="0" w:color="auto"/>
            </w:tcBorders>
          </w:tcPr>
          <w:p w:rsidR="0042042B" w:rsidRPr="008300E2" w:rsidRDefault="0042042B" w:rsidP="00CF371E">
            <w:pPr>
              <w:jc w:val="right"/>
            </w:pPr>
            <w:r>
              <w:t>100.00</w:t>
            </w:r>
          </w:p>
        </w:tc>
      </w:tr>
    </w:tbl>
    <w:p w:rsidR="0042042B" w:rsidRDefault="0042042B" w:rsidP="0042042B">
      <w:pPr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>
        <w:rPr>
          <w:rFonts w:cs="Times New Roman"/>
          <w:b/>
          <w:bCs/>
        </w:rPr>
        <w:br w:type="page"/>
      </w:r>
    </w:p>
    <w:p w:rsidR="0042042B" w:rsidRPr="00544E94" w:rsidRDefault="0042042B" w:rsidP="0042042B">
      <w:pPr>
        <w:pStyle w:val="Level3heading"/>
        <w:spacing w:before="120" w:after="120" w:line="360" w:lineRule="auto"/>
        <w:outlineLvl w:val="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>APPENDIX B</w:t>
      </w:r>
    </w:p>
    <w:p w:rsidR="0042042B" w:rsidRPr="00914488" w:rsidRDefault="0042042B" w:rsidP="004204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14488">
        <w:rPr>
          <w:rFonts w:ascii="Times New Roman" w:hAnsi="Times New Roman" w:cs="Times New Roman"/>
          <w:sz w:val="24"/>
          <w:szCs w:val="24"/>
          <w:lang w:val="en-US"/>
        </w:rPr>
        <w:t>Variable descriptions and data source</w:t>
      </w:r>
    </w:p>
    <w:tbl>
      <w:tblPr>
        <w:tblStyle w:val="TableGrid"/>
        <w:tblW w:w="5125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3"/>
        <w:gridCol w:w="5935"/>
        <w:gridCol w:w="1756"/>
      </w:tblGrid>
      <w:tr w:rsidR="0042042B" w:rsidRPr="00D00482" w:rsidTr="00CF371E">
        <w:trPr>
          <w:trHeight w:val="63"/>
        </w:trPr>
        <w:tc>
          <w:tcPr>
            <w:tcW w:w="992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3093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915" w:type="pct"/>
            <w:tcBorders>
              <w:top w:val="double" w:sz="4" w:space="0" w:color="auto"/>
              <w:bottom w:val="single" w:sz="4" w:space="0" w:color="auto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Data Source</w:t>
            </w:r>
          </w:p>
        </w:tc>
      </w:tr>
      <w:tr w:rsidR="0042042B" w:rsidRPr="00D00482" w:rsidTr="00CF371E">
        <w:tc>
          <w:tcPr>
            <w:tcW w:w="992" w:type="pct"/>
            <w:tcBorders>
              <w:top w:val="single" w:sz="4" w:space="0" w:color="auto"/>
              <w:bottom w:val="nil"/>
            </w:tcBorders>
          </w:tcPr>
          <w:p w:rsidR="0042042B" w:rsidRPr="003C1E0F" w:rsidRDefault="0042042B" w:rsidP="00CF371E">
            <w:pPr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b/>
                <w:i/>
                <w:sz w:val="20"/>
                <w:szCs w:val="20"/>
                <w:lang w:val="en-US"/>
              </w:rPr>
              <w:t>Dependent variable</w:t>
            </w:r>
          </w:p>
        </w:tc>
        <w:tc>
          <w:tcPr>
            <w:tcW w:w="3093" w:type="pct"/>
            <w:tcBorders>
              <w:top w:val="single" w:sz="4" w:space="0" w:color="auto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tcBorders>
              <w:top w:val="single" w:sz="4" w:space="0" w:color="auto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2042B" w:rsidRPr="00D00482" w:rsidTr="00CF371E">
        <w:tc>
          <w:tcPr>
            <w:tcW w:w="992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093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2042B" w:rsidRPr="00D00482" w:rsidTr="00CF371E">
        <w:tc>
          <w:tcPr>
            <w:tcW w:w="992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CAR (0</w:t>
            </w:r>
            <w:r w:rsidRPr="003C1E0F">
              <w:rPr>
                <w:rFonts w:cs="Times New Roman"/>
                <w:sz w:val="20"/>
                <w:szCs w:val="20"/>
                <w:lang w:val="en-US"/>
              </w:rPr>
              <w:t>, 1)</w:t>
            </w:r>
          </w:p>
        </w:tc>
        <w:tc>
          <w:tcPr>
            <w:tcW w:w="3093" w:type="pct"/>
            <w:tcBorders>
              <w:top w:val="nil"/>
              <w:bottom w:val="nil"/>
            </w:tcBorders>
          </w:tcPr>
          <w:p w:rsidR="0042042B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3C1E0F">
              <w:rPr>
                <w:rFonts w:cs="Times New Roman"/>
                <w:sz w:val="20"/>
                <w:szCs w:val="20"/>
                <w:lang w:val="en-US"/>
              </w:rPr>
              <w:t>umulative abnormal return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from day 0 to day 1</w:t>
            </w:r>
            <w:r w:rsidRPr="003C1E0F">
              <w:rPr>
                <w:rFonts w:cs="Times New Roman"/>
                <w:sz w:val="20"/>
                <w:szCs w:val="20"/>
                <w:lang w:val="en-US"/>
              </w:rPr>
              <w:t>, expressed in percentage</w:t>
            </w:r>
          </w:p>
        </w:tc>
        <w:tc>
          <w:tcPr>
            <w:tcW w:w="915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Own calculation</w:t>
            </w:r>
          </w:p>
        </w:tc>
      </w:tr>
      <w:tr w:rsidR="0042042B" w:rsidRPr="00D00482" w:rsidTr="00CF371E">
        <w:tc>
          <w:tcPr>
            <w:tcW w:w="992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CAR (0</w:t>
            </w:r>
            <w:r w:rsidRPr="003C1E0F">
              <w:rPr>
                <w:rFonts w:cs="Times New Roman"/>
                <w:sz w:val="20"/>
                <w:szCs w:val="20"/>
                <w:lang w:val="en-US"/>
              </w:rPr>
              <w:t>, 2)</w:t>
            </w:r>
          </w:p>
        </w:tc>
        <w:tc>
          <w:tcPr>
            <w:tcW w:w="3093" w:type="pct"/>
            <w:tcBorders>
              <w:top w:val="nil"/>
              <w:bottom w:val="nil"/>
            </w:tcBorders>
          </w:tcPr>
          <w:p w:rsidR="0042042B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FF08CF">
              <w:rPr>
                <w:rFonts w:cs="Times New Roman"/>
                <w:sz w:val="20"/>
                <w:szCs w:val="20"/>
                <w:lang w:val="en-US"/>
              </w:rPr>
              <w:t xml:space="preserve">Cumulative abnormal return </w:t>
            </w:r>
            <w:r>
              <w:rPr>
                <w:rFonts w:cs="Times New Roman"/>
                <w:sz w:val="20"/>
                <w:szCs w:val="20"/>
                <w:lang w:val="en-US"/>
              </w:rPr>
              <w:t>from day 0 to day 2</w:t>
            </w:r>
            <w:r w:rsidRPr="00FF08CF">
              <w:rPr>
                <w:rFonts w:cs="Times New Roman"/>
                <w:sz w:val="20"/>
                <w:szCs w:val="20"/>
                <w:lang w:val="en-US"/>
              </w:rPr>
              <w:t>, expressed in percentage</w:t>
            </w:r>
          </w:p>
        </w:tc>
        <w:tc>
          <w:tcPr>
            <w:tcW w:w="915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Own calculation</w:t>
            </w:r>
          </w:p>
        </w:tc>
      </w:tr>
      <w:tr w:rsidR="0042042B" w:rsidRPr="00D00482" w:rsidTr="00CF371E">
        <w:tc>
          <w:tcPr>
            <w:tcW w:w="992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CAR (0</w:t>
            </w:r>
            <w:r w:rsidRPr="003C1E0F">
              <w:rPr>
                <w:rFonts w:cs="Times New Roman"/>
                <w:sz w:val="20"/>
                <w:szCs w:val="20"/>
                <w:lang w:val="en-US"/>
              </w:rPr>
              <w:t>, 5)</w:t>
            </w:r>
          </w:p>
        </w:tc>
        <w:tc>
          <w:tcPr>
            <w:tcW w:w="3093" w:type="pct"/>
            <w:tcBorders>
              <w:top w:val="nil"/>
              <w:bottom w:val="nil"/>
            </w:tcBorders>
          </w:tcPr>
          <w:p w:rsidR="0042042B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FF08CF">
              <w:rPr>
                <w:rFonts w:cs="Times New Roman"/>
                <w:sz w:val="20"/>
                <w:szCs w:val="20"/>
                <w:lang w:val="en-US"/>
              </w:rPr>
              <w:t xml:space="preserve">Cumulative abnormal return from day 0 to day </w:t>
            </w: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  <w:r w:rsidRPr="00FF08CF">
              <w:rPr>
                <w:rFonts w:cs="Times New Roman"/>
                <w:sz w:val="20"/>
                <w:szCs w:val="20"/>
                <w:lang w:val="en-US"/>
              </w:rPr>
              <w:t>, expressed in percentage</w:t>
            </w:r>
          </w:p>
        </w:tc>
        <w:tc>
          <w:tcPr>
            <w:tcW w:w="915" w:type="pct"/>
            <w:tcBorders>
              <w:top w:val="nil"/>
              <w:bottom w:val="nil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Own calculation</w:t>
            </w:r>
          </w:p>
        </w:tc>
      </w:tr>
      <w:tr w:rsidR="0042042B" w:rsidRPr="00D00482" w:rsidTr="00CF371E">
        <w:tc>
          <w:tcPr>
            <w:tcW w:w="5000" w:type="pct"/>
            <w:gridSpan w:val="3"/>
          </w:tcPr>
          <w:p w:rsidR="0042042B" w:rsidRDefault="0042042B" w:rsidP="00CF371E">
            <w:pPr>
              <w:jc w:val="both"/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</w:p>
          <w:p w:rsidR="0042042B" w:rsidRPr="003C1E0F" w:rsidRDefault="0042042B" w:rsidP="00CF371E">
            <w:pPr>
              <w:jc w:val="both"/>
              <w:rPr>
                <w:rFonts w:cs="Times New Roman"/>
                <w:b/>
                <w:i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b/>
                <w:i/>
                <w:sz w:val="20"/>
                <w:szCs w:val="20"/>
                <w:lang w:val="en-US"/>
              </w:rPr>
              <w:t>Independent variable</w:t>
            </w:r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3C1E0F"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  <w:t>Variable of interest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i/>
                <w:sz w:val="20"/>
                <w:szCs w:val="20"/>
                <w:lang w:val="en-US"/>
              </w:rPr>
            </w:pPr>
          </w:p>
        </w:tc>
      </w:tr>
      <w:tr w:rsidR="0042042B" w:rsidRPr="00BC623C" w:rsidTr="00CF371E">
        <w:trPr>
          <w:trHeight w:val="279"/>
        </w:trPr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Overall CSR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Overall ESG performance score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 xml:space="preserve">ASSET4 </w:t>
            </w:r>
          </w:p>
        </w:tc>
      </w:tr>
      <w:tr w:rsidR="0042042B" w:rsidRPr="004F073F" w:rsidTr="00CF371E">
        <w:trPr>
          <w:trHeight w:val="269"/>
        </w:trPr>
        <w:tc>
          <w:tcPr>
            <w:tcW w:w="992" w:type="pct"/>
          </w:tcPr>
          <w:p w:rsidR="0042042B" w:rsidRPr="004F073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4F073F">
              <w:rPr>
                <w:rFonts w:cs="Times New Roman"/>
                <w:sz w:val="20"/>
                <w:szCs w:val="20"/>
                <w:lang w:val="en-US"/>
              </w:rPr>
              <w:t>Environmental CSR</w:t>
            </w:r>
          </w:p>
        </w:tc>
        <w:tc>
          <w:tcPr>
            <w:tcW w:w="3093" w:type="pct"/>
          </w:tcPr>
          <w:p w:rsidR="0042042B" w:rsidRPr="004F073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4F073F">
              <w:rPr>
                <w:rFonts w:cs="Times New Roman"/>
                <w:sz w:val="20"/>
                <w:szCs w:val="20"/>
                <w:lang w:val="en-US"/>
              </w:rPr>
              <w:t>Environmental CSR performance score</w:t>
            </w:r>
          </w:p>
        </w:tc>
        <w:tc>
          <w:tcPr>
            <w:tcW w:w="915" w:type="pct"/>
          </w:tcPr>
          <w:p w:rsidR="0042042B" w:rsidRPr="004F073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4F073F">
              <w:rPr>
                <w:rFonts w:cs="Times New Roman"/>
                <w:sz w:val="20"/>
                <w:szCs w:val="20"/>
                <w:lang w:val="en-US"/>
              </w:rPr>
              <w:t>ASSET4</w:t>
            </w:r>
          </w:p>
        </w:tc>
      </w:tr>
      <w:tr w:rsidR="0042042B" w:rsidRPr="00BC623C" w:rsidTr="00CF371E">
        <w:trPr>
          <w:trHeight w:val="231"/>
        </w:trPr>
        <w:tc>
          <w:tcPr>
            <w:tcW w:w="992" w:type="pct"/>
          </w:tcPr>
          <w:p w:rsidR="0042042B" w:rsidRPr="00BC623C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Social CSR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Social CSR performance score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ASSET4</w:t>
            </w:r>
          </w:p>
        </w:tc>
      </w:tr>
      <w:tr w:rsidR="0042042B" w:rsidRPr="004F073F" w:rsidTr="00CF371E">
        <w:trPr>
          <w:trHeight w:val="387"/>
        </w:trPr>
        <w:tc>
          <w:tcPr>
            <w:tcW w:w="992" w:type="pct"/>
          </w:tcPr>
          <w:p w:rsidR="0042042B" w:rsidRPr="004F073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4F073F">
              <w:rPr>
                <w:rFonts w:cs="Times New Roman"/>
                <w:sz w:val="20"/>
                <w:szCs w:val="20"/>
                <w:lang w:val="en-US"/>
              </w:rPr>
              <w:t>Corporate governance CSR</w:t>
            </w:r>
          </w:p>
        </w:tc>
        <w:tc>
          <w:tcPr>
            <w:tcW w:w="3093" w:type="pct"/>
          </w:tcPr>
          <w:p w:rsidR="0042042B" w:rsidRPr="004F073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4F073F">
              <w:rPr>
                <w:rFonts w:cs="Times New Roman"/>
                <w:sz w:val="20"/>
                <w:szCs w:val="20"/>
                <w:lang w:val="en-US"/>
              </w:rPr>
              <w:t>Corporate governance CSR performance score</w:t>
            </w:r>
          </w:p>
        </w:tc>
        <w:tc>
          <w:tcPr>
            <w:tcW w:w="915" w:type="pct"/>
          </w:tcPr>
          <w:p w:rsidR="0042042B" w:rsidRPr="004F073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4F073F">
              <w:rPr>
                <w:rFonts w:cs="Times New Roman"/>
                <w:sz w:val="20"/>
                <w:szCs w:val="20"/>
                <w:lang w:val="en-US"/>
              </w:rPr>
              <w:t>ASSET4</w:t>
            </w:r>
          </w:p>
        </w:tc>
      </w:tr>
      <w:tr w:rsidR="0042042B" w:rsidRPr="00D00482" w:rsidTr="00CF371E">
        <w:trPr>
          <w:trHeight w:val="387"/>
        </w:trPr>
        <w:tc>
          <w:tcPr>
            <w:tcW w:w="992" w:type="pct"/>
          </w:tcPr>
          <w:p w:rsidR="0042042B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</w:p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  <w:t>Control variable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15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Total assets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Book value of assets in billion US dollars (WC07230)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3C1E0F">
              <w:rPr>
                <w:rFonts w:cs="Times New Roman"/>
                <w:sz w:val="20"/>
                <w:szCs w:val="20"/>
                <w:lang w:val="en-US"/>
              </w:rPr>
              <w:t>Worldscope</w:t>
            </w:r>
            <w:proofErr w:type="spellEnd"/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R&amp;D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Research and development expenses divided by net sales or revenues (WC01201/WC01001)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3C1E0F">
              <w:rPr>
                <w:rFonts w:cs="Times New Roman"/>
                <w:sz w:val="20"/>
                <w:szCs w:val="20"/>
                <w:lang w:val="en-US"/>
              </w:rPr>
              <w:t>Worldscope</w:t>
            </w:r>
            <w:proofErr w:type="spellEnd"/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Leverage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Sum of long and short term debt divided by the book value of asset (WC03255/WC02999)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3C1E0F">
              <w:rPr>
                <w:rFonts w:cs="Times New Roman"/>
                <w:sz w:val="20"/>
                <w:szCs w:val="20"/>
                <w:lang w:val="en-US"/>
              </w:rPr>
              <w:t>Worldscope</w:t>
            </w:r>
            <w:proofErr w:type="spellEnd"/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M/B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Market value of equity divided by the book value of equity (WC02999-WC03255)/(WC03501)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3C1E0F">
              <w:rPr>
                <w:rFonts w:cs="Times New Roman"/>
                <w:sz w:val="20"/>
                <w:szCs w:val="20"/>
                <w:lang w:val="en-US"/>
              </w:rPr>
              <w:t>Worldscope</w:t>
            </w:r>
            <w:proofErr w:type="spellEnd"/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Tangible resources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Property, plant &amp; equipment divided by net sales or revenues (WC02501/WC01001)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3C1E0F">
              <w:rPr>
                <w:rFonts w:cs="Times New Roman"/>
                <w:sz w:val="20"/>
                <w:szCs w:val="20"/>
                <w:lang w:val="en-US"/>
              </w:rPr>
              <w:t>Worldscope</w:t>
            </w:r>
            <w:proofErr w:type="spellEnd"/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Cash flow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Cash flow divided by book value of assets</w:t>
            </w:r>
          </w:p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(WC04201/WC02999)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3C1E0F">
              <w:rPr>
                <w:rFonts w:cs="Times New Roman"/>
                <w:sz w:val="20"/>
                <w:szCs w:val="20"/>
                <w:lang w:val="en-US"/>
              </w:rPr>
              <w:t>Worldscope</w:t>
            </w:r>
            <w:proofErr w:type="spellEnd"/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 xml:space="preserve">Log of home country GDP </w:t>
            </w:r>
            <w:r>
              <w:rPr>
                <w:rFonts w:cs="Times New Roman"/>
                <w:sz w:val="20"/>
                <w:szCs w:val="20"/>
                <w:lang w:val="en-US"/>
              </w:rPr>
              <w:t>per capita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The natural logarithm of country’s real GDP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per capita</w:t>
            </w:r>
            <w:r w:rsidRPr="003C1E0F">
              <w:rPr>
                <w:rFonts w:cs="Times New Roman"/>
                <w:sz w:val="20"/>
                <w:szCs w:val="20"/>
                <w:lang w:val="en-US"/>
              </w:rPr>
              <w:t xml:space="preserve"> in US $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W</w:t>
            </w:r>
            <w:r>
              <w:rPr>
                <w:rFonts w:cs="Times New Roman"/>
                <w:sz w:val="20"/>
                <w:szCs w:val="20"/>
                <w:lang w:val="en-US"/>
              </w:rPr>
              <w:t>orld Development Indicators (WDI)</w:t>
            </w:r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 xml:space="preserve">Host country market openness 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 xml:space="preserve">Country’s imports and exports divided by GDP 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WDI</w:t>
            </w:r>
          </w:p>
        </w:tc>
      </w:tr>
      <w:tr w:rsidR="0042042B" w:rsidRPr="00D00482" w:rsidTr="00CF371E">
        <w:tc>
          <w:tcPr>
            <w:tcW w:w="992" w:type="pct"/>
          </w:tcPr>
          <w:p w:rsidR="0042042B" w:rsidRPr="003C1E0F" w:rsidRDefault="0042042B" w:rsidP="00CF371E">
            <w:pPr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 xml:space="preserve">Host country ores and metals exports </w:t>
            </w:r>
          </w:p>
        </w:tc>
        <w:tc>
          <w:tcPr>
            <w:tcW w:w="3093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Country’s ores and metals exports divided by merchandise exports, expressed in percentage</w:t>
            </w:r>
          </w:p>
        </w:tc>
        <w:tc>
          <w:tcPr>
            <w:tcW w:w="915" w:type="pct"/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WDI</w:t>
            </w:r>
          </w:p>
        </w:tc>
      </w:tr>
      <w:tr w:rsidR="0042042B" w:rsidRPr="00D00482" w:rsidTr="00CF371E">
        <w:tc>
          <w:tcPr>
            <w:tcW w:w="992" w:type="pct"/>
            <w:tcBorders>
              <w:bottom w:val="thickThinSmallGap" w:sz="12" w:space="0" w:color="auto"/>
            </w:tcBorders>
          </w:tcPr>
          <w:p w:rsidR="0042042B" w:rsidRPr="003C1E0F" w:rsidRDefault="0042042B" w:rsidP="00CF371E">
            <w:pPr>
              <w:rPr>
                <w:rFonts w:cs="Times New Roman"/>
                <w:i/>
                <w:sz w:val="20"/>
                <w:szCs w:val="20"/>
                <w:u w:val="single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Host country unemployment rate</w:t>
            </w:r>
          </w:p>
        </w:tc>
        <w:tc>
          <w:tcPr>
            <w:tcW w:w="3093" w:type="pct"/>
            <w:tcBorders>
              <w:bottom w:val="thickThinSmallGap" w:sz="12" w:space="0" w:color="auto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The unemployment rate of the country, expressed in percentage</w:t>
            </w:r>
          </w:p>
        </w:tc>
        <w:tc>
          <w:tcPr>
            <w:tcW w:w="915" w:type="pct"/>
            <w:tcBorders>
              <w:bottom w:val="thickThinSmallGap" w:sz="12" w:space="0" w:color="auto"/>
            </w:tcBorders>
          </w:tcPr>
          <w:p w:rsidR="0042042B" w:rsidRPr="003C1E0F" w:rsidRDefault="0042042B" w:rsidP="00CF371E">
            <w:pPr>
              <w:jc w:val="both"/>
              <w:rPr>
                <w:rFonts w:cs="Times New Roman"/>
                <w:sz w:val="20"/>
                <w:szCs w:val="20"/>
                <w:lang w:val="en-US"/>
              </w:rPr>
            </w:pPr>
            <w:r w:rsidRPr="003C1E0F">
              <w:rPr>
                <w:rFonts w:cs="Times New Roman"/>
                <w:sz w:val="20"/>
                <w:szCs w:val="20"/>
                <w:lang w:val="en-US"/>
              </w:rPr>
              <w:t>WDI</w:t>
            </w:r>
          </w:p>
        </w:tc>
      </w:tr>
    </w:tbl>
    <w:p w:rsidR="002F0F5E" w:rsidRDefault="0042042B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d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3F44"/>
    <w:multiLevelType w:val="hybridMultilevel"/>
    <w:tmpl w:val="800A9C4E"/>
    <w:lvl w:ilvl="0" w:tplc="71EE34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 w15:restartNumberingAfterBreak="0">
    <w:nsid w:val="09595B3F"/>
    <w:multiLevelType w:val="hybridMultilevel"/>
    <w:tmpl w:val="6C0A2F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040F8"/>
    <w:multiLevelType w:val="multilevel"/>
    <w:tmpl w:val="57F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73962"/>
    <w:multiLevelType w:val="hybridMultilevel"/>
    <w:tmpl w:val="429A81B2"/>
    <w:lvl w:ilvl="0" w:tplc="702E38B8">
      <w:start w:val="1"/>
      <w:numFmt w:val="upperRoman"/>
      <w:suff w:val="space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F906D8"/>
    <w:multiLevelType w:val="multilevel"/>
    <w:tmpl w:val="95D48D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597008B"/>
    <w:multiLevelType w:val="multilevel"/>
    <w:tmpl w:val="A4E0A7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75C55F8"/>
    <w:multiLevelType w:val="hybridMultilevel"/>
    <w:tmpl w:val="FF40FB94"/>
    <w:lvl w:ilvl="0" w:tplc="969EB7B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20C97"/>
    <w:multiLevelType w:val="hybridMultilevel"/>
    <w:tmpl w:val="0C8A4FA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93115"/>
    <w:multiLevelType w:val="hybridMultilevel"/>
    <w:tmpl w:val="EDD81096"/>
    <w:lvl w:ilvl="0" w:tplc="D862B9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ED56C95"/>
    <w:multiLevelType w:val="hybridMultilevel"/>
    <w:tmpl w:val="3668AE22"/>
    <w:lvl w:ilvl="0" w:tplc="2864D45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7030C"/>
    <w:multiLevelType w:val="multilevel"/>
    <w:tmpl w:val="4AD082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AA87388"/>
    <w:multiLevelType w:val="multilevel"/>
    <w:tmpl w:val="13A873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775077F9"/>
    <w:multiLevelType w:val="hybridMultilevel"/>
    <w:tmpl w:val="002AB4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A0B66"/>
    <w:multiLevelType w:val="hybridMultilevel"/>
    <w:tmpl w:val="5AEEC874"/>
    <w:lvl w:ilvl="0" w:tplc="8520C1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13"/>
  </w:num>
  <w:num w:numId="6">
    <w:abstractNumId w:val="3"/>
  </w:num>
  <w:num w:numId="7">
    <w:abstractNumId w:val="1"/>
  </w:num>
  <w:num w:numId="8">
    <w:abstractNumId w:val="12"/>
  </w:num>
  <w:num w:numId="9">
    <w:abstractNumId w:val="2"/>
  </w:num>
  <w:num w:numId="10">
    <w:abstractNumId w:val="10"/>
  </w:num>
  <w:num w:numId="11">
    <w:abstractNumId w:val="11"/>
  </w:num>
  <w:num w:numId="12">
    <w:abstractNumId w:val="4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42B"/>
    <w:rsid w:val="0021090F"/>
    <w:rsid w:val="0042042B"/>
    <w:rsid w:val="00C52827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010035-7267-4F43-9BCC-E03CB98D8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42B"/>
    <w:rPr>
      <w:rFonts w:eastAsiaTheme="minorEastAsia"/>
      <w:lang w:val="en-GB"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04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04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042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2042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04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042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42042B"/>
    <w:rPr>
      <w:rFonts w:asciiTheme="majorHAnsi" w:eastAsiaTheme="majorEastAsia" w:hAnsiTheme="majorHAnsi" w:cstheme="majorBidi"/>
      <w:i/>
      <w:iCs/>
      <w:color w:val="2E74B5" w:themeColor="accent1" w:themeShade="BF"/>
      <w:lang w:val="en-GB"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42042B"/>
    <w:rPr>
      <w:rFonts w:asciiTheme="majorHAnsi" w:eastAsiaTheme="majorEastAsia" w:hAnsiTheme="majorHAnsi" w:cstheme="majorBidi"/>
      <w:color w:val="1F4D78" w:themeColor="accent1" w:themeShade="7F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2B"/>
    <w:rPr>
      <w:rFonts w:ascii="Segoe UI" w:eastAsiaTheme="minorEastAsia" w:hAnsi="Segoe UI" w:cs="Segoe UI"/>
      <w:sz w:val="18"/>
      <w:szCs w:val="18"/>
      <w:lang w:val="en-GB" w:eastAsia="zh-CN"/>
    </w:rPr>
  </w:style>
  <w:style w:type="paragraph" w:styleId="PlainText">
    <w:name w:val="Plain Text"/>
    <w:basedOn w:val="Normal"/>
    <w:link w:val="PlainTextChar"/>
    <w:uiPriority w:val="99"/>
    <w:unhideWhenUsed/>
    <w:rsid w:val="0042042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2042B"/>
    <w:rPr>
      <w:rFonts w:ascii="Calibri" w:eastAsiaTheme="minorEastAsia" w:hAnsi="Calibri"/>
      <w:szCs w:val="21"/>
      <w:lang w:val="en-GB" w:eastAsia="zh-CN"/>
    </w:rPr>
  </w:style>
  <w:style w:type="paragraph" w:customStyle="1" w:styleId="Level3heading">
    <w:name w:val="Level 3 heading"/>
    <w:link w:val="Level3headingChar"/>
    <w:qFormat/>
    <w:rsid w:val="0042042B"/>
    <w:rPr>
      <w:rFonts w:ascii="Times New Roman" w:eastAsia="Times New Roman" w:hAnsi="Times New Roman" w:cstheme="majorBidi"/>
      <w:color w:val="0D0D0D" w:themeColor="text1" w:themeTint="F2"/>
      <w:sz w:val="24"/>
      <w:szCs w:val="24"/>
      <w:lang w:val="en-GB" w:eastAsia="zh-CN"/>
    </w:rPr>
  </w:style>
  <w:style w:type="character" w:customStyle="1" w:styleId="Level3headingChar">
    <w:name w:val="Level 3 heading Char"/>
    <w:basedOn w:val="Heading3Char"/>
    <w:link w:val="Level3heading"/>
    <w:rsid w:val="0042042B"/>
    <w:rPr>
      <w:rFonts w:ascii="Times New Roman" w:eastAsia="Times New Roman" w:hAnsi="Times New Roman" w:cstheme="majorBidi"/>
      <w:color w:val="0D0D0D" w:themeColor="text1" w:themeTint="F2"/>
      <w:sz w:val="24"/>
      <w:szCs w:val="24"/>
      <w:lang w:val="en-GB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2042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42B"/>
    <w:rPr>
      <w:rFonts w:eastAsiaTheme="minorEastAsia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42042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20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4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42B"/>
    <w:rPr>
      <w:rFonts w:eastAsiaTheme="minorEastAsia"/>
      <w:sz w:val="20"/>
      <w:szCs w:val="20"/>
      <w:lang w:val="en-GB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42B"/>
    <w:rPr>
      <w:rFonts w:eastAsiaTheme="minorEastAsia"/>
      <w:b/>
      <w:bCs/>
      <w:sz w:val="20"/>
      <w:szCs w:val="20"/>
      <w:lang w:val="en-GB" w:eastAsia="zh-CN"/>
    </w:rPr>
  </w:style>
  <w:style w:type="paragraph" w:customStyle="1" w:styleId="Level2heading">
    <w:name w:val="Level 2 heading"/>
    <w:basedOn w:val="Heading2"/>
    <w:link w:val="Level2headingChar"/>
    <w:qFormat/>
    <w:rsid w:val="0042042B"/>
    <w:rPr>
      <w:rFonts w:ascii="Times New Roman" w:hAnsi="Times New Roman"/>
      <w:b/>
      <w:color w:val="171717" w:themeColor="background2" w:themeShade="1A"/>
      <w:sz w:val="28"/>
    </w:rPr>
  </w:style>
  <w:style w:type="character" w:customStyle="1" w:styleId="Level2headingChar">
    <w:name w:val="Level 2 heading Char"/>
    <w:basedOn w:val="Heading2Char"/>
    <w:link w:val="Level2heading"/>
    <w:rsid w:val="0042042B"/>
    <w:rPr>
      <w:rFonts w:ascii="Times New Roman" w:eastAsiaTheme="majorEastAsia" w:hAnsi="Times New Roman" w:cstheme="majorBidi"/>
      <w:b/>
      <w:color w:val="171717" w:themeColor="background2" w:themeShade="1A"/>
      <w:sz w:val="28"/>
      <w:szCs w:val="26"/>
      <w:lang w:val="en-GB" w:eastAsia="zh-CN"/>
    </w:rPr>
  </w:style>
  <w:style w:type="paragraph" w:styleId="Header">
    <w:name w:val="header"/>
    <w:basedOn w:val="Normal"/>
    <w:link w:val="HeaderChar"/>
    <w:uiPriority w:val="99"/>
    <w:unhideWhenUsed/>
    <w:rsid w:val="00420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42B"/>
    <w:rPr>
      <w:rFonts w:eastAsiaTheme="minorEastAsia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420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42B"/>
    <w:rPr>
      <w:rFonts w:eastAsiaTheme="minorEastAsia"/>
      <w:lang w:val="en-GB" w:eastAsia="zh-CN"/>
    </w:rPr>
  </w:style>
  <w:style w:type="paragraph" w:customStyle="1" w:styleId="EndNoteBibliographyTitle">
    <w:name w:val="EndNote Bibliography Title"/>
    <w:basedOn w:val="Normal"/>
    <w:link w:val="EndNoteBibliographyTitleChar"/>
    <w:rsid w:val="0042042B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042B"/>
    <w:rPr>
      <w:rFonts w:ascii="Times New Roman" w:eastAsiaTheme="minorEastAsia" w:hAnsi="Times New Roman" w:cs="Times New Roman"/>
      <w:noProof/>
      <w:sz w:val="24"/>
      <w:lang w:val="en-GB" w:eastAsia="zh-CN"/>
    </w:rPr>
  </w:style>
  <w:style w:type="paragraph" w:customStyle="1" w:styleId="EndNoteBibliography">
    <w:name w:val="EndNote Bibliography"/>
    <w:basedOn w:val="Normal"/>
    <w:link w:val="EndNoteBibliographyChar"/>
    <w:rsid w:val="0042042B"/>
    <w:pPr>
      <w:spacing w:line="240" w:lineRule="auto"/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42042B"/>
    <w:rPr>
      <w:rFonts w:ascii="Times New Roman" w:eastAsiaTheme="minorEastAsia" w:hAnsi="Times New Roman" w:cs="Times New Roman"/>
      <w:noProof/>
      <w:sz w:val="24"/>
      <w:lang w:val="en-GB" w:eastAsia="zh-CN"/>
    </w:rPr>
  </w:style>
  <w:style w:type="table" w:styleId="TableGrid">
    <w:name w:val="Table Grid"/>
    <w:basedOn w:val="TableNormal"/>
    <w:uiPriority w:val="39"/>
    <w:rsid w:val="0042042B"/>
    <w:pPr>
      <w:spacing w:after="0" w:line="240" w:lineRule="auto"/>
    </w:pPr>
    <w:rPr>
      <w:rFonts w:ascii="Times New Roman" w:eastAsia="SimSun" w:hAnsi="Times New Roman"/>
      <w:color w:val="000000" w:themeColor="text1"/>
      <w:lang w:val="en-GB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04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2042B"/>
    <w:pPr>
      <w:ind w:left="720"/>
      <w:contextualSpacing/>
    </w:pPr>
  </w:style>
  <w:style w:type="paragraph" w:customStyle="1" w:styleId="Default">
    <w:name w:val="Default"/>
    <w:rsid w:val="0042042B"/>
    <w:pPr>
      <w:autoSpaceDE w:val="0"/>
      <w:autoSpaceDN w:val="0"/>
      <w:adjustRightInd w:val="0"/>
      <w:spacing w:after="0" w:line="240" w:lineRule="auto"/>
    </w:pPr>
    <w:rPr>
      <w:rFonts w:ascii="Code" w:eastAsiaTheme="minorEastAsia" w:hAnsi="Code" w:cs="Code"/>
      <w:color w:val="000000"/>
      <w:sz w:val="24"/>
      <w:szCs w:val="24"/>
      <w:lang w:eastAsia="zh-CN"/>
    </w:rPr>
  </w:style>
  <w:style w:type="character" w:customStyle="1" w:styleId="details">
    <w:name w:val="details"/>
    <w:basedOn w:val="DefaultParagraphFont"/>
    <w:rsid w:val="0042042B"/>
  </w:style>
  <w:style w:type="paragraph" w:styleId="Revision">
    <w:name w:val="Revision"/>
    <w:hidden/>
    <w:uiPriority w:val="99"/>
    <w:semiHidden/>
    <w:rsid w:val="0042042B"/>
    <w:pPr>
      <w:spacing w:after="0" w:line="240" w:lineRule="auto"/>
    </w:pPr>
    <w:rPr>
      <w:rFonts w:eastAsiaTheme="minorEastAsia"/>
      <w:lang w:val="en-GB" w:eastAsia="zh-CN"/>
    </w:rPr>
  </w:style>
  <w:style w:type="paragraph" w:styleId="EndnoteText">
    <w:name w:val="endnote text"/>
    <w:basedOn w:val="Normal"/>
    <w:link w:val="EndnoteTextChar"/>
    <w:uiPriority w:val="99"/>
    <w:unhideWhenUsed/>
    <w:rsid w:val="0042042B"/>
    <w:pPr>
      <w:snapToGrid w:val="0"/>
    </w:pPr>
    <w:rPr>
      <w:rFonts w:eastAsia="Times New Roman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2042B"/>
    <w:rPr>
      <w:rFonts w:eastAsia="Times New Roman"/>
      <w:lang w:val="en-GB" w:eastAsia="zh-CN"/>
    </w:rPr>
  </w:style>
  <w:style w:type="character" w:styleId="EndnoteReference">
    <w:name w:val="endnote reference"/>
    <w:basedOn w:val="DefaultParagraphFont"/>
    <w:uiPriority w:val="99"/>
    <w:semiHidden/>
    <w:unhideWhenUsed/>
    <w:rsid w:val="0042042B"/>
    <w:rPr>
      <w:vertAlign w:val="superscript"/>
    </w:rPr>
  </w:style>
  <w:style w:type="character" w:customStyle="1" w:styleId="1">
    <w:name w:val="未处理的提及1"/>
    <w:basedOn w:val="DefaultParagraphFont"/>
    <w:uiPriority w:val="99"/>
    <w:semiHidden/>
    <w:unhideWhenUsed/>
    <w:rsid w:val="0042042B"/>
    <w:rPr>
      <w:color w:val="605E5C"/>
      <w:shd w:val="clear" w:color="auto" w:fill="E1DFDD"/>
    </w:rPr>
  </w:style>
  <w:style w:type="character" w:customStyle="1" w:styleId="2">
    <w:name w:val="未处理的提及2"/>
    <w:basedOn w:val="DefaultParagraphFont"/>
    <w:uiPriority w:val="99"/>
    <w:semiHidden/>
    <w:unhideWhenUsed/>
    <w:rsid w:val="0042042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0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813</Words>
  <Characters>4639</Characters>
  <Application>Microsoft Office Word</Application>
  <DocSecurity>0</DocSecurity>
  <Lines>38</Lines>
  <Paragraphs>10</Paragraphs>
  <ScaleCrop>false</ScaleCrop>
  <Company>Springer Nature IT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2022-07-25T05:41:00Z</dcterms:created>
  <dcterms:modified xsi:type="dcterms:W3CDTF">2022-07-25T05:41:00Z</dcterms:modified>
</cp:coreProperties>
</file>