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8B44" w14:textId="04EE4643" w:rsidR="009D68F5" w:rsidRPr="00F0254B" w:rsidRDefault="009D68F5" w:rsidP="00B9512F">
      <w:pPr>
        <w:pStyle w:val="3"/>
        <w:rPr>
          <w:rFonts w:eastAsiaTheme="minorEastAsia"/>
          <w:color w:val="auto"/>
        </w:rPr>
      </w:pPr>
      <w:r w:rsidRPr="00F0254B">
        <w:rPr>
          <w:rFonts w:eastAsiaTheme="minorEastAsia"/>
          <w:color w:val="auto"/>
        </w:rPr>
        <w:t>Supplementary F</w:t>
      </w:r>
      <w:r w:rsidRPr="00F0254B">
        <w:rPr>
          <w:rFonts w:eastAsiaTheme="minorEastAsia" w:hint="eastAsia"/>
          <w:color w:val="auto"/>
        </w:rPr>
        <w:t>ig</w:t>
      </w:r>
      <w:r w:rsidRPr="00F0254B">
        <w:rPr>
          <w:rFonts w:eastAsiaTheme="minorEastAsia"/>
          <w:color w:val="auto"/>
        </w:rPr>
        <w:t>ure</w:t>
      </w:r>
      <w:r w:rsidRPr="00F0254B">
        <w:rPr>
          <w:rFonts w:eastAsiaTheme="minorEastAsia" w:hint="eastAsia"/>
          <w:color w:val="auto"/>
        </w:rPr>
        <w:t xml:space="preserve"> </w:t>
      </w:r>
      <w:r w:rsidRPr="00F0254B">
        <w:rPr>
          <w:rFonts w:eastAsiaTheme="minorEastAsia"/>
          <w:color w:val="auto"/>
        </w:rPr>
        <w:t>legends</w:t>
      </w:r>
    </w:p>
    <w:p w14:paraId="038C2D73" w14:textId="58527AE5" w:rsidR="00B9512F" w:rsidRPr="00F0254B" w:rsidRDefault="00B9512F" w:rsidP="00B9512F">
      <w:pPr>
        <w:pStyle w:val="3"/>
        <w:rPr>
          <w:color w:val="auto"/>
        </w:rPr>
      </w:pPr>
      <w:r w:rsidRPr="00F0254B">
        <w:rPr>
          <w:color w:val="auto"/>
        </w:rPr>
        <w:t>Fig</w:t>
      </w:r>
      <w:r w:rsidR="00816B32" w:rsidRPr="00F0254B">
        <w:rPr>
          <w:rFonts w:eastAsiaTheme="minorEastAsia" w:hint="eastAsia"/>
          <w:color w:val="auto"/>
        </w:rPr>
        <w:t>.</w:t>
      </w:r>
      <w:r w:rsidR="003426C1" w:rsidRPr="00F0254B">
        <w:rPr>
          <w:rFonts w:eastAsiaTheme="minorEastAsia" w:hint="eastAsia"/>
          <w:color w:val="auto"/>
        </w:rPr>
        <w:t xml:space="preserve"> </w:t>
      </w:r>
      <w:r w:rsidR="00724696" w:rsidRPr="00F0254B">
        <w:rPr>
          <w:rFonts w:eastAsiaTheme="minorEastAsia"/>
          <w:color w:val="auto"/>
        </w:rPr>
        <w:t>S</w:t>
      </w:r>
      <w:r w:rsidRPr="00F0254B">
        <w:rPr>
          <w:rFonts w:hint="eastAsia"/>
          <w:color w:val="auto"/>
        </w:rPr>
        <w:t>1</w:t>
      </w:r>
      <w:r w:rsidR="00816B32" w:rsidRPr="00F0254B">
        <w:rPr>
          <w:rFonts w:eastAsiaTheme="minorEastAsia" w:hint="eastAsia"/>
          <w:color w:val="auto"/>
        </w:rPr>
        <w:t xml:space="preserve"> </w:t>
      </w:r>
      <w:r w:rsidRPr="00F0254B">
        <w:rPr>
          <w:color w:val="auto"/>
        </w:rPr>
        <w:t>Physical association of Src and IRS4 mediated by SH3 and PH domain interaction.</w:t>
      </w:r>
    </w:p>
    <w:p w14:paraId="0BBB32FD" w14:textId="77777777" w:rsidR="00724696" w:rsidRDefault="00B9512F" w:rsidP="00724696">
      <w:pPr>
        <w:ind w:firstLineChars="0" w:firstLine="0"/>
      </w:pPr>
      <w:r w:rsidRPr="00B9512F">
        <w:t>(</w:t>
      </w:r>
      <w:r w:rsidRPr="00B9512F">
        <w:rPr>
          <w:rFonts w:hint="eastAsia"/>
        </w:rPr>
        <w:t>A</w:t>
      </w:r>
      <w:r w:rsidRPr="00B9512F">
        <w:t>)</w:t>
      </w:r>
      <w:r w:rsidR="00724696">
        <w:t xml:space="preserve"> </w:t>
      </w:r>
      <w:r w:rsidRPr="00B9512F">
        <w:t>Schematic representation of the domain structures of human C-Src and IRS4, along with Src deletion mutants (ΔH1</w:t>
      </w:r>
      <w:r w:rsidRPr="00B9512F">
        <w:rPr>
          <w:rFonts w:hint="eastAsia"/>
        </w:rPr>
        <w:t>,</w:t>
      </w:r>
      <w:r w:rsidRPr="00B9512F">
        <w:t xml:space="preserve"> ΔSH2</w:t>
      </w:r>
      <w:r w:rsidRPr="00B9512F">
        <w:rPr>
          <w:rFonts w:hint="eastAsia"/>
        </w:rPr>
        <w:t>,</w:t>
      </w:r>
      <w:r w:rsidRPr="00B9512F">
        <w:t xml:space="preserve"> ΔSH3</w:t>
      </w:r>
      <w:r w:rsidRPr="00B9512F">
        <w:rPr>
          <w:rFonts w:hint="eastAsia"/>
        </w:rPr>
        <w:t>,</w:t>
      </w:r>
      <w:r w:rsidRPr="00B9512F">
        <w:t xml:space="preserve"> </w:t>
      </w:r>
      <w:r w:rsidR="00724696">
        <w:t>or</w:t>
      </w:r>
      <w:r w:rsidRPr="00B9512F">
        <w:rPr>
          <w:rFonts w:hint="eastAsia"/>
        </w:rPr>
        <w:t xml:space="preserve"> </w:t>
      </w:r>
      <w:r w:rsidRPr="00B9512F">
        <w:t>ΔSH4). Numbers indicate amino acid positions.</w:t>
      </w:r>
    </w:p>
    <w:p w14:paraId="3857AB23" w14:textId="77777777" w:rsidR="00724696" w:rsidRDefault="00B9512F" w:rsidP="00724696">
      <w:pPr>
        <w:ind w:firstLineChars="0" w:firstLine="0"/>
      </w:pPr>
      <w:r w:rsidRPr="00B9512F">
        <w:t>(B) GST pull-down assays were performed using GST-tagged Src or its deletion mutants incubated with</w:t>
      </w:r>
      <w:r w:rsidRPr="00B9512F">
        <w:rPr>
          <w:rFonts w:hint="eastAsia"/>
        </w:rPr>
        <w:t xml:space="preserve"> </w:t>
      </w:r>
      <w:r w:rsidRPr="00B9512F">
        <w:t xml:space="preserve">lysates from </w:t>
      </w:r>
      <w:r w:rsidRPr="00B9512F">
        <w:rPr>
          <w:rFonts w:hint="eastAsia"/>
        </w:rPr>
        <w:t xml:space="preserve">293T </w:t>
      </w:r>
      <w:r w:rsidRPr="00B9512F">
        <w:t>cells expressing Flag-IRS4.</w:t>
      </w:r>
    </w:p>
    <w:p w14:paraId="29F4A44C" w14:textId="77777777" w:rsidR="00724696" w:rsidRDefault="00B9512F" w:rsidP="00724696">
      <w:pPr>
        <w:ind w:firstLineChars="0" w:firstLine="0"/>
      </w:pPr>
      <w:r w:rsidRPr="00B9512F">
        <w:t xml:space="preserve">(C) Schematic diagrams of IRS4 truncated fragments, including the PH-domain, PTB-domain, and C-domain, relative to full-length Src. </w:t>
      </w:r>
    </w:p>
    <w:p w14:paraId="33B838AB" w14:textId="294FB6ED" w:rsidR="00B9512F" w:rsidRDefault="00B9512F" w:rsidP="00724696">
      <w:pPr>
        <w:ind w:firstLineChars="0" w:firstLine="0"/>
      </w:pPr>
      <w:r w:rsidRPr="00B9512F">
        <w:t>(D)Recombinant GST or GST-Src proteins were incubated with His-HA-tagged IRS4 fragments (PH, PTB, or C-domain).</w:t>
      </w:r>
    </w:p>
    <w:p w14:paraId="7229683A" w14:textId="77777777" w:rsidR="00724696" w:rsidRPr="00B9512F" w:rsidRDefault="00724696" w:rsidP="00724696">
      <w:pPr>
        <w:ind w:firstLineChars="0" w:firstLine="0"/>
      </w:pPr>
    </w:p>
    <w:p w14:paraId="79EE9F4E" w14:textId="461FCFD8" w:rsidR="00B9512F" w:rsidRPr="00F0254B" w:rsidRDefault="00B9512F" w:rsidP="00B9512F">
      <w:pPr>
        <w:pStyle w:val="3"/>
        <w:rPr>
          <w:color w:val="auto"/>
        </w:rPr>
      </w:pPr>
      <w:r w:rsidRPr="00F0254B">
        <w:rPr>
          <w:rFonts w:eastAsia="等线" w:hint="eastAsia"/>
          <w:color w:val="auto"/>
        </w:rPr>
        <w:t>Fig</w:t>
      </w:r>
      <w:r w:rsidR="00816B32" w:rsidRPr="00F0254B">
        <w:rPr>
          <w:rFonts w:eastAsia="等线" w:hint="eastAsia"/>
          <w:color w:val="auto"/>
        </w:rPr>
        <w:t>.</w:t>
      </w:r>
      <w:r w:rsidR="003426C1" w:rsidRPr="00F0254B">
        <w:rPr>
          <w:rFonts w:eastAsia="等线" w:hint="eastAsia"/>
          <w:color w:val="auto"/>
        </w:rPr>
        <w:t xml:space="preserve"> </w:t>
      </w:r>
      <w:r w:rsidR="00724696" w:rsidRPr="00F0254B">
        <w:rPr>
          <w:rFonts w:eastAsia="等线"/>
          <w:color w:val="auto"/>
        </w:rPr>
        <w:t>S</w:t>
      </w:r>
      <w:r w:rsidRPr="00F0254B">
        <w:rPr>
          <w:rFonts w:hint="eastAsia"/>
          <w:color w:val="auto"/>
        </w:rPr>
        <w:t>2</w:t>
      </w:r>
      <w:r w:rsidRPr="00F0254B">
        <w:rPr>
          <w:color w:val="auto"/>
        </w:rPr>
        <w:t xml:space="preserve"> Phosphosite analysis of IRS4</w:t>
      </w:r>
    </w:p>
    <w:p w14:paraId="39631D19" w14:textId="77777777" w:rsidR="00237D67" w:rsidRDefault="00B9512F" w:rsidP="00724696">
      <w:pPr>
        <w:ind w:firstLineChars="0" w:firstLine="0"/>
      </w:pPr>
      <w:r w:rsidRPr="00B9512F">
        <w:rPr>
          <w:rFonts w:hint="eastAsia"/>
        </w:rPr>
        <w:t>(A)</w:t>
      </w:r>
      <w:r w:rsidRPr="00B9512F">
        <w:t xml:space="preserve">Identification of Src-induced phosphorylation sites on IRS4 by mass spectrometry. </w:t>
      </w:r>
      <w:r w:rsidR="00210A86" w:rsidRPr="00B9512F">
        <w:t>(</w:t>
      </w:r>
      <w:r w:rsidR="00210A86">
        <w:rPr>
          <w:rFonts w:hint="eastAsia"/>
        </w:rPr>
        <w:t>B</w:t>
      </w:r>
      <w:r w:rsidR="00210A86" w:rsidRPr="00B9512F">
        <w:t xml:space="preserve">) Evolutionary conservation analysis of the IRS4 </w:t>
      </w:r>
      <w:r w:rsidR="00210A86" w:rsidRPr="00B9512F">
        <w:rPr>
          <w:rFonts w:hint="eastAsia"/>
        </w:rPr>
        <w:t>Y</w:t>
      </w:r>
      <w:r w:rsidR="00210A86" w:rsidRPr="00B9512F">
        <w:t xml:space="preserve">Y111/112 </w:t>
      </w:r>
      <w:r w:rsidR="00210A86" w:rsidRPr="00B9512F">
        <w:rPr>
          <w:rFonts w:hint="eastAsia"/>
        </w:rPr>
        <w:t>site</w:t>
      </w:r>
      <w:r w:rsidR="00210A86" w:rsidRPr="00B9512F">
        <w:t>. Multiple sequence alignment was performed using protein sequences from various vertebrate species, including Homo sapiens, Mus musculus, and Xenopus tropicalis.</w:t>
      </w:r>
    </w:p>
    <w:p w14:paraId="38221D22" w14:textId="338967E2" w:rsidR="00210A86" w:rsidRDefault="00B9512F" w:rsidP="00724696">
      <w:pPr>
        <w:ind w:firstLineChars="0" w:firstLine="0"/>
      </w:pPr>
      <w:r w:rsidRPr="00B9512F">
        <w:t>(C) Dot blot assay for the validation of phospho-specific antibody clones (#SAB176P-A and #SAB176P-B). Synthetic peptides containing the Y</w:t>
      </w:r>
      <w:r w:rsidRPr="00B9512F">
        <w:rPr>
          <w:rFonts w:hint="eastAsia"/>
        </w:rPr>
        <w:t>Y</w:t>
      </w:r>
      <w:r w:rsidRPr="00B9512F">
        <w:t>111/112</w:t>
      </w:r>
      <w:r w:rsidRPr="00B9512F">
        <w:rPr>
          <w:rFonts w:hint="eastAsia"/>
        </w:rPr>
        <w:t xml:space="preserve"> site</w:t>
      </w:r>
      <w:r w:rsidRPr="00B9512F">
        <w:t xml:space="preserve"> were immobilized on membranes in the indicated amounts in their unmodified and doubly phosphorylated states.</w:t>
      </w:r>
    </w:p>
    <w:p w14:paraId="527769E8" w14:textId="42D1A5A0" w:rsidR="00B9512F" w:rsidRPr="00F0254B" w:rsidRDefault="00B9512F" w:rsidP="00210A86">
      <w:pPr>
        <w:pStyle w:val="3"/>
        <w:rPr>
          <w:color w:val="auto"/>
        </w:rPr>
      </w:pPr>
      <w:r w:rsidRPr="00F0254B">
        <w:rPr>
          <w:rFonts w:hint="eastAsia"/>
          <w:color w:val="auto"/>
        </w:rPr>
        <w:lastRenderedPageBreak/>
        <w:t>Fig</w:t>
      </w:r>
      <w:r w:rsidR="00816B32" w:rsidRPr="00F0254B">
        <w:rPr>
          <w:rFonts w:eastAsiaTheme="minorEastAsia" w:hint="eastAsia"/>
          <w:color w:val="auto"/>
        </w:rPr>
        <w:t>.</w:t>
      </w:r>
      <w:r w:rsidR="003426C1" w:rsidRPr="00F0254B">
        <w:rPr>
          <w:rFonts w:eastAsiaTheme="minorEastAsia" w:hint="eastAsia"/>
          <w:color w:val="auto"/>
        </w:rPr>
        <w:t xml:space="preserve"> </w:t>
      </w:r>
      <w:r w:rsidR="00237D67" w:rsidRPr="00F0254B">
        <w:rPr>
          <w:rFonts w:eastAsiaTheme="minorEastAsia"/>
          <w:color w:val="auto"/>
        </w:rPr>
        <w:t>S</w:t>
      </w:r>
      <w:r w:rsidRPr="00F0254B">
        <w:rPr>
          <w:color w:val="auto"/>
        </w:rPr>
        <w:t xml:space="preserve">3 Tyrosine phosphorylation of IRS4 at Y111/112 is essential for its oncogenic functions in </w:t>
      </w:r>
      <w:r w:rsidRPr="00F0254B">
        <w:rPr>
          <w:rFonts w:hint="eastAsia"/>
          <w:color w:val="auto"/>
        </w:rPr>
        <w:t>LUAD cells</w:t>
      </w:r>
      <w:r w:rsidRPr="00F0254B">
        <w:rPr>
          <w:color w:val="auto"/>
        </w:rPr>
        <w:t>.</w:t>
      </w:r>
    </w:p>
    <w:p w14:paraId="6C277A83" w14:textId="4193F5E4" w:rsidR="00237D67" w:rsidRPr="00F0254B" w:rsidRDefault="00B81DBC" w:rsidP="00237D67">
      <w:pPr>
        <w:ind w:firstLineChars="0" w:firstLine="0"/>
      </w:pPr>
      <w:r w:rsidRPr="00F0254B">
        <w:t>(</w:t>
      </w:r>
      <w:r w:rsidRPr="00F0254B">
        <w:rPr>
          <w:rFonts w:hint="eastAsia"/>
        </w:rPr>
        <w:t>A</w:t>
      </w:r>
      <w:r w:rsidRPr="00F0254B">
        <w:t>)</w:t>
      </w:r>
      <w:r w:rsidR="00BA53BB" w:rsidRPr="00F0254B">
        <w:t>Western blot analysis of IRS4 expression in H226-Control, H226-shIRS4-1 (3</w:t>
      </w:r>
      <w:r w:rsidR="00237D67" w:rsidRPr="00F0254B">
        <w:t>’-</w:t>
      </w:r>
      <w:r w:rsidR="00BA53BB" w:rsidRPr="00F0254B">
        <w:t>UTR), and H226-shIRS4-2(3</w:t>
      </w:r>
      <w:r w:rsidR="00237D67" w:rsidRPr="00F0254B">
        <w:t>’-</w:t>
      </w:r>
      <w:r w:rsidR="00BA53BB" w:rsidRPr="00F0254B">
        <w:t>UTR) stable cell lines. H226-shIRS4-2 was used for subsequent experiments.</w:t>
      </w:r>
    </w:p>
    <w:p w14:paraId="6B2AC4A1" w14:textId="77777777" w:rsidR="00237D67" w:rsidRDefault="00B9512F" w:rsidP="00237D67">
      <w:pPr>
        <w:ind w:firstLineChars="0" w:firstLine="0"/>
      </w:pPr>
      <w:r w:rsidRPr="00B9512F">
        <w:t>(</w:t>
      </w:r>
      <w:r w:rsidR="00B81DBC">
        <w:rPr>
          <w:rFonts w:hint="eastAsia"/>
        </w:rPr>
        <w:t>B</w:t>
      </w:r>
      <w:r w:rsidRPr="00B9512F">
        <w:t xml:space="preserve">) Western blot analysis of </w:t>
      </w:r>
      <w:r w:rsidRPr="00B9512F">
        <w:rPr>
          <w:rFonts w:hint="eastAsia"/>
        </w:rPr>
        <w:t>IRS4</w:t>
      </w:r>
      <w:r w:rsidRPr="00B9512F">
        <w:t xml:space="preserve"> expression in </w:t>
      </w:r>
      <w:r w:rsidRPr="00B9512F">
        <w:rPr>
          <w:rFonts w:hint="eastAsia"/>
        </w:rPr>
        <w:t>A549</w:t>
      </w:r>
      <w:r w:rsidRPr="00B9512F">
        <w:t xml:space="preserve">, </w:t>
      </w:r>
      <w:r w:rsidRPr="00B9512F">
        <w:rPr>
          <w:rFonts w:hint="eastAsia"/>
        </w:rPr>
        <w:t>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-WT,</w:t>
      </w:r>
      <w:r w:rsidRPr="00B9512F">
        <w:rPr>
          <w:rFonts w:hint="eastAsia"/>
        </w:rPr>
        <w:t xml:space="preserve"> </w:t>
      </w:r>
      <w:r w:rsidR="00237D67">
        <w:t>or</w:t>
      </w:r>
      <w:r w:rsidRPr="00B9512F">
        <w:t xml:space="preserve"> </w:t>
      </w:r>
      <w:r w:rsidRPr="00B9512F">
        <w:rPr>
          <w:rFonts w:hint="eastAsia"/>
        </w:rPr>
        <w:t>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</w:t>
      </w:r>
      <w:r w:rsidRPr="00B9512F">
        <w:rPr>
          <w:rFonts w:hint="eastAsia"/>
        </w:rPr>
        <w:t>YY111/112FF stable cell lines.</w:t>
      </w:r>
    </w:p>
    <w:p w14:paraId="0CFEEF71" w14:textId="77777777" w:rsidR="00237D67" w:rsidRDefault="00B9512F" w:rsidP="00237D67">
      <w:pPr>
        <w:ind w:firstLineChars="0" w:firstLine="0"/>
      </w:pPr>
      <w:r w:rsidRPr="00B9512F">
        <w:t>(</w:t>
      </w:r>
      <w:r w:rsidR="00B81DBC">
        <w:rPr>
          <w:rFonts w:hint="eastAsia"/>
        </w:rPr>
        <w:t>C</w:t>
      </w:r>
      <w:r w:rsidRPr="00B9512F">
        <w:t>)</w:t>
      </w:r>
      <w:r w:rsidRPr="00B9512F">
        <w:rPr>
          <w:rFonts w:ascii="TimesNewRomanPSMT" w:hAnsi="TimesNewRomanPSMT" w:cs="TimesNewRomanPSMT"/>
          <w:kern w:val="0"/>
        </w:rPr>
        <w:t xml:space="preserve"> </w:t>
      </w:r>
      <w:r w:rsidRPr="00B9512F">
        <w:t>CCK-8 assays were used to detect the cell viability of</w:t>
      </w:r>
      <w:r w:rsidRPr="00B9512F">
        <w:rPr>
          <w:rFonts w:hint="eastAsia"/>
        </w:rPr>
        <w:t xml:space="preserve"> A549</w:t>
      </w:r>
      <w:r w:rsidRPr="00B9512F">
        <w:t xml:space="preserve">, </w:t>
      </w:r>
      <w:r w:rsidRPr="00B9512F">
        <w:rPr>
          <w:rFonts w:hint="eastAsia"/>
        </w:rPr>
        <w:t>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-WT,</w:t>
      </w:r>
      <w:r w:rsidR="00237D67">
        <w:t xml:space="preserve"> or</w:t>
      </w:r>
      <w:r w:rsidRPr="00B9512F">
        <w:rPr>
          <w:rFonts w:hint="eastAsia"/>
        </w:rPr>
        <w:t xml:space="preserve"> 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</w:t>
      </w:r>
      <w:r w:rsidRPr="00B9512F">
        <w:rPr>
          <w:rFonts w:hint="eastAsia"/>
        </w:rPr>
        <w:t>YY111/112FF stable cell lines</w:t>
      </w:r>
      <w:r w:rsidRPr="00B9512F">
        <w:t xml:space="preserve"> for 5 d</w:t>
      </w:r>
      <w:r w:rsidRPr="00B9512F">
        <w:rPr>
          <w:rFonts w:hint="eastAsia"/>
        </w:rPr>
        <w:t xml:space="preserve"> (n =4).</w:t>
      </w:r>
    </w:p>
    <w:p w14:paraId="6C9E098E" w14:textId="77777777" w:rsidR="00237D67" w:rsidRDefault="00B9512F" w:rsidP="00237D67">
      <w:pPr>
        <w:ind w:firstLineChars="0" w:firstLine="0"/>
      </w:pPr>
      <w:r w:rsidRPr="00B9512F">
        <w:t>(</w:t>
      </w:r>
      <w:r w:rsidR="00B81DBC">
        <w:rPr>
          <w:rFonts w:hint="eastAsia"/>
        </w:rPr>
        <w:t>D</w:t>
      </w:r>
      <w:r w:rsidRPr="00B9512F">
        <w:t>)</w:t>
      </w:r>
      <w:r w:rsidRPr="00B9512F">
        <w:rPr>
          <w:rFonts w:ascii="TimesNewRomanPSMT" w:hAnsi="TimesNewRomanPSMT" w:cs="TimesNewRomanPSMT"/>
          <w:kern w:val="0"/>
        </w:rPr>
        <w:t xml:space="preserve"> </w:t>
      </w:r>
      <w:r w:rsidRPr="00B9512F">
        <w:t>Colony formation assays were used to</w:t>
      </w:r>
      <w:r w:rsidRPr="00B9512F">
        <w:rPr>
          <w:rFonts w:hint="eastAsia"/>
        </w:rPr>
        <w:t xml:space="preserve"> </w:t>
      </w:r>
      <w:r w:rsidRPr="00B9512F">
        <w:t xml:space="preserve">evaluate the colony-forming ability of </w:t>
      </w:r>
      <w:r w:rsidRPr="00B9512F">
        <w:rPr>
          <w:rFonts w:hint="eastAsia"/>
        </w:rPr>
        <w:t>A549</w:t>
      </w:r>
      <w:r w:rsidRPr="00B9512F">
        <w:t xml:space="preserve">, </w:t>
      </w:r>
      <w:r w:rsidRPr="00B9512F">
        <w:rPr>
          <w:rFonts w:hint="eastAsia"/>
        </w:rPr>
        <w:t>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-WT,</w:t>
      </w:r>
      <w:r w:rsidRPr="00B9512F">
        <w:rPr>
          <w:rFonts w:hint="eastAsia"/>
        </w:rPr>
        <w:t xml:space="preserve"> </w:t>
      </w:r>
      <w:r w:rsidR="00237D67">
        <w:t xml:space="preserve">or </w:t>
      </w:r>
      <w:r w:rsidRPr="00B9512F">
        <w:rPr>
          <w:rFonts w:hint="eastAsia"/>
        </w:rPr>
        <w:t>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</w:t>
      </w:r>
      <w:r w:rsidRPr="00B9512F">
        <w:rPr>
          <w:rFonts w:hint="eastAsia"/>
        </w:rPr>
        <w:t>YY111/112FF stable cell lines (n =3).</w:t>
      </w:r>
    </w:p>
    <w:p w14:paraId="611C142F" w14:textId="77777777" w:rsidR="00237D67" w:rsidRDefault="00B9512F" w:rsidP="00237D67">
      <w:pPr>
        <w:ind w:firstLineChars="0" w:firstLine="0"/>
      </w:pPr>
      <w:r w:rsidRPr="00B9512F">
        <w:t>(</w:t>
      </w:r>
      <w:r w:rsidR="00B81DBC">
        <w:rPr>
          <w:rFonts w:hint="eastAsia"/>
        </w:rPr>
        <w:t>E</w:t>
      </w:r>
      <w:r w:rsidRPr="00B9512F">
        <w:t>)</w:t>
      </w:r>
      <w:r w:rsidRPr="00B9512F">
        <w:rPr>
          <w:rFonts w:ascii="TimesNewRomanPSMT" w:hAnsi="TimesNewRomanPSMT" w:cs="TimesNewRomanPSMT"/>
          <w:kern w:val="0"/>
        </w:rPr>
        <w:t xml:space="preserve"> </w:t>
      </w:r>
      <w:r w:rsidRPr="00B9512F">
        <w:t xml:space="preserve">Transwell migration assay was used to evaluate the migration ability of </w:t>
      </w:r>
      <w:r w:rsidRPr="00B9512F">
        <w:rPr>
          <w:rFonts w:hint="eastAsia"/>
        </w:rPr>
        <w:t>A549</w:t>
      </w:r>
      <w:r w:rsidRPr="00B9512F">
        <w:t xml:space="preserve">, </w:t>
      </w:r>
      <w:r w:rsidRPr="00B9512F">
        <w:rPr>
          <w:rFonts w:hint="eastAsia"/>
        </w:rPr>
        <w:t>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-WT,</w:t>
      </w:r>
      <w:r w:rsidRPr="00B9512F">
        <w:rPr>
          <w:rFonts w:hint="eastAsia"/>
        </w:rPr>
        <w:t xml:space="preserve"> </w:t>
      </w:r>
      <w:r w:rsidR="00237D67">
        <w:t xml:space="preserve">or </w:t>
      </w:r>
      <w:r w:rsidRPr="00B9512F">
        <w:rPr>
          <w:rFonts w:hint="eastAsia"/>
        </w:rPr>
        <w:t>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</w:t>
      </w:r>
      <w:r w:rsidRPr="00B9512F">
        <w:rPr>
          <w:rFonts w:hint="eastAsia"/>
        </w:rPr>
        <w:t>YY111/112FF stable cell lines</w:t>
      </w:r>
      <w:r w:rsidRPr="00B9512F">
        <w:t xml:space="preserve"> </w:t>
      </w:r>
      <w:r w:rsidRPr="00B9512F">
        <w:rPr>
          <w:rFonts w:hint="eastAsia"/>
        </w:rPr>
        <w:t xml:space="preserve">after </w:t>
      </w:r>
      <w:r w:rsidRPr="00B9512F">
        <w:t>24</w:t>
      </w:r>
      <w:r w:rsidRPr="00B9512F">
        <w:rPr>
          <w:rFonts w:hint="eastAsia"/>
        </w:rPr>
        <w:t xml:space="preserve"> </w:t>
      </w:r>
      <w:r w:rsidRPr="00B9512F">
        <w:t>h post-seeding</w:t>
      </w:r>
      <w:r w:rsidRPr="00B9512F">
        <w:rPr>
          <w:rFonts w:hint="eastAsia"/>
        </w:rPr>
        <w:t xml:space="preserve"> (n =3).</w:t>
      </w:r>
    </w:p>
    <w:p w14:paraId="5C2C6896" w14:textId="77777777" w:rsidR="00237D67" w:rsidRDefault="00B9512F" w:rsidP="00237D67">
      <w:pPr>
        <w:ind w:firstLineChars="0" w:firstLine="0"/>
      </w:pPr>
      <w:r w:rsidRPr="00B9512F">
        <w:t>(</w:t>
      </w:r>
      <w:r w:rsidR="00B81DBC">
        <w:rPr>
          <w:rFonts w:hint="eastAsia"/>
        </w:rPr>
        <w:t>F</w:t>
      </w:r>
      <w:r w:rsidRPr="00B9512F">
        <w:t>)</w:t>
      </w:r>
      <w:r w:rsidRPr="00B9512F">
        <w:rPr>
          <w:rFonts w:ascii="TimesNewRomanPSMT" w:hAnsi="TimesNewRomanPSMT" w:cs="TimesNewRomanPSMT"/>
          <w:kern w:val="0"/>
        </w:rPr>
        <w:t xml:space="preserve"> </w:t>
      </w:r>
      <w:r w:rsidRPr="00B9512F">
        <w:t xml:space="preserve">Wound healing assay was conducted to assess the migration ability of </w:t>
      </w:r>
      <w:r w:rsidRPr="00B9512F">
        <w:rPr>
          <w:rFonts w:hint="eastAsia"/>
        </w:rPr>
        <w:t>A549</w:t>
      </w:r>
      <w:r w:rsidRPr="00B9512F">
        <w:t xml:space="preserve">, </w:t>
      </w:r>
      <w:r w:rsidRPr="00B9512F">
        <w:rPr>
          <w:rFonts w:hint="eastAsia"/>
        </w:rPr>
        <w:t>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-WT,</w:t>
      </w:r>
      <w:r w:rsidRPr="00B9512F">
        <w:rPr>
          <w:rFonts w:hint="eastAsia"/>
        </w:rPr>
        <w:t xml:space="preserve"> </w:t>
      </w:r>
      <w:r w:rsidR="00237D67">
        <w:t xml:space="preserve">or </w:t>
      </w:r>
      <w:r w:rsidRPr="00B9512F">
        <w:rPr>
          <w:rFonts w:hint="eastAsia"/>
        </w:rPr>
        <w:t>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</w:t>
      </w:r>
      <w:r w:rsidRPr="00B9512F">
        <w:rPr>
          <w:rFonts w:hint="eastAsia"/>
        </w:rPr>
        <w:t>YY111/112FF stable cell lines</w:t>
      </w:r>
      <w:r w:rsidRPr="00B9512F">
        <w:t xml:space="preserve"> </w:t>
      </w:r>
      <w:r w:rsidRPr="00B9512F">
        <w:rPr>
          <w:rFonts w:hint="eastAsia"/>
        </w:rPr>
        <w:t xml:space="preserve">after 18 </w:t>
      </w:r>
      <w:r w:rsidRPr="00B9512F">
        <w:t>h post-seeding</w:t>
      </w:r>
      <w:r w:rsidR="00237D67">
        <w:t xml:space="preserve"> </w:t>
      </w:r>
      <w:r w:rsidRPr="00B9512F">
        <w:rPr>
          <w:rFonts w:hint="eastAsia"/>
        </w:rPr>
        <w:t>(n =3).</w:t>
      </w:r>
    </w:p>
    <w:p w14:paraId="4A26D135" w14:textId="15D8E883" w:rsidR="00B9512F" w:rsidRPr="00B9512F" w:rsidRDefault="00B9512F" w:rsidP="00237D67">
      <w:pPr>
        <w:ind w:firstLineChars="0" w:firstLine="0"/>
      </w:pPr>
      <w:r w:rsidRPr="00B9512F">
        <w:t>(</w:t>
      </w:r>
      <w:r w:rsidR="00B81DBC">
        <w:rPr>
          <w:rFonts w:hint="eastAsia"/>
        </w:rPr>
        <w:t>G</w:t>
      </w:r>
      <w:r w:rsidRPr="00B9512F">
        <w:t>).</w:t>
      </w:r>
      <w:r w:rsidRPr="00B9512F">
        <w:rPr>
          <w:rFonts w:ascii="AdvTT6780a46b" w:hAnsi="AdvTT6780a46b" w:cs="AdvTT6780a46b"/>
          <w:kern w:val="0"/>
          <w:sz w:val="17"/>
          <w:szCs w:val="17"/>
        </w:rPr>
        <w:t xml:space="preserve"> </w:t>
      </w:r>
      <w:r w:rsidRPr="00B9512F">
        <w:t>Soft-agar colony formation assay</w:t>
      </w:r>
      <w:r w:rsidRPr="00B9512F">
        <w:rPr>
          <w:rFonts w:hint="eastAsia"/>
        </w:rPr>
        <w:t xml:space="preserve"> used to evaluate</w:t>
      </w:r>
      <w:r w:rsidRPr="00B9512F">
        <w:rPr>
          <w:rFonts w:ascii="AdvOT46dcae81" w:hAnsi="AdvOT46dcae81" w:cs="AdvOT46dcae81"/>
          <w:kern w:val="0"/>
          <w:sz w:val="18"/>
          <w:szCs w:val="18"/>
        </w:rPr>
        <w:t xml:space="preserve"> </w:t>
      </w:r>
      <w:r w:rsidRPr="00B9512F">
        <w:t>anchorage-independent</w:t>
      </w:r>
      <w:r w:rsidRPr="00B9512F">
        <w:rPr>
          <w:rFonts w:hint="eastAsia"/>
        </w:rPr>
        <w:t xml:space="preserve"> </w:t>
      </w:r>
      <w:r w:rsidRPr="00B9512F">
        <w:t>growth</w:t>
      </w:r>
      <w:r w:rsidRPr="00B9512F">
        <w:rPr>
          <w:rFonts w:hint="eastAsia"/>
        </w:rPr>
        <w:t xml:space="preserve"> of A549</w:t>
      </w:r>
      <w:r w:rsidRPr="00B9512F">
        <w:t xml:space="preserve">, </w:t>
      </w:r>
      <w:r w:rsidRPr="00B9512F">
        <w:rPr>
          <w:rFonts w:hint="eastAsia"/>
        </w:rPr>
        <w:t>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-WT,</w:t>
      </w:r>
      <w:r w:rsidRPr="00B9512F">
        <w:rPr>
          <w:rFonts w:hint="eastAsia"/>
        </w:rPr>
        <w:t xml:space="preserve"> </w:t>
      </w:r>
      <w:r w:rsidR="00237D67">
        <w:t xml:space="preserve">or </w:t>
      </w:r>
      <w:r w:rsidRPr="00B9512F">
        <w:rPr>
          <w:rFonts w:hint="eastAsia"/>
        </w:rPr>
        <w:t>A549</w:t>
      </w:r>
      <w:r w:rsidRPr="00B9512F">
        <w:t>-</w:t>
      </w:r>
      <w:r w:rsidRPr="00B9512F">
        <w:rPr>
          <w:rFonts w:hint="eastAsia"/>
        </w:rPr>
        <w:t>IRS4</w:t>
      </w:r>
      <w:r w:rsidRPr="00B9512F">
        <w:t>-</w:t>
      </w:r>
      <w:r w:rsidRPr="00B9512F">
        <w:rPr>
          <w:rFonts w:hint="eastAsia"/>
        </w:rPr>
        <w:t xml:space="preserve">YY111/112FF stable cell lines (n=3). </w:t>
      </w:r>
      <w:r w:rsidRPr="00B9512F">
        <w:rPr>
          <w:noProof/>
        </w:rPr>
        <w:t>Statistical analysis was performed using one-way ANOVA</w:t>
      </w:r>
      <w:r w:rsidRPr="00B9512F">
        <w:rPr>
          <w:rFonts w:hint="eastAsia"/>
          <w:noProof/>
        </w:rPr>
        <w:t xml:space="preserve"> or</w:t>
      </w:r>
      <w:r w:rsidRPr="00B9512F">
        <w:rPr>
          <w:noProof/>
        </w:rPr>
        <w:t xml:space="preserve"> two-way ANOVA with multiple comparisons. *P &lt; 0.05; **P &lt; 0.01; ***P &lt; 0.001; ****P &lt; 0.0001. ; ns, not significant.</w:t>
      </w:r>
    </w:p>
    <w:p w14:paraId="5E90FA72" w14:textId="24C8E970" w:rsidR="002E22E6" w:rsidRPr="00F0254B" w:rsidRDefault="002E22E6" w:rsidP="002E22E6">
      <w:pPr>
        <w:pStyle w:val="3"/>
        <w:rPr>
          <w:color w:val="auto"/>
        </w:rPr>
      </w:pPr>
      <w:r w:rsidRPr="00F0254B">
        <w:rPr>
          <w:color w:val="auto"/>
        </w:rPr>
        <w:lastRenderedPageBreak/>
        <w:t>Fig</w:t>
      </w:r>
      <w:r w:rsidR="003426C1" w:rsidRPr="00F0254B">
        <w:rPr>
          <w:rFonts w:eastAsiaTheme="minorEastAsia" w:hint="eastAsia"/>
          <w:color w:val="auto"/>
        </w:rPr>
        <w:t xml:space="preserve">. </w:t>
      </w:r>
      <w:r w:rsidR="00237D67" w:rsidRPr="00F0254B">
        <w:rPr>
          <w:rFonts w:eastAsiaTheme="minorEastAsia"/>
          <w:color w:val="auto"/>
        </w:rPr>
        <w:t>S</w:t>
      </w:r>
      <w:r w:rsidRPr="00F0254B">
        <w:rPr>
          <w:color w:val="auto"/>
        </w:rPr>
        <w:t>4</w:t>
      </w:r>
      <w:r w:rsidR="003426C1" w:rsidRPr="00F0254B">
        <w:rPr>
          <w:rFonts w:eastAsiaTheme="minorEastAsia" w:hint="eastAsia"/>
          <w:color w:val="auto"/>
        </w:rPr>
        <w:t xml:space="preserve"> </w:t>
      </w:r>
      <w:r w:rsidRPr="00F0254B">
        <w:rPr>
          <w:color w:val="auto"/>
        </w:rPr>
        <w:t>Characterization of the IRS4-p85β interaction interface and clinical relevance in LUSC.</w:t>
      </w:r>
    </w:p>
    <w:p w14:paraId="3A318D33" w14:textId="77777777" w:rsidR="00237D67" w:rsidRDefault="002E22E6" w:rsidP="00237D67">
      <w:pPr>
        <w:ind w:firstLineChars="0" w:firstLine="0"/>
      </w:pPr>
      <w:r w:rsidRPr="007E39F8">
        <w:t>(A)</w:t>
      </w:r>
      <w:r w:rsidR="00237D67">
        <w:t xml:space="preserve"> </w:t>
      </w:r>
      <w:r w:rsidRPr="007E39F8">
        <w:t>Relative protein abundance of p85</w:t>
      </w:r>
      <w:r w:rsidRPr="0064190A">
        <w:t>α</w:t>
      </w:r>
      <w:r w:rsidRPr="007E39F8">
        <w:t xml:space="preserve"> </w:t>
      </w:r>
      <w:r w:rsidRPr="0064190A">
        <w:t>(PIK3R1)</w:t>
      </w:r>
      <w:r w:rsidRPr="007E39F8">
        <w:t xml:space="preserve"> and p85</w:t>
      </w:r>
      <w:r w:rsidRPr="0064190A">
        <w:t>β</w:t>
      </w:r>
      <w:r w:rsidRPr="007E39F8">
        <w:t xml:space="preserve"> </w:t>
      </w:r>
      <w:r w:rsidRPr="0064190A">
        <w:t>(PIK3R2)</w:t>
      </w:r>
      <w:r w:rsidRPr="007E39F8">
        <w:t xml:space="preserve"> </w:t>
      </w:r>
      <w:r w:rsidRPr="0064190A">
        <w:t>in paired normal and tumor lung squamous cell carcinoma samples (n = 102)</w:t>
      </w:r>
      <w:r w:rsidRPr="007E39F8">
        <w:t xml:space="preserve">. </w:t>
      </w:r>
      <w:r w:rsidRPr="0064190A">
        <w:t xml:space="preserve">Data </w:t>
      </w:r>
      <w:r>
        <w:rPr>
          <w:rFonts w:hint="eastAsia"/>
        </w:rPr>
        <w:t xml:space="preserve">from CPTAC </w:t>
      </w:r>
    </w:p>
    <w:p w14:paraId="49CBE5D6" w14:textId="77777777" w:rsidR="00237D67" w:rsidRDefault="002E22E6" w:rsidP="00237D67">
      <w:pPr>
        <w:ind w:firstLineChars="0" w:firstLine="0"/>
      </w:pPr>
      <w:r w:rsidRPr="007E39F8">
        <w:t>(B) Mapping of the IRS4-binding domains on p85</w:t>
      </w:r>
      <w:r w:rsidRPr="0064190A">
        <w:t>β</w:t>
      </w:r>
      <w:r w:rsidRPr="007E39F8">
        <w:t>.</w:t>
      </w:r>
      <w:r w:rsidR="00237D67">
        <w:t xml:space="preserve"> </w:t>
      </w:r>
      <w:r w:rsidRPr="007E39F8">
        <w:t>293T Cells were transfected with Flag-IRS4, HA-Src, and various Myc-tagged p85</w:t>
      </w:r>
      <w:r w:rsidRPr="0064190A">
        <w:t>β</w:t>
      </w:r>
      <w:r w:rsidRPr="007E39F8">
        <w:t xml:space="preserve"> deletion mutants (</w:t>
      </w:r>
      <w:r w:rsidRPr="0064190A">
        <w:t>ΔN</w:t>
      </w:r>
      <w:r w:rsidR="00237D67">
        <w:t>-</w:t>
      </w:r>
      <w:r w:rsidRPr="0064190A">
        <w:t>SH2, ΔC</w:t>
      </w:r>
      <w:r w:rsidR="00237D67">
        <w:t>-</w:t>
      </w:r>
      <w:r w:rsidRPr="0064190A">
        <w:t>SH2, or ΔDouble-SH2</w:t>
      </w:r>
      <w:r w:rsidRPr="007E39F8">
        <w:t xml:space="preserve">). </w:t>
      </w:r>
      <w:r w:rsidRPr="0064190A">
        <w:t>Co-IP analyzed the interaction</w:t>
      </w:r>
      <w:r w:rsidRPr="007E39F8">
        <w:t xml:space="preserve">. </w:t>
      </w:r>
    </w:p>
    <w:p w14:paraId="7AE4D7F4" w14:textId="2E3D1F35" w:rsidR="002E22E6" w:rsidRDefault="002E22E6" w:rsidP="00237D67">
      <w:pPr>
        <w:ind w:firstLineChars="0" w:firstLine="0"/>
      </w:pPr>
      <w:r w:rsidRPr="007E39F8">
        <w:t>(C)</w:t>
      </w:r>
      <w:r w:rsidRPr="0064190A">
        <w:t xml:space="preserve"> Computational analysis of </w:t>
      </w:r>
      <w:r w:rsidRPr="007E39F8">
        <w:t>residue-level</w:t>
      </w:r>
      <w:r w:rsidRPr="0064190A">
        <w:t xml:space="preserve"> interaction differences between IRS4 and p85β upon Y111/112 phosphorylation. The table summarizes changes in minimum atom distances for residues within the p85β SH2 domain proximal to IRS4 Y779</w:t>
      </w:r>
      <w:r w:rsidRPr="007E39F8">
        <w:t xml:space="preserve"> site.</w:t>
      </w:r>
    </w:p>
    <w:p w14:paraId="79E2ED45" w14:textId="77777777" w:rsidR="00237D67" w:rsidRPr="0064190A" w:rsidRDefault="00237D67" w:rsidP="00237D67">
      <w:pPr>
        <w:ind w:firstLineChars="0" w:firstLine="0"/>
      </w:pPr>
    </w:p>
    <w:p w14:paraId="3A1A7864" w14:textId="79F1299B" w:rsidR="00B9512F" w:rsidRPr="00F0254B" w:rsidRDefault="00B9512F" w:rsidP="00B9512F">
      <w:pPr>
        <w:pStyle w:val="3"/>
        <w:rPr>
          <w:color w:val="auto"/>
        </w:rPr>
      </w:pPr>
      <w:r w:rsidRPr="00F0254B">
        <w:rPr>
          <w:color w:val="auto"/>
        </w:rPr>
        <w:t>Fig</w:t>
      </w:r>
      <w:r w:rsidR="00816B32" w:rsidRPr="00F0254B">
        <w:rPr>
          <w:rFonts w:eastAsiaTheme="minorEastAsia" w:hint="eastAsia"/>
          <w:color w:val="auto"/>
        </w:rPr>
        <w:t>.</w:t>
      </w:r>
      <w:r w:rsidR="003426C1" w:rsidRPr="00F0254B">
        <w:rPr>
          <w:rFonts w:eastAsiaTheme="minorEastAsia" w:hint="eastAsia"/>
          <w:color w:val="auto"/>
        </w:rPr>
        <w:t xml:space="preserve"> </w:t>
      </w:r>
      <w:r w:rsidR="00237D67" w:rsidRPr="00F0254B">
        <w:rPr>
          <w:rFonts w:eastAsiaTheme="minorEastAsia"/>
          <w:color w:val="auto"/>
        </w:rPr>
        <w:t>S</w:t>
      </w:r>
      <w:r w:rsidRPr="00F0254B">
        <w:rPr>
          <w:color w:val="auto"/>
        </w:rPr>
        <w:t>5</w:t>
      </w:r>
      <w:r w:rsidR="00816B32" w:rsidRPr="00F0254B">
        <w:rPr>
          <w:rFonts w:eastAsiaTheme="minorEastAsia" w:hint="eastAsia"/>
          <w:color w:val="auto"/>
        </w:rPr>
        <w:t xml:space="preserve"> </w:t>
      </w:r>
      <w:r w:rsidRPr="00F0254B">
        <w:rPr>
          <w:color w:val="auto"/>
        </w:rPr>
        <w:t>Phosphorylation at Y</w:t>
      </w:r>
      <w:r w:rsidRPr="00F0254B">
        <w:rPr>
          <w:rFonts w:hint="eastAsia"/>
          <w:color w:val="auto"/>
        </w:rPr>
        <w:t>Y</w:t>
      </w:r>
      <w:r w:rsidRPr="00F0254B">
        <w:rPr>
          <w:color w:val="auto"/>
        </w:rPr>
        <w:t>111/112 does not affect IRS4 protein stability or subcellular localization.</w:t>
      </w:r>
    </w:p>
    <w:p w14:paraId="2643E06D" w14:textId="77777777" w:rsidR="00237D67" w:rsidRDefault="00B9512F" w:rsidP="00237D67">
      <w:pPr>
        <w:ind w:firstLineChars="0" w:firstLine="0"/>
      </w:pPr>
      <w:r w:rsidRPr="00B9512F">
        <w:t xml:space="preserve">(A) </w:t>
      </w:r>
      <w:r w:rsidRPr="00B9512F">
        <w:rPr>
          <w:rFonts w:hint="eastAsia"/>
        </w:rPr>
        <w:t>H226</w:t>
      </w:r>
      <w:r w:rsidRPr="00B9512F">
        <w:rPr>
          <w:rFonts w:hint="eastAsia"/>
          <w:vertAlign w:val="superscript"/>
        </w:rPr>
        <w:t>shIRS4</w:t>
      </w:r>
      <w:r w:rsidRPr="00B9512F">
        <w:t>-IRS4</w:t>
      </w:r>
      <w:r w:rsidRPr="00B9512F">
        <w:rPr>
          <w:rFonts w:hint="eastAsia"/>
        </w:rPr>
        <w:t>-</w:t>
      </w:r>
      <w:r w:rsidRPr="00B9512F">
        <w:t>WT</w:t>
      </w:r>
      <w:r w:rsidRPr="00B9512F">
        <w:rPr>
          <w:rFonts w:hint="eastAsia"/>
        </w:rPr>
        <w:t xml:space="preserve"> </w:t>
      </w:r>
      <w:r w:rsidR="00237D67">
        <w:t>or</w:t>
      </w:r>
      <w:r w:rsidRPr="00B9512F">
        <w:rPr>
          <w:rFonts w:hint="eastAsia"/>
        </w:rPr>
        <w:t xml:space="preserve"> H226</w:t>
      </w:r>
      <w:r w:rsidRPr="00B9512F">
        <w:rPr>
          <w:rFonts w:hint="eastAsia"/>
          <w:vertAlign w:val="superscript"/>
        </w:rPr>
        <w:t>shIRS4</w:t>
      </w:r>
      <w:r w:rsidRPr="00B9512F">
        <w:t>-IRS4</w:t>
      </w:r>
      <w:r w:rsidRPr="00B9512F">
        <w:rPr>
          <w:rFonts w:hint="eastAsia"/>
        </w:rPr>
        <w:t>-</w:t>
      </w:r>
      <w:r w:rsidRPr="00B9512F">
        <w:t>Y</w:t>
      </w:r>
      <w:r w:rsidRPr="00B9512F">
        <w:rPr>
          <w:rFonts w:hint="eastAsia"/>
        </w:rPr>
        <w:t>Y</w:t>
      </w:r>
      <w:r w:rsidRPr="00B9512F">
        <w:t>111/112</w:t>
      </w:r>
      <w:r w:rsidRPr="00B9512F">
        <w:rPr>
          <w:rFonts w:hint="eastAsia"/>
        </w:rPr>
        <w:t>FF</w:t>
      </w:r>
      <w:r w:rsidRPr="00B9512F">
        <w:t xml:space="preserve"> cells were treated with</w:t>
      </w:r>
      <w:r w:rsidRPr="00B9512F">
        <w:rPr>
          <w:rFonts w:hint="eastAsia"/>
        </w:rPr>
        <w:t xml:space="preserve"> </w:t>
      </w:r>
      <w:r w:rsidRPr="00B9512F">
        <w:t>cycloheximide (CHX</w:t>
      </w:r>
      <w:r w:rsidRPr="00B9512F">
        <w:rPr>
          <w:rFonts w:hint="eastAsia"/>
        </w:rPr>
        <w:t>,</w:t>
      </w:r>
      <w:r w:rsidRPr="00B9512F">
        <w:t>100 </w:t>
      </w:r>
      <w:r w:rsidR="00237D67" w:rsidRPr="00237D67">
        <w:rPr>
          <w:rFonts w:eastAsia="等线"/>
        </w:rPr>
        <w:t>μ</w:t>
      </w:r>
      <w:r w:rsidRPr="00B9512F">
        <w:t xml:space="preserve">g/mL) for the indicated time points. </w:t>
      </w:r>
      <w:r w:rsidRPr="00B9512F">
        <w:rPr>
          <w:rFonts w:hint="eastAsia"/>
        </w:rPr>
        <w:t>C</w:t>
      </w:r>
      <w:r w:rsidRPr="00B9512F">
        <w:t xml:space="preserve">ell lysates were subjected to immunoblotting with anti-Flag to detect IRS4 protein levels. </w:t>
      </w:r>
      <w:r w:rsidRPr="00B9512F">
        <w:rPr>
          <w:rFonts w:hint="eastAsia"/>
        </w:rPr>
        <w:t>Tubulin</w:t>
      </w:r>
      <w:r w:rsidRPr="00B9512F">
        <w:t xml:space="preserve"> was used as a loading control.</w:t>
      </w:r>
    </w:p>
    <w:p w14:paraId="38AB3468" w14:textId="77777777" w:rsidR="00237D67" w:rsidRDefault="00B9512F" w:rsidP="00237D67">
      <w:pPr>
        <w:ind w:firstLineChars="0" w:firstLine="0"/>
      </w:pPr>
      <w:r w:rsidRPr="00B9512F">
        <w:t xml:space="preserve">(B) Quantification of IRS4 protein levels following CHX treatment shown in (A). Relative IRS4 levels were normalized to </w:t>
      </w:r>
      <w:r w:rsidRPr="00B9512F">
        <w:rPr>
          <w:rFonts w:hint="eastAsia"/>
        </w:rPr>
        <w:t>Tubulin</w:t>
      </w:r>
      <w:r w:rsidRPr="00B9512F">
        <w:t xml:space="preserve"> and expressed as a percentage of the 0 h time point. Data represent mean </w:t>
      </w:r>
      <w:r w:rsidRPr="00B9512F">
        <w:rPr>
          <w:rFonts w:ascii="等线" w:eastAsia="等线" w:hAnsi="等线" w:cs="等线" w:hint="eastAsia"/>
        </w:rPr>
        <w:t>±</w:t>
      </w:r>
      <w:r w:rsidRPr="00B9512F">
        <w:t> SD from three independent experiments.</w:t>
      </w:r>
      <w:r w:rsidRPr="00B9512F">
        <w:rPr>
          <w:rFonts w:hint="eastAsia"/>
        </w:rPr>
        <w:t xml:space="preserve"> </w:t>
      </w:r>
      <w:r w:rsidRPr="00B9512F">
        <w:t xml:space="preserve">Statistical analysis was performed using </w:t>
      </w:r>
      <w:r w:rsidRPr="00B9512F">
        <w:rPr>
          <w:rFonts w:hint="eastAsia"/>
        </w:rPr>
        <w:t xml:space="preserve">a </w:t>
      </w:r>
      <w:r w:rsidRPr="00B9512F">
        <w:t>two-tailed Student</w:t>
      </w:r>
      <w:r w:rsidRPr="00B9512F">
        <w:rPr>
          <w:rFonts w:ascii="等线" w:eastAsia="等线" w:hAnsi="等线" w:cs="等线" w:hint="eastAsia"/>
        </w:rPr>
        <w:t>’</w:t>
      </w:r>
      <w:r w:rsidRPr="00B9512F">
        <w:t xml:space="preserve">s </w:t>
      </w:r>
      <w:r w:rsidRPr="00B9512F">
        <w:rPr>
          <w:i/>
          <w:iCs/>
        </w:rPr>
        <w:t>t</w:t>
      </w:r>
      <w:r w:rsidRPr="00B9512F">
        <w:t xml:space="preserve">-test; ns, not significant. (C) Subcellular fractionation analysis of </w:t>
      </w:r>
      <w:r w:rsidRPr="00B9512F">
        <w:rPr>
          <w:rFonts w:hint="eastAsia"/>
        </w:rPr>
        <w:t>H226</w:t>
      </w:r>
      <w:r w:rsidRPr="00B9512F">
        <w:rPr>
          <w:rFonts w:hint="eastAsia"/>
          <w:vertAlign w:val="superscript"/>
        </w:rPr>
        <w:t>shIRS4</w:t>
      </w:r>
      <w:r w:rsidRPr="00B9512F">
        <w:t>-IRS4</w:t>
      </w:r>
      <w:r w:rsidRPr="00B9512F">
        <w:rPr>
          <w:rFonts w:hint="eastAsia"/>
        </w:rPr>
        <w:t xml:space="preserve">-WT </w:t>
      </w:r>
      <w:r w:rsidR="00237D67">
        <w:t>or</w:t>
      </w:r>
      <w:r w:rsidRPr="00B9512F">
        <w:rPr>
          <w:rFonts w:hint="eastAsia"/>
        </w:rPr>
        <w:t xml:space="preserve"> H226</w:t>
      </w:r>
      <w:r w:rsidRPr="00B9512F">
        <w:rPr>
          <w:rFonts w:hint="eastAsia"/>
          <w:vertAlign w:val="superscript"/>
        </w:rPr>
        <w:t>shIRS4</w:t>
      </w:r>
      <w:r w:rsidRPr="00B9512F">
        <w:t>-IRS4</w:t>
      </w:r>
      <w:r w:rsidRPr="00B9512F">
        <w:rPr>
          <w:rFonts w:hint="eastAsia"/>
        </w:rPr>
        <w:t>-</w:t>
      </w:r>
      <w:r w:rsidRPr="00B9512F">
        <w:lastRenderedPageBreak/>
        <w:t>Y</w:t>
      </w:r>
      <w:r w:rsidRPr="00B9512F">
        <w:rPr>
          <w:rFonts w:hint="eastAsia"/>
        </w:rPr>
        <w:t>Y</w:t>
      </w:r>
      <w:r w:rsidRPr="00B9512F">
        <w:t>111/112</w:t>
      </w:r>
      <w:r w:rsidRPr="00B9512F">
        <w:rPr>
          <w:rFonts w:hint="eastAsia"/>
        </w:rPr>
        <w:t>F</w:t>
      </w:r>
      <w:r w:rsidRPr="00B9512F">
        <w:t xml:space="preserve"> cells. Cytoplasmic and membrane fractions were analyzed by </w:t>
      </w:r>
      <w:r w:rsidRPr="00B9512F">
        <w:rPr>
          <w:rFonts w:hint="eastAsia"/>
        </w:rPr>
        <w:t>WB</w:t>
      </w:r>
      <w:r w:rsidRPr="00B9512F">
        <w:t>. N-cadherin and GAPDH were used as membrane and cytoplasmic markers, respectively.</w:t>
      </w:r>
    </w:p>
    <w:p w14:paraId="6DC66DCA" w14:textId="664A69E8" w:rsidR="00B9512F" w:rsidRDefault="00B9512F" w:rsidP="00237D67">
      <w:pPr>
        <w:ind w:firstLineChars="0" w:firstLine="0"/>
      </w:pPr>
      <w:r w:rsidRPr="00B9512F">
        <w:t>(D) Nuclear and cytoplasmic</w:t>
      </w:r>
      <w:r w:rsidRPr="00B9512F">
        <w:rPr>
          <w:rFonts w:hint="eastAsia"/>
        </w:rPr>
        <w:t xml:space="preserve"> </w:t>
      </w:r>
      <w:r w:rsidRPr="00B9512F">
        <w:t xml:space="preserve">fractions from </w:t>
      </w:r>
      <w:r w:rsidRPr="00B9512F">
        <w:rPr>
          <w:rFonts w:hint="eastAsia"/>
        </w:rPr>
        <w:t>H226</w:t>
      </w:r>
      <w:r w:rsidRPr="00B9512F">
        <w:rPr>
          <w:rFonts w:hint="eastAsia"/>
          <w:vertAlign w:val="superscript"/>
        </w:rPr>
        <w:t>shIRS4</w:t>
      </w:r>
      <w:r w:rsidRPr="00B9512F">
        <w:t>-IRS4</w:t>
      </w:r>
      <w:r w:rsidRPr="00B9512F">
        <w:rPr>
          <w:rFonts w:hint="eastAsia"/>
        </w:rPr>
        <w:t xml:space="preserve">-WT </w:t>
      </w:r>
      <w:r w:rsidR="00237D67">
        <w:t>or</w:t>
      </w:r>
      <w:r w:rsidRPr="00B9512F">
        <w:rPr>
          <w:rFonts w:hint="eastAsia"/>
        </w:rPr>
        <w:t xml:space="preserve"> H226</w:t>
      </w:r>
      <w:r w:rsidRPr="00B9512F">
        <w:rPr>
          <w:rFonts w:hint="eastAsia"/>
          <w:vertAlign w:val="superscript"/>
        </w:rPr>
        <w:t>shIRS4</w:t>
      </w:r>
      <w:r w:rsidRPr="00B9512F">
        <w:t>-IRS4</w:t>
      </w:r>
      <w:r w:rsidRPr="00B9512F">
        <w:rPr>
          <w:rFonts w:hint="eastAsia"/>
        </w:rPr>
        <w:t>-</w:t>
      </w:r>
      <w:r w:rsidRPr="00B9512F">
        <w:t>Y</w:t>
      </w:r>
      <w:r w:rsidRPr="00B9512F">
        <w:rPr>
          <w:rFonts w:hint="eastAsia"/>
        </w:rPr>
        <w:t>Y</w:t>
      </w:r>
      <w:r w:rsidRPr="00B9512F">
        <w:t>111/112</w:t>
      </w:r>
      <w:r w:rsidRPr="00B9512F">
        <w:rPr>
          <w:rFonts w:hint="eastAsia"/>
        </w:rPr>
        <w:t>FF</w:t>
      </w:r>
      <w:r w:rsidRPr="00B9512F">
        <w:t xml:space="preserve"> cells</w:t>
      </w:r>
      <w:r w:rsidRPr="00B9512F">
        <w:rPr>
          <w:rFonts w:hint="eastAsia"/>
        </w:rPr>
        <w:t xml:space="preserve"> analyzed by WB</w:t>
      </w:r>
      <w:r w:rsidRPr="00B9512F">
        <w:t>. Lamin B1 and GAPDH were used as nuclear and cytoplasmic markers, respectively.</w:t>
      </w:r>
    </w:p>
    <w:p w14:paraId="4FCDD4CD" w14:textId="77777777" w:rsidR="00237D67" w:rsidRPr="00B9512F" w:rsidRDefault="00237D67" w:rsidP="00237D67">
      <w:pPr>
        <w:ind w:firstLineChars="0" w:firstLine="0"/>
      </w:pPr>
    </w:p>
    <w:p w14:paraId="7873C69D" w14:textId="3F7B4169" w:rsidR="00B9512F" w:rsidRPr="00F0254B" w:rsidRDefault="00B9512F" w:rsidP="0082710A">
      <w:pPr>
        <w:pStyle w:val="3"/>
        <w:rPr>
          <w:color w:val="auto"/>
        </w:rPr>
      </w:pPr>
      <w:r w:rsidRPr="00F0254B">
        <w:rPr>
          <w:color w:val="auto"/>
        </w:rPr>
        <w:t>Fig.</w:t>
      </w:r>
      <w:r w:rsidR="003426C1" w:rsidRPr="00F0254B">
        <w:rPr>
          <w:rFonts w:eastAsiaTheme="minorEastAsia" w:hint="eastAsia"/>
          <w:color w:val="auto"/>
        </w:rPr>
        <w:t xml:space="preserve"> </w:t>
      </w:r>
      <w:r w:rsidR="00237D67" w:rsidRPr="00F0254B">
        <w:rPr>
          <w:rFonts w:eastAsiaTheme="minorEastAsia"/>
          <w:color w:val="auto"/>
        </w:rPr>
        <w:t>S</w:t>
      </w:r>
      <w:r w:rsidR="003426C1" w:rsidRPr="00F0254B">
        <w:rPr>
          <w:rFonts w:eastAsiaTheme="minorEastAsia" w:hint="eastAsia"/>
          <w:color w:val="auto"/>
        </w:rPr>
        <w:t>6</w:t>
      </w:r>
      <w:r w:rsidRPr="00F0254B">
        <w:rPr>
          <w:color w:val="auto"/>
        </w:rPr>
        <w:t xml:space="preserve"> Tat-conjugated phospho-peptide treatment does not affect body weight in xenograft-implanted mice.</w:t>
      </w:r>
    </w:p>
    <w:p w14:paraId="0C976B20" w14:textId="7689330E" w:rsidR="00B9512F" w:rsidRPr="00B9512F" w:rsidRDefault="00B9512F" w:rsidP="00237D67">
      <w:pPr>
        <w:ind w:firstLineChars="0" w:firstLine="0"/>
      </w:pPr>
      <w:r w:rsidRPr="00B9512F">
        <w:t>(A) Body weight monitoring of nude mice with H226 xenograft tumors in the indicated groups. Peptide administration was initiated 14</w:t>
      </w:r>
      <w:r w:rsidRPr="00B9512F">
        <w:rPr>
          <w:rFonts w:hint="eastAsia"/>
        </w:rPr>
        <w:t xml:space="preserve"> </w:t>
      </w:r>
      <w:r w:rsidRPr="00B9512F">
        <w:t>d after tumor cell inoculation. Body weight was recorded every two days throughout the experimental period. Data are presented as mean ± SD (n = 5 per group). Statistical analysis was performed using two-way ANOVA with multiple comparisons. ns, not significant.</w:t>
      </w:r>
    </w:p>
    <w:p w14:paraId="2319B72C" w14:textId="77777777" w:rsidR="004812F5" w:rsidRPr="00B9512F" w:rsidRDefault="004812F5"/>
    <w:sectPr w:rsidR="004812F5" w:rsidRPr="00B951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1B16" w14:textId="77777777" w:rsidR="00E23140" w:rsidRDefault="00E23140" w:rsidP="00B9512F">
      <w:pPr>
        <w:spacing w:line="240" w:lineRule="auto"/>
      </w:pPr>
      <w:r>
        <w:separator/>
      </w:r>
    </w:p>
  </w:endnote>
  <w:endnote w:type="continuationSeparator" w:id="0">
    <w:p w14:paraId="48603FE3" w14:textId="77777777" w:rsidR="00E23140" w:rsidRDefault="00E23140" w:rsidP="00B95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6780a46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46dcae8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EF21" w14:textId="77777777" w:rsidR="0082710A" w:rsidRDefault="0082710A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9C4E" w14:textId="77777777" w:rsidR="0082710A" w:rsidRDefault="0082710A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C832" w14:textId="77777777" w:rsidR="0082710A" w:rsidRDefault="0082710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B3B7" w14:textId="77777777" w:rsidR="00E23140" w:rsidRDefault="00E23140" w:rsidP="00B9512F">
      <w:pPr>
        <w:spacing w:line="240" w:lineRule="auto"/>
      </w:pPr>
      <w:r>
        <w:separator/>
      </w:r>
    </w:p>
  </w:footnote>
  <w:footnote w:type="continuationSeparator" w:id="0">
    <w:p w14:paraId="078C9F46" w14:textId="77777777" w:rsidR="00E23140" w:rsidRDefault="00E23140" w:rsidP="00B951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BADD" w14:textId="77777777" w:rsidR="0082710A" w:rsidRDefault="0082710A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ABB2" w14:textId="77777777" w:rsidR="0082710A" w:rsidRDefault="0082710A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638" w14:textId="77777777" w:rsidR="0082710A" w:rsidRDefault="0082710A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31"/>
    <w:rsid w:val="001206E4"/>
    <w:rsid w:val="00210A86"/>
    <w:rsid w:val="00237D67"/>
    <w:rsid w:val="002E22E6"/>
    <w:rsid w:val="00324346"/>
    <w:rsid w:val="003426C1"/>
    <w:rsid w:val="004812F5"/>
    <w:rsid w:val="005623A0"/>
    <w:rsid w:val="0066304F"/>
    <w:rsid w:val="006B644F"/>
    <w:rsid w:val="00724696"/>
    <w:rsid w:val="00733FE4"/>
    <w:rsid w:val="00816B32"/>
    <w:rsid w:val="0082710A"/>
    <w:rsid w:val="008F3F91"/>
    <w:rsid w:val="009235A0"/>
    <w:rsid w:val="00946331"/>
    <w:rsid w:val="009C7FED"/>
    <w:rsid w:val="009D68F5"/>
    <w:rsid w:val="00AD5A16"/>
    <w:rsid w:val="00B81DBC"/>
    <w:rsid w:val="00B9512F"/>
    <w:rsid w:val="00BA53BB"/>
    <w:rsid w:val="00BB13B9"/>
    <w:rsid w:val="00CB0747"/>
    <w:rsid w:val="00E23140"/>
    <w:rsid w:val="00F0254B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5021C"/>
  <w15:chartTrackingRefBased/>
  <w15:docId w15:val="{615D21DA-4C49-441A-9F8B-E602A03F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12F"/>
    <w:pPr>
      <w:widowControl w:val="0"/>
      <w:spacing w:after="0" w:line="480" w:lineRule="auto"/>
      <w:ind w:firstLineChars="200" w:firstLine="480"/>
      <w:jc w:val="both"/>
    </w:pPr>
    <w:rPr>
      <w:rFonts w:ascii="Times New Roman" w:eastAsia="宋体" w:hAnsi="Times New Roman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6331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331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B9512F"/>
    <w:pPr>
      <w:keepNext/>
      <w:keepLines/>
      <w:ind w:firstLineChars="0" w:firstLine="0"/>
      <w:outlineLvl w:val="2"/>
    </w:pPr>
    <w:rPr>
      <w:rFonts w:eastAsia="Times New Roman"/>
      <w:b/>
      <w:color w:val="00000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331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331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331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331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331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331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3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B9512F"/>
    <w:rPr>
      <w:rFonts w:ascii="Times New Roman" w:eastAsia="Times New Roman" w:hAnsi="Times New Roman" w:cs="Times New Roman"/>
      <w:b/>
      <w:color w:val="000000"/>
      <w:sz w:val="24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9463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3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3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331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4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331"/>
    <w:pPr>
      <w:numPr>
        <w:ilvl w:val="1"/>
      </w:numPr>
      <w:spacing w:after="160" w:line="278" w:lineRule="auto"/>
      <w:ind w:firstLineChars="200" w:firstLine="48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46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331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46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331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463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463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63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512F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9512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9512F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9512F"/>
    <w:rPr>
      <w:sz w:val="18"/>
      <w:szCs w:val="18"/>
    </w:rPr>
  </w:style>
  <w:style w:type="paragraph" w:styleId="af2">
    <w:name w:val="Revision"/>
    <w:hidden/>
    <w:uiPriority w:val="99"/>
    <w:semiHidden/>
    <w:rsid w:val="00816B32"/>
    <w:pPr>
      <w:spacing w:after="0" w:line="240" w:lineRule="auto"/>
    </w:pPr>
    <w:rPr>
      <w:rFonts w:ascii="Times New Roman" w:eastAsia="宋体" w:hAnsi="Times New Roman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Yilixiati Aihemaiti</dc:creator>
  <cp:keywords/>
  <dc:description/>
  <cp:lastModifiedBy>Yilixiati Aihemaiti</cp:lastModifiedBy>
  <cp:revision>3</cp:revision>
  <dcterms:created xsi:type="dcterms:W3CDTF">2026-04-13T03:12:00Z</dcterms:created>
  <dcterms:modified xsi:type="dcterms:W3CDTF">2026-04-13T03:12:00Z</dcterms:modified>
</cp:coreProperties>
</file>