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55D266">
      <w:pPr>
        <w:spacing w:after="1"/>
        <w:ind w:left="-5" w:hanging="10"/>
        <w:jc w:val="both"/>
        <w:rPr>
          <w:b/>
          <w:bCs/>
        </w:rPr>
      </w:pPr>
      <w:r>
        <w:rPr>
          <w:rFonts w:eastAsia="Times New Roman"/>
          <w:b/>
          <w:bCs/>
          <w:color w:val="0000FF"/>
          <w:sz w:val="24"/>
          <w:szCs w:val="24"/>
        </w:rPr>
        <w:t xml:space="preserve">Table S1. </w:t>
      </w:r>
      <w:r>
        <w:rPr>
          <w:rFonts w:eastAsia="Times New Roman"/>
          <w:b/>
          <w:bCs/>
          <w:i/>
          <w:color w:val="0000FF"/>
          <w:sz w:val="24"/>
          <w:szCs w:val="24"/>
        </w:rPr>
        <w:t>C. albicans</w:t>
      </w:r>
      <w:r>
        <w:rPr>
          <w:rFonts w:eastAsia="Times New Roman"/>
          <w:b/>
          <w:bCs/>
          <w:color w:val="0000FF"/>
          <w:sz w:val="24"/>
          <w:szCs w:val="24"/>
        </w:rPr>
        <w:t xml:space="preserve"> strains used in this study</w:t>
      </w:r>
      <w:r>
        <w:rPr>
          <w:rFonts w:ascii="Times New Roman" w:hAnsi="Times New Roman" w:eastAsia="Times New Roman" w:cs="Times New Roman"/>
          <w:b/>
          <w:bCs/>
          <w:sz w:val="24"/>
        </w:rPr>
        <w:t xml:space="preserve"> </w:t>
      </w:r>
    </w:p>
    <w:tbl>
      <w:tblPr>
        <w:tblStyle w:val="5"/>
        <w:tblW w:w="9074" w:type="dxa"/>
        <w:tblInd w:w="-283" w:type="dxa"/>
        <w:tblLayout w:type="autofit"/>
        <w:tblCellMar>
          <w:top w:w="87" w:type="dxa"/>
          <w:left w:w="108" w:type="dxa"/>
          <w:bottom w:w="0" w:type="dxa"/>
          <w:right w:w="53" w:type="dxa"/>
        </w:tblCellMar>
      </w:tblPr>
      <w:tblGrid>
        <w:gridCol w:w="881"/>
        <w:gridCol w:w="883"/>
        <w:gridCol w:w="6184"/>
        <w:gridCol w:w="1126"/>
      </w:tblGrid>
      <w:tr w14:paraId="5AD671BA"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75773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 xml:space="preserve">Strain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6C0D0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 xml:space="preserve">Parent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3C3295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 xml:space="preserve">Relevant genotypes 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6D800E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 xml:space="preserve">Source </w:t>
            </w:r>
          </w:p>
        </w:tc>
      </w:tr>
      <w:tr w14:paraId="198C8904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31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D5C1D6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BWP17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7A23B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CAI4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B89F0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ura3/ura3 his1∆/his1∆ arg4∆/arg4∆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BAE73B">
            <w:pPr>
              <w:spacing w:after="87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Wilson et </w:t>
            </w:r>
          </w:p>
          <w:p w14:paraId="244581A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al. (1999) </w:t>
            </w:r>
          </w:p>
        </w:tc>
      </w:tr>
      <w:tr w14:paraId="102FB441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7116A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7EC0FC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BWP17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BE65DA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ura3Δ/ura3Δ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5642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53CD97B5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4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22CD7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LC102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307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9AA61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sec3Δ1-316-URA3/ura3Δ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E268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7A850806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41EC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LC103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0F142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84FB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sec3Δ1-157-URA3/ura3Δ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BBD2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31FE2AE6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91B94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LC104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7CD2B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ADC4F4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sec3Δ158-244-URA3/ura3Δ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6976C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0165742E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C0906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LC105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706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44CB3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sec3Δ245-316-URA3/ura3Δ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6F3C3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69637157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26C1B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LC106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E3058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5865F9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sec3Δ317-790-URA3/ura3Δ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4CD3B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03CE6312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00109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LC107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893F9B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BWP17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59F37A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ura3Δ/ura3Δ his1Δ/his1Δ RHO1/rho1Δ::ARG4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DE64D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5398F429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4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BB656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LC108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2E25A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LC107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66DCC5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ura3Δ/ura3Δ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G18V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30437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3D3F5508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DBB11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LC109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26BF2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LC107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7F897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ura3Δ/ura3Δ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D124A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CA703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46E9C5C0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ADDB1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LC110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BACA4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LC109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EE3C11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RHO1-URA3/ura3Δ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D124A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8315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31DFF090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543F2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LC111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068970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BWP17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D36D3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SEC5-3GFP-URA3/ura3Δ his1Δ/his1Δ arg4Δ/arg4Δ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11EDE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62A81486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1C88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LC112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B314F5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BWP17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37CDF4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SEC8-3GFP-URA3/ura3Δ his1Δ/his1Δ arg4Δ/arg4Δ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E4C00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7D2D1538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28512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LC113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BEA08F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BWP17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2261C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EXO70-3GFP-URA3/ura3Δ his1Δ/his1Δ arg4Δ/arg4Δ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0E8C6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76E3FD20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4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94025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LC114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2A0317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BWP17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C57A80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EXO84-3GFP-URA3/ura3Δ his1Δ/his1Δ arg4Δ/arg4Δ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F93E9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1A152D43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72AAA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LC115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090C5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2BAA11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SEC5-3GFP-URA3/ura3Δ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28320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0150C206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76259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LC116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8C68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83406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SEC8-3GFP-URA3/ura3Δ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4BADA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326CD889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300D1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LC117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71F11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3AA8E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EXO70-3GFP-URA3/ura3Δ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6E883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455DF3A5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BBD3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LC118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BAB14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30BAC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EXO84-3GFP-URA3/ura3Δ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7A3C0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58A3B53D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58DAA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LC119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C83C9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C92820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SEC5-3GFP-sec3Δ1-316-URA3/ura3Δ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15211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18484F62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4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6CDA5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LC120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01657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9E7DF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SEC8-3GFP-sec3Δ1-316-URA3/ura3Δ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53509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39050112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1A2C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LC121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37A79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26655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EXO70-3GFP-sec3Δ1-316-URA3/ura3Δ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0A87B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42ED6CFE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06F2F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LC122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A3EF5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22590A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EXO84-3GFP-sec3Δ1-316-URA3/ura3Δ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BEAC8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2DF8BDEB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7B1DB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LC123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3006B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7D8EE4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SEC5-3GFP-sec3Δ1-157-URA3/ura3Δ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DF8B8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06CB73C0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9AAE3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LC124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1A8F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1270C5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SEC8-3GFP-sec3Δ1-157-URA3/ura3Δ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7CEE3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6FAD84FA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242FF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LC125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50FE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4C0A24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EXO70-3GFP-sec3Δ1-157-URA3/ura3Δ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2DD0B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583487ED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4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D34C0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LC126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178C7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74A3CD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EXO84-3GFP-sec3Δ1-157-URA3/ura3Δ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BC98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5AE85644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4F65D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LC127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03B62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702BD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SEC5-3GFP-sec3Δ317-790-URA3/ura3Δ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4FCFE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53769F65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425E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LC128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21A8E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5A4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SEC8-3GFP-sec3Δ317-790-URA3/ura3Δ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9078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63885486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CDC08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LC129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5EF46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D2B73C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EXO70-3GFP-sec3Δ317-790-URA3/ura3Δ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CC4BE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2176E36F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1F8BB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LC130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3EFE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B7A390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EXO84-3GFP-sec3Δ317-790-URA3/ura3Δ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0AB2B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35FBB503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FFE1B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LC131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82A210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BWP17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901A54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SEC3-3GFP-URA3/ura3Δ his1Δ/his1Δ arg4Δ/arg4Δ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4ECC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74B9E58F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4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5C05B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LC132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53035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B4B2C4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sec3Δ1-316-3GFP-URA3/ura3Δ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3AFAF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0003BBD0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A8A2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LC133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6A076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ABD689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sec3Δ1-157-3GFP-URA3/ura3Δ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521BD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5499158D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48DBD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LC134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26268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LC101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A011C1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 xml:space="preserve">sec3Δ317-790-3GFP-URA3/ura3Δ sec3Δ::HIS1/sec3Δ::ARG4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D612B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22A68679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DCB3F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LC135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F0DA3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LC108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F0D88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SEC3-3GFP-URA3/ura3Δ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G18V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B0B89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765582E1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818F1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LC136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5C76D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LC108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4738F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SEC5-3GFP-URA3/ura3Δ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G18V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61646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68F9642F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8AEC2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LC137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93265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LC108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325642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SEC8-3GFP-URA3/ura3Δ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G18V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23F1A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777F5AA6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854FD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LC138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54D31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LC108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339125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EXO70-3GFP-URA3/ura3Δ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G18V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54063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4984E24D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C5770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LC139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7366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LC108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2AC126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EXO84-3GFP-URA3/ura3Δ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G18V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408D9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1E9FAF9B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4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EA74E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LC140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9355A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LC109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48AC32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SEC3-3GFP-URA3/ura3Δ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D124A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02E88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69FDDCD5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208C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LC141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CDFB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LC109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3A7BF1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SEC5-3GFP-URA3/ura3Δ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D124A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B1B87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3DDA6D3C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0DB50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LC142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E71C6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LC109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3A2245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SEC8-3GFP-URA3/ura3Δ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D124A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416C0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1938D945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9D7A1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LC143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611E9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LC109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DF7214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EXO70-3GFP-URA3/ura3Δ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D124A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28405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41EF9789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F3DE3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LC144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9FEB8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LC109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1A3DF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EXO84-3GFP-URA3/ura3Δ rho1::HIS1-rho1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D124A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/rho1Δ::ARG4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C88DA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0D527A5D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9548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LC145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0929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BWP17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99AA16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</w:t>
            </w:r>
            <w:r>
              <w:rPr>
                <w:i/>
                <w:sz w:val="20"/>
                <w:szCs w:val="20"/>
              </w:rPr>
              <w:t>3-6MYC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-URA3/ura3Δ his1Δ/his1Δ arg4Δ/arg4Δ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1ECA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study</w:t>
            </w:r>
          </w:p>
        </w:tc>
      </w:tr>
      <w:tr w14:paraId="2355BFF7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2CECA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7F4BE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BWP17 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8F040E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ura3Δ/ura3Δ his1Δ/his1Δ CDC42/</w:t>
            </w:r>
            <w:r>
              <w:rPr>
                <w:rFonts w:eastAsiaTheme="minorEastAsia"/>
                <w:i/>
                <w:sz w:val="20"/>
                <w:szCs w:val="20"/>
              </w:rPr>
              <w:t>cdc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9B5697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3118E397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B229CB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FA1A06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LC145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C54ABF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ura3Δ/ura3Δ rho1::HIS1-cdc42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G12V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/cdc42Δ::ARG4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D150E3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76569297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DFEA81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3417C1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LC145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800622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ura3Δ/ura3Δ rho1::HIS1-cdc42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D118A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/cdc42Δ::ARG4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77F09D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70513D5F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42969A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987393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LC145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96C252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CDC42-URA3/ura3Δ cdc42::HIS1/</w:t>
            </w:r>
            <w:r>
              <w:rPr>
                <w:rFonts w:eastAsiaTheme="minorEastAsia"/>
                <w:i/>
                <w:sz w:val="20"/>
                <w:szCs w:val="20"/>
              </w:rPr>
              <w:t>cdc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A9774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352DA7FB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AC6543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LC150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B5B001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BWP17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2DE928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ura3Δ/ura3Δ his1Δ/his1Δ CDC28/</w:t>
            </w:r>
            <w:r>
              <w:rPr>
                <w:rFonts w:eastAsiaTheme="minorEastAsia"/>
                <w:i/>
                <w:sz w:val="20"/>
                <w:szCs w:val="20"/>
              </w:rPr>
              <w:t>cdc28</w:t>
            </w:r>
            <w:r>
              <w:rPr>
                <w:rFonts w:eastAsia="Times New Roman"/>
                <w:i/>
                <w:sz w:val="20"/>
                <w:szCs w:val="20"/>
              </w:rPr>
              <w:t>Δ::ARG4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5698B9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This study</w:t>
            </w:r>
          </w:p>
        </w:tc>
      </w:tr>
      <w:tr w14:paraId="6D136EE6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92198F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LC151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EB407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LC149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14F3F2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ura3Δ/ura3Δ cdc28::HIS1-cdc28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F85G</w:t>
            </w:r>
            <w:r>
              <w:rPr>
                <w:rFonts w:eastAsia="Times New Roman"/>
                <w:i/>
                <w:sz w:val="20"/>
                <w:szCs w:val="20"/>
              </w:rPr>
              <w:t>/cdc28Δ::ARG4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DF2ECE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This study</w:t>
            </w:r>
          </w:p>
        </w:tc>
      </w:tr>
      <w:tr w14:paraId="20B59017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925422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LC152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B2697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LC146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845D76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SEC3-3GFP-URA3/ura3Δ cdc42::HIS1-cdc42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G12V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/cdc42Δ::ARG4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0234EF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7B58E31C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657EF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LC153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C4EE47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LC146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F5C8C7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SEC5-3GFP-URA3/ura3Δ cdc42::HIS1-cdc42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G12V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/cdc42Δ::ARG4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24297F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37D47913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0D960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LC154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41FAFD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LC146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469155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EXO70-3GFP-URA3/ura3Δ cdc42::HIS1-cdc42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G12V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/cdc42Δ::ARG4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42200D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2153DBB2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35AC62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LC155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232DAD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LC146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9C2C46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EXO84-3GFP-URA3/ura3Δ cdc42::HIS1-cdc42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G12V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/cdc42Δ::ARG4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5B5EE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5DCF91EC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1FFC1B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LC156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17536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LC147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E67339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SEC3-3GFP-URA3/ura3Δ cdc42::HIS1-cdc42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D118A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/cdc42Δ::ARG4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DF3A6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76557B47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1E002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LC157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F87D7C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LC147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F2C335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SEC5-3GFP-URA3/ura3Δ cdc42::HIS1-cdc42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D118A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/cdc42Δ::ARG4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3794D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1D148141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675312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LC158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EAB22E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LC147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C263FB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EXO70-3GFP-URA3/ura3Δ cdc42::HIS1-cdc42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D118A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/cdc42Δ::ARG4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8262C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1CECEF89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AF51F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LC159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E9134D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LC147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965A3F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EXO84-3GFP-URA3/ura3Δ cdc42::HIS1-cdc42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D118A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/cdc42Δ::ARG4 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1104AA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This study </w:t>
            </w:r>
          </w:p>
        </w:tc>
      </w:tr>
      <w:tr w14:paraId="470C66C8">
        <w:tblPrEx>
          <w:tblCellMar>
            <w:top w:w="87" w:type="dxa"/>
            <w:left w:w="108" w:type="dxa"/>
            <w:bottom w:w="0" w:type="dxa"/>
            <w:right w:w="53" w:type="dxa"/>
          </w:tblCellMar>
        </w:tblPrEx>
        <w:trPr>
          <w:trHeight w:val="322" w:hRule="atLeast"/>
        </w:trPr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AE25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LC160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DAB0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LC150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BAA5A9">
            <w:pPr>
              <w:rPr>
                <w:rFonts w:eastAsia="Times New Roman"/>
                <w:i/>
                <w:sz w:val="20"/>
                <w:szCs w:val="20"/>
              </w:rPr>
            </w:pPr>
            <w:r>
              <w:rPr>
                <w:rFonts w:eastAsia="Times New Roman"/>
                <w:i/>
                <w:sz w:val="20"/>
                <w:szCs w:val="20"/>
              </w:rPr>
              <w:t>SEC3-</w:t>
            </w:r>
            <w:r>
              <w:rPr>
                <w:i/>
                <w:sz w:val="20"/>
                <w:szCs w:val="20"/>
              </w:rPr>
              <w:t>6MYC</w:t>
            </w:r>
            <w:r>
              <w:rPr>
                <w:rFonts w:eastAsia="Times New Roman"/>
                <w:i/>
                <w:sz w:val="20"/>
                <w:szCs w:val="20"/>
              </w:rPr>
              <w:t>-URA3/ura3Δ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i/>
                <w:sz w:val="20"/>
                <w:szCs w:val="20"/>
              </w:rPr>
              <w:t>cdc28::HIS1-cdc28</w:t>
            </w:r>
            <w:r>
              <w:rPr>
                <w:rFonts w:eastAsia="Times New Roman"/>
                <w:i/>
                <w:sz w:val="20"/>
                <w:szCs w:val="20"/>
                <w:vertAlign w:val="superscript"/>
              </w:rPr>
              <w:t>F85G</w:t>
            </w:r>
            <w:r>
              <w:rPr>
                <w:rFonts w:eastAsia="Times New Roman"/>
                <w:i/>
                <w:sz w:val="20"/>
                <w:szCs w:val="20"/>
              </w:rPr>
              <w:t>/cdc28Δ::ARG4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72394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This study</w:t>
            </w:r>
          </w:p>
        </w:tc>
      </w:tr>
    </w:tbl>
    <w:p w14:paraId="41CFE883">
      <w:pPr>
        <w:spacing w:after="12"/>
      </w:pPr>
      <w:r>
        <w:rPr>
          <w:rFonts w:ascii="Times New Roman" w:hAnsi="Times New Roman" w:eastAsia="Times New Roman" w:cs="Times New Roman"/>
          <w:b/>
          <w:sz w:val="24"/>
        </w:rPr>
        <w:t xml:space="preserve"> </w:t>
      </w:r>
    </w:p>
    <w:p w14:paraId="6C08873D">
      <w:pPr>
        <w:ind w:left="-5" w:right="345"/>
        <w:rPr>
          <w:rFonts w:eastAsia="Times New Roman"/>
          <w:b/>
          <w:sz w:val="24"/>
          <w:szCs w:val="24"/>
        </w:rPr>
      </w:pPr>
    </w:p>
    <w:p w14:paraId="35D984F4">
      <w:pPr>
        <w:ind w:left="-5" w:right="345"/>
        <w:rPr>
          <w:rFonts w:eastAsia="Times New Roman"/>
          <w:b/>
          <w:sz w:val="24"/>
          <w:szCs w:val="24"/>
        </w:rPr>
      </w:pPr>
    </w:p>
    <w:p w14:paraId="23DC1A33">
      <w:pPr>
        <w:ind w:left="-5" w:right="345"/>
        <w:rPr>
          <w:rFonts w:eastAsia="Times New Roman"/>
          <w:b/>
          <w:sz w:val="24"/>
          <w:szCs w:val="24"/>
        </w:rPr>
      </w:pPr>
    </w:p>
    <w:p w14:paraId="6DD259C0">
      <w:pPr>
        <w:ind w:left="-5" w:right="345"/>
        <w:rPr>
          <w:rFonts w:hint="eastAsia" w:eastAsia="宋体"/>
          <w:b/>
          <w:sz w:val="24"/>
          <w:szCs w:val="24"/>
          <w:lang w:eastAsia="zh-CN"/>
        </w:rPr>
      </w:pPr>
      <w:r>
        <w:rPr>
          <w:rFonts w:hint="eastAsia" w:eastAsia="宋体"/>
          <w:b/>
          <w:sz w:val="24"/>
          <w:szCs w:val="24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fig.s1 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s1 0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997D">
      <w:pPr>
        <w:ind w:left="-5" w:right="345"/>
        <w:rPr>
          <w:rFonts w:eastAsia="Times New Roman"/>
          <w:b/>
          <w:sz w:val="24"/>
          <w:szCs w:val="24"/>
        </w:rPr>
      </w:pPr>
    </w:p>
    <w:p w14:paraId="632CFA80">
      <w:pPr>
        <w:ind w:left="-5" w:right="345"/>
        <w:rPr>
          <w:rFonts w:eastAsia="Times New Roman"/>
          <w:b/>
          <w:sz w:val="24"/>
          <w:szCs w:val="24"/>
        </w:rPr>
      </w:pPr>
    </w:p>
    <w:p w14:paraId="4AA4200D">
      <w:pPr>
        <w:ind w:left="-5" w:right="345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Fig. </w:t>
      </w:r>
      <w:r>
        <w:rPr>
          <w:rFonts w:hint="eastAsia"/>
          <w:b/>
          <w:sz w:val="24"/>
          <w:szCs w:val="24"/>
          <w:lang w:val="en-US" w:eastAsia="zh-CN"/>
        </w:rPr>
        <w:t>S</w:t>
      </w:r>
      <w:r>
        <w:rPr>
          <w:rFonts w:eastAsia="Times New Roman"/>
          <w:b/>
          <w:sz w:val="24"/>
          <w:szCs w:val="24"/>
        </w:rPr>
        <w:t xml:space="preserve">1. </w:t>
      </w:r>
      <w:r>
        <w:rPr>
          <w:rFonts w:eastAsia="Times New Roman"/>
          <w:b/>
          <w:i/>
          <w:sz w:val="24"/>
          <w:szCs w:val="24"/>
        </w:rPr>
        <w:t>sec3</w:t>
      </w:r>
      <w:r>
        <w:rPr>
          <w:rFonts w:eastAsia="Times New Roman"/>
          <w:b/>
          <w:sz w:val="24"/>
          <w:szCs w:val="24"/>
        </w:rPr>
        <w:t xml:space="preserve"> mutants exhibit growth defects, are sensitive to cell wall antagonists and rescued by osmotic stabilizer. </w:t>
      </w:r>
    </w:p>
    <w:p w14:paraId="14820ECE">
      <w:pPr>
        <w:ind w:left="-5" w:right="345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Cells of wild type (BWP17), </w:t>
      </w:r>
      <w:r>
        <w:rPr>
          <w:rFonts w:eastAsia="Times New Roman"/>
          <w:i/>
          <w:sz w:val="24"/>
          <w:szCs w:val="24"/>
        </w:rPr>
        <w:t>sec3Δ/Δ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sec3Δ/sec3Δ(1-316)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sec3Δ/sec3Δ(1-157)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sec3Δ/sec3Δ(158-244)</w:t>
      </w:r>
      <w:r>
        <w:rPr>
          <w:sz w:val="24"/>
          <w:szCs w:val="24"/>
        </w:rPr>
        <w:t>,</w:t>
      </w:r>
      <w:r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i/>
          <w:sz w:val="24"/>
          <w:szCs w:val="24"/>
        </w:rPr>
        <w:t>sec3Δ/sec3Δ(245-316)</w:t>
      </w:r>
      <w:r>
        <w:rPr>
          <w:sz w:val="24"/>
          <w:szCs w:val="24"/>
        </w:rPr>
        <w:t xml:space="preserve"> and </w:t>
      </w:r>
      <w:r>
        <w:rPr>
          <w:rFonts w:eastAsia="Times New Roman"/>
          <w:i/>
          <w:sz w:val="24"/>
          <w:szCs w:val="24"/>
        </w:rPr>
        <w:t>sec3Δ/sec3Δ(317-790)</w:t>
      </w:r>
      <w:r>
        <w:rPr>
          <w:sz w:val="24"/>
          <w:szCs w:val="24"/>
        </w:rPr>
        <w:t xml:space="preserve"> mutants were grown to log phase in YPD at 30°C. Equal densities of wild-type and mutant cells were spotted in 10-fold serial dilutions from left to right on YPD plates containing 30 μg/ml CFW, 300 μg/ml Congo Red (CR), 0.01% SDS, 1.2 M Sorbitol, 1 M KCl, or 1 M NaCl. All plates were supplemented with 100 μg/ml Uridine and incubated at 30</w:t>
      </w:r>
      <w:r>
        <w:rPr>
          <w:rFonts w:hint="eastAsia" w:ascii="宋体" w:hAnsi="宋体" w:cs="宋体"/>
          <w:sz w:val="24"/>
          <w:szCs w:val="24"/>
        </w:rPr>
        <w:t>℃</w:t>
      </w:r>
      <w:r>
        <w:rPr>
          <w:sz w:val="24"/>
          <w:szCs w:val="24"/>
        </w:rPr>
        <w:t>, 37</w:t>
      </w:r>
      <w:r>
        <w:rPr>
          <w:rFonts w:hint="eastAsia" w:ascii="宋体" w:hAnsi="宋体" w:cs="宋体"/>
          <w:sz w:val="24"/>
          <w:szCs w:val="24"/>
        </w:rPr>
        <w:t>℃</w:t>
      </w:r>
      <w:r>
        <w:rPr>
          <w:sz w:val="24"/>
          <w:szCs w:val="24"/>
        </w:rPr>
        <w:t>, or 42</w:t>
      </w:r>
      <w:r>
        <w:rPr>
          <w:rFonts w:hint="eastAsia" w:ascii="宋体" w:hAnsi="宋体" w:cs="宋体"/>
          <w:sz w:val="24"/>
          <w:szCs w:val="24"/>
        </w:rPr>
        <w:t>℃</w:t>
      </w:r>
      <w:r>
        <w:rPr>
          <w:sz w:val="24"/>
          <w:szCs w:val="24"/>
        </w:rPr>
        <w:t>, respectively. Shown were images of plates taken after 3 days of incubation at the indicated temperatures.</w:t>
      </w:r>
      <w:r>
        <w:rPr>
          <w:rFonts w:eastAsia="Times New Roman"/>
          <w:sz w:val="24"/>
          <w:szCs w:val="24"/>
        </w:rPr>
        <w:t xml:space="preserve"> </w:t>
      </w:r>
    </w:p>
    <w:p w14:paraId="5FE5255B">
      <w:pPr>
        <w:ind w:left="-5" w:right="345"/>
        <w:rPr>
          <w:rFonts w:eastAsia="Times New Roman"/>
          <w:sz w:val="24"/>
          <w:szCs w:val="24"/>
        </w:rPr>
      </w:pPr>
    </w:p>
    <w:p w14:paraId="130934BD">
      <w:pPr>
        <w:ind w:left="-5" w:right="345"/>
        <w:rPr>
          <w:rFonts w:eastAsia="Times New Roman"/>
          <w:sz w:val="24"/>
          <w:szCs w:val="24"/>
        </w:rPr>
      </w:pPr>
    </w:p>
    <w:p w14:paraId="19880D82">
      <w:pPr>
        <w:ind w:left="-5" w:right="345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fig.2 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2 01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1DB2"/>
    <w:p w14:paraId="0BF8D5E5">
      <w:pPr>
        <w:ind w:left="-5" w:right="345"/>
        <w:rPr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Fig. S</w:t>
      </w:r>
      <w:r>
        <w:rPr>
          <w:rFonts w:hint="eastAsia"/>
          <w:b/>
          <w:sz w:val="24"/>
          <w:szCs w:val="24"/>
          <w:lang w:val="en-US" w:eastAsia="zh-CN"/>
        </w:rPr>
        <w:t>2</w:t>
      </w:r>
      <w:r>
        <w:rPr>
          <w:rFonts w:eastAsia="Times New Roman"/>
          <w:b/>
          <w:sz w:val="24"/>
          <w:szCs w:val="24"/>
        </w:rPr>
        <w:t xml:space="preserve">. Cell lysis of </w:t>
      </w:r>
      <w:r>
        <w:rPr>
          <w:rFonts w:eastAsia="Times New Roman"/>
          <w:b/>
          <w:i/>
          <w:sz w:val="24"/>
          <w:szCs w:val="24"/>
        </w:rPr>
        <w:t>sec3</w:t>
      </w:r>
      <w:r>
        <w:rPr>
          <w:rFonts w:eastAsia="Times New Roman"/>
          <w:b/>
          <w:sz w:val="24"/>
          <w:szCs w:val="24"/>
        </w:rPr>
        <w:t xml:space="preserve"> mutants.</w:t>
      </w:r>
      <w:r>
        <w:rPr>
          <w:sz w:val="24"/>
          <w:szCs w:val="24"/>
        </w:rPr>
        <w:t xml:space="preserve"> </w:t>
      </w:r>
    </w:p>
    <w:p w14:paraId="64325BC6">
      <w:pPr>
        <w:ind w:left="-5" w:right="345"/>
        <w:rPr>
          <w:sz w:val="24"/>
          <w:szCs w:val="24"/>
        </w:rPr>
      </w:pPr>
      <w:r>
        <w:rPr>
          <w:sz w:val="24"/>
          <w:szCs w:val="24"/>
        </w:rPr>
        <w:t>(A) Equal densities of wild-type (BWP17),</w:t>
      </w:r>
      <w:r>
        <w:rPr>
          <w:rFonts w:eastAsia="Times New Roman"/>
          <w:i/>
          <w:sz w:val="24"/>
          <w:szCs w:val="24"/>
        </w:rPr>
        <w:t xml:space="preserve"> sec3Δ/Δ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sec3Δ/sec3Δ(1-316)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sec3Δ/sec3Δ(1-157)</w:t>
      </w:r>
      <w:r>
        <w:rPr>
          <w:sz w:val="24"/>
          <w:szCs w:val="24"/>
        </w:rPr>
        <w:t xml:space="preserve"> and </w:t>
      </w:r>
      <w:r>
        <w:rPr>
          <w:rFonts w:eastAsia="Times New Roman"/>
          <w:i/>
          <w:sz w:val="24"/>
          <w:szCs w:val="24"/>
        </w:rPr>
        <w:t>sec3Δ/sec3Δ(317-790)</w:t>
      </w:r>
      <w:r>
        <w:rPr>
          <w:sz w:val="24"/>
          <w:szCs w:val="24"/>
        </w:rPr>
        <w:t xml:space="preserve"> strains were loaded onto YPD plates or a YPD plate containing 1.2 M sorbitol, incubated at 30°C for 1 day, and then shifted to 30°C, 37°C, or 42°C for another day. The cells were assayed </w:t>
      </w:r>
      <w:r>
        <w:rPr>
          <w:rFonts w:eastAsia="Times New Roman"/>
          <w:i/>
          <w:sz w:val="24"/>
          <w:szCs w:val="24"/>
        </w:rPr>
        <w:t>in situ</w:t>
      </w:r>
      <w:r>
        <w:rPr>
          <w:sz w:val="24"/>
          <w:szCs w:val="24"/>
        </w:rPr>
        <w:t xml:space="preserve"> for release of alkaline phosphatase as an indication of cell lysis.</w:t>
      </w:r>
    </w:p>
    <w:p w14:paraId="7AF7B3DC">
      <w:pPr>
        <w:ind w:left="-5" w:right="345"/>
        <w:rPr>
          <w:sz w:val="24"/>
          <w:szCs w:val="24"/>
        </w:rPr>
      </w:pPr>
      <w:r>
        <w:rPr>
          <w:sz w:val="24"/>
          <w:szCs w:val="24"/>
        </w:rPr>
        <w:t>(B) wild-type (BWP17),</w:t>
      </w:r>
      <w:r>
        <w:rPr>
          <w:rFonts w:eastAsia="Times New Roman"/>
          <w:i/>
          <w:sz w:val="24"/>
          <w:szCs w:val="24"/>
        </w:rPr>
        <w:t xml:space="preserve"> sec3Δ/Δ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sec3Δ/sec3Δ(1-316)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sec3Δ/sec3Δ(1-157)</w:t>
      </w:r>
      <w:r>
        <w:rPr>
          <w:sz w:val="24"/>
          <w:szCs w:val="24"/>
        </w:rPr>
        <w:t xml:space="preserve"> and </w:t>
      </w:r>
      <w:r>
        <w:rPr>
          <w:rFonts w:eastAsia="Times New Roman"/>
          <w:i/>
          <w:sz w:val="24"/>
          <w:szCs w:val="24"/>
        </w:rPr>
        <w:t>sec3Δ/sec3Δ(317-790)</w:t>
      </w:r>
      <w:r>
        <w:rPr>
          <w:sz w:val="24"/>
          <w:szCs w:val="24"/>
        </w:rPr>
        <w:t xml:space="preserve"> strains were grown to early log phase at 30°C overnight and then shift to 42°C for 11h. Cells were stained with 0.4% Loeffler's Methylene Blue stain solution and examined by light microscopy. Scale bar, 10 μm. </w:t>
      </w:r>
    </w:p>
    <w:p w14:paraId="0BBC0592">
      <w:pPr>
        <w:spacing w:after="168" w:line="276" w:lineRule="auto"/>
        <w:rPr>
          <w:sz w:val="24"/>
          <w:szCs w:val="24"/>
        </w:rPr>
      </w:pPr>
      <w:r>
        <w:rPr>
          <w:sz w:val="24"/>
          <w:szCs w:val="24"/>
        </w:rPr>
        <w:t>(C) Number of lysed cells at 42°C in (B) were quantified. The assay was performed 3 times independently and 400 cells were quantified for each strain.</w:t>
      </w:r>
    </w:p>
    <w:p w14:paraId="58EFF714">
      <w:pPr>
        <w:spacing w:after="35"/>
        <w:ind w:left="-5" w:right="345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fig.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.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9F6D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Fig. </w:t>
      </w:r>
      <w:r>
        <w:rPr>
          <w:rFonts w:hint="eastAsia"/>
          <w:b/>
          <w:sz w:val="24"/>
          <w:szCs w:val="24"/>
          <w:lang w:val="en-US" w:eastAsia="zh-CN"/>
        </w:rPr>
        <w:t>S3</w:t>
      </w:r>
      <w:r>
        <w:rPr>
          <w:rFonts w:eastAsia="Times New Roman"/>
          <w:b/>
          <w:sz w:val="24"/>
          <w:szCs w:val="24"/>
        </w:rPr>
        <w:t xml:space="preserve">. Increased cell wall components in </w:t>
      </w:r>
      <w:r>
        <w:rPr>
          <w:rFonts w:eastAsia="Times New Roman"/>
          <w:b/>
          <w:i/>
          <w:sz w:val="24"/>
          <w:szCs w:val="24"/>
        </w:rPr>
        <w:t>sec3</w:t>
      </w:r>
      <w:r>
        <w:rPr>
          <w:rFonts w:eastAsia="Times New Roman"/>
          <w:b/>
          <w:sz w:val="24"/>
          <w:szCs w:val="24"/>
        </w:rPr>
        <w:t xml:space="preserve"> mutants. </w:t>
      </w:r>
    </w:p>
    <w:p w14:paraId="1F5CB521">
      <w:pPr>
        <w:rPr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(A)</w:t>
      </w:r>
      <w:r>
        <w:rPr>
          <w:sz w:val="24"/>
          <w:szCs w:val="24"/>
        </w:rPr>
        <w:t>Wild-type (BWP17),</w:t>
      </w:r>
      <w:r>
        <w:rPr>
          <w:rFonts w:eastAsia="Times New Roman"/>
          <w:i/>
          <w:sz w:val="24"/>
          <w:szCs w:val="24"/>
        </w:rPr>
        <w:t xml:space="preserve"> sec3Δ/Δ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sec3Δ/sec3Δ(1-316)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sec3Δ/sec3Δ(1-157)</w:t>
      </w:r>
      <w:r>
        <w:rPr>
          <w:sz w:val="24"/>
          <w:szCs w:val="24"/>
        </w:rPr>
        <w:t xml:space="preserve"> and </w:t>
      </w:r>
      <w:r>
        <w:rPr>
          <w:rFonts w:eastAsia="Times New Roman"/>
          <w:i/>
          <w:sz w:val="24"/>
          <w:szCs w:val="24"/>
        </w:rPr>
        <w:t>sec3Δ/sec3Δ(317-790)</w:t>
      </w:r>
      <w:r>
        <w:rPr>
          <w:sz w:val="24"/>
          <w:szCs w:val="24"/>
        </w:rPr>
        <w:t xml:space="preserve"> strains were incubated at 42°C for 2 h. 1,3- β-glucan, mannoproteins, and chitin were stained with aniline blue, calcofluor white, or FITC-Con A, respectively. Cells were fixed and examined under a fluorescence microscopy. Scale bar, 5 μm. PH, phase; FL, fluorescence. </w:t>
      </w:r>
    </w:p>
    <w:p w14:paraId="0755263C">
      <w:pPr>
        <w:rPr>
          <w:sz w:val="24"/>
          <w:szCs w:val="24"/>
        </w:rPr>
      </w:pPr>
      <w:r>
        <w:rPr>
          <w:sz w:val="24"/>
          <w:szCs w:val="24"/>
        </w:rPr>
        <w:t xml:space="preserve">(B) The CWI signaling pathway was activated in </w:t>
      </w:r>
      <w:r>
        <w:rPr>
          <w:rFonts w:eastAsia="Times New Roman"/>
          <w:i/>
          <w:sz w:val="24"/>
          <w:szCs w:val="24"/>
        </w:rPr>
        <w:t>sec3</w:t>
      </w:r>
      <w:r>
        <w:rPr>
          <w:sz w:val="24"/>
          <w:szCs w:val="24"/>
        </w:rPr>
        <w:t xml:space="preserve"> mutants. After wild-type (BWP17), </w:t>
      </w:r>
      <w:r>
        <w:rPr>
          <w:rFonts w:eastAsia="Times New Roman"/>
          <w:i/>
          <w:sz w:val="24"/>
          <w:szCs w:val="24"/>
        </w:rPr>
        <w:t>sec3Δ/Δ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sec3Δ/sec3Δ(1-316)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sec3Δ/sec3Δ(1-157)</w:t>
      </w:r>
      <w:r>
        <w:rPr>
          <w:sz w:val="24"/>
          <w:szCs w:val="24"/>
        </w:rPr>
        <w:t xml:space="preserve"> and </w:t>
      </w:r>
      <w:r>
        <w:rPr>
          <w:rFonts w:eastAsia="Times New Roman"/>
          <w:i/>
          <w:sz w:val="24"/>
          <w:szCs w:val="24"/>
        </w:rPr>
        <w:t>sec3Δ/sec3Δ(317-790)</w:t>
      </w:r>
      <w:r>
        <w:rPr>
          <w:sz w:val="24"/>
          <w:szCs w:val="24"/>
        </w:rPr>
        <w:t xml:space="preserve"> were incubated at 42°C for 2 h. Total RNA was extracted and RT-qPCR was used to detect the transcription level of </w:t>
      </w:r>
      <w:r>
        <w:rPr>
          <w:rFonts w:eastAsia="Times New Roman"/>
          <w:i/>
          <w:sz w:val="24"/>
          <w:szCs w:val="24"/>
        </w:rPr>
        <w:t>FKS2</w:t>
      </w:r>
      <w:r>
        <w:rPr>
          <w:sz w:val="24"/>
          <w:szCs w:val="24"/>
        </w:rPr>
        <w:t xml:space="preserve">, </w:t>
      </w:r>
      <w:r>
        <w:rPr>
          <w:rFonts w:eastAsia="Times New Roman"/>
          <w:i/>
          <w:sz w:val="24"/>
          <w:szCs w:val="24"/>
        </w:rPr>
        <w:t>PGA13</w:t>
      </w:r>
      <w:r>
        <w:rPr>
          <w:sz w:val="24"/>
          <w:szCs w:val="24"/>
        </w:rPr>
        <w:t>,</w:t>
      </w:r>
      <w:r>
        <w:rPr>
          <w:rFonts w:eastAsia="Times New Roman"/>
          <w:i/>
          <w:sz w:val="24"/>
          <w:szCs w:val="24"/>
        </w:rPr>
        <w:t xml:space="preserve"> APL4</w:t>
      </w:r>
      <w:r>
        <w:rPr>
          <w:sz w:val="24"/>
          <w:szCs w:val="24"/>
        </w:rPr>
        <w:t xml:space="preserve">, and </w:t>
      </w:r>
      <w:r>
        <w:rPr>
          <w:rFonts w:eastAsia="Times New Roman"/>
          <w:i/>
          <w:sz w:val="24"/>
          <w:szCs w:val="24"/>
        </w:rPr>
        <w:t>GFA1</w:t>
      </w:r>
      <w:r>
        <w:rPr>
          <w:sz w:val="24"/>
          <w:szCs w:val="24"/>
        </w:rPr>
        <w:t>. Relative transcript levels were calculated using the 2</w:t>
      </w:r>
      <w:r>
        <w:rPr>
          <w:sz w:val="24"/>
          <w:szCs w:val="24"/>
          <w:vertAlign w:val="superscript"/>
        </w:rPr>
        <w:t>-ΔΔCt</w:t>
      </w:r>
      <w:r>
        <w:rPr>
          <w:sz w:val="24"/>
          <w:szCs w:val="24"/>
        </w:rPr>
        <w:t xml:space="preserve"> method and the results are presented as histograms. *, </w:t>
      </w:r>
      <w:r>
        <w:rPr>
          <w:rFonts w:eastAsia="Times New Roman"/>
          <w:i/>
          <w:sz w:val="24"/>
          <w:szCs w:val="24"/>
        </w:rPr>
        <w:t>p</w:t>
      </w:r>
      <w:r>
        <w:rPr>
          <w:sz w:val="24"/>
          <w:szCs w:val="24"/>
        </w:rPr>
        <w:t xml:space="preserve"> &lt; 0.05. n=3.</w:t>
      </w:r>
    </w:p>
    <w:p w14:paraId="1AB83470">
      <w:pPr>
        <w:spacing w:line="276" w:lineRule="auto"/>
        <w:rPr>
          <w:rFonts w:hint="eastAsia" w:eastAsia="宋体"/>
          <w:b/>
          <w:bCs/>
          <w:color w:val="231F20"/>
          <w:sz w:val="24"/>
          <w:szCs w:val="24"/>
          <w:lang w:eastAsia="zh-CN"/>
        </w:rPr>
      </w:pPr>
      <w:r>
        <w:rPr>
          <w:rFonts w:hint="eastAsia" w:eastAsia="宋体"/>
          <w:b/>
          <w:bCs/>
          <w:color w:val="231F20"/>
          <w:sz w:val="24"/>
          <w:szCs w:val="24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FIG.S4  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.S4  01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2759">
      <w:pPr>
        <w:spacing w:line="276" w:lineRule="auto"/>
        <w:rPr>
          <w:rFonts w:hint="default" w:eastAsia="宋体"/>
          <w:b/>
          <w:bCs/>
          <w:color w:val="231F20"/>
          <w:spacing w:val="2"/>
          <w:sz w:val="24"/>
          <w:szCs w:val="24"/>
          <w:lang w:val="en-US" w:eastAsia="zh-CN"/>
        </w:rPr>
      </w:pPr>
      <w:r>
        <w:rPr>
          <w:b/>
          <w:bCs/>
          <w:color w:val="231F20"/>
          <w:sz w:val="24"/>
          <w:szCs w:val="24"/>
        </w:rPr>
        <w:t>Fig</w:t>
      </w:r>
      <w:r>
        <w:rPr>
          <w:b/>
          <w:bCs/>
          <w:color w:val="231F20"/>
          <w:spacing w:val="2"/>
          <w:sz w:val="24"/>
          <w:szCs w:val="24"/>
        </w:rPr>
        <w:t>. S</w:t>
      </w:r>
      <w:r>
        <w:rPr>
          <w:rFonts w:hint="eastAsia"/>
          <w:b/>
          <w:bCs/>
          <w:color w:val="231F20"/>
          <w:spacing w:val="2"/>
          <w:sz w:val="24"/>
          <w:szCs w:val="24"/>
          <w:lang w:val="en-US" w:eastAsia="zh-CN"/>
        </w:rPr>
        <w:t>4</w:t>
      </w:r>
      <w:r>
        <w:rPr>
          <w:b/>
          <w:bCs/>
          <w:color w:val="231F20"/>
          <w:spacing w:val="2"/>
          <w:sz w:val="24"/>
          <w:szCs w:val="24"/>
        </w:rPr>
        <w:t xml:space="preserve">. </w:t>
      </w:r>
      <w:r>
        <w:rPr>
          <w:b/>
          <w:bCs/>
          <w:color w:val="231F20"/>
          <w:sz w:val="24"/>
          <w:szCs w:val="24"/>
        </w:rPr>
        <w:t>Secretory</w:t>
      </w:r>
      <w:r>
        <w:rPr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vesicles</w:t>
      </w:r>
      <w:r>
        <w:rPr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were</w:t>
      </w:r>
      <w:r>
        <w:rPr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not</w:t>
      </w:r>
      <w:r>
        <w:rPr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accumulated</w:t>
      </w:r>
      <w:r>
        <w:rPr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in</w:t>
      </w:r>
      <w:r>
        <w:rPr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rho</w:t>
      </w:r>
      <w:r>
        <w:rPr>
          <w:b/>
          <w:bCs/>
          <w:color w:val="231F20"/>
          <w:spacing w:val="2"/>
          <w:sz w:val="24"/>
          <w:szCs w:val="24"/>
        </w:rPr>
        <w:t>1</w:t>
      </w:r>
      <w:r>
        <w:rPr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mutant</w:t>
      </w:r>
      <w:r>
        <w:rPr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cells</w:t>
      </w:r>
      <w:r>
        <w:rPr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at</w:t>
      </w:r>
      <w:r>
        <w:rPr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restrictive</w:t>
      </w:r>
      <w:r>
        <w:rPr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temperature</w:t>
      </w:r>
      <w:r>
        <w:rPr>
          <w:rFonts w:hint="eastAsia"/>
          <w:b/>
          <w:bCs/>
          <w:color w:val="231F20"/>
          <w:sz w:val="24"/>
          <w:szCs w:val="24"/>
          <w:lang w:val="en-US" w:eastAsia="zh-CN"/>
        </w:rPr>
        <w:t xml:space="preserve"> and the cell wall of </w:t>
      </w:r>
      <w:r>
        <w:rPr>
          <w:b/>
          <w:bCs/>
          <w:color w:val="231F20"/>
          <w:sz w:val="24"/>
          <w:szCs w:val="24"/>
        </w:rPr>
        <w:t>rho</w:t>
      </w:r>
      <w:r>
        <w:rPr>
          <w:b/>
          <w:bCs/>
          <w:color w:val="231F20"/>
          <w:spacing w:val="2"/>
          <w:sz w:val="24"/>
          <w:szCs w:val="24"/>
        </w:rPr>
        <w:t>1</w:t>
      </w:r>
      <w:r>
        <w:rPr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mutant</w:t>
      </w:r>
      <w:r>
        <w:rPr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cells</w:t>
      </w:r>
      <w:r>
        <w:rPr>
          <w:rFonts w:hint="eastAsia"/>
          <w:b/>
          <w:bCs/>
          <w:color w:val="231F20"/>
          <w:sz w:val="24"/>
          <w:szCs w:val="24"/>
          <w:lang w:val="en-US" w:eastAsia="zh-CN"/>
        </w:rPr>
        <w:t xml:space="preserve"> were not integrity.</w:t>
      </w:r>
    </w:p>
    <w:p w14:paraId="5C54EF77">
      <w:pPr>
        <w:numPr>
          <w:ilvl w:val="0"/>
          <w:numId w:val="0"/>
        </w:numPr>
        <w:spacing w:line="276" w:lineRule="auto"/>
        <w:rPr>
          <w:rFonts w:hint="default" w:ascii="Arial" w:hAnsi="Arial" w:cs="Arial"/>
          <w:color w:val="231F20"/>
          <w:spacing w:val="7"/>
          <w:sz w:val="24"/>
          <w:szCs w:val="24"/>
        </w:rPr>
      </w:pPr>
      <w:r>
        <w:rPr>
          <w:rFonts w:hint="default" w:ascii="Arial" w:hAnsi="Arial" w:eastAsia="宋体" w:cs="Arial"/>
          <w:color w:val="231F20"/>
          <w:spacing w:val="7"/>
          <w:kern w:val="0"/>
          <w:sz w:val="24"/>
          <w:szCs w:val="24"/>
          <w:lang w:val="en-US" w:eastAsia="zh-CN" w:bidi="ar-SA"/>
        </w:rPr>
        <w:t>(A)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Secretory</w:t>
      </w:r>
      <w:r>
        <w:rPr>
          <w:rFonts w:hint="default" w:ascii="Arial" w:hAnsi="Arial" w:cs="Arial"/>
          <w:b w:val="0"/>
          <w:bCs w:val="0"/>
          <w:color w:val="231F20"/>
          <w:spacing w:val="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vesicles</w:t>
      </w:r>
      <w:r>
        <w:rPr>
          <w:rFonts w:hint="default" w:ascii="Arial" w:hAnsi="Arial" w:cs="Arial"/>
          <w:b w:val="0"/>
          <w:bCs w:val="0"/>
          <w:color w:val="231F20"/>
          <w:spacing w:val="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were</w:t>
      </w:r>
      <w:r>
        <w:rPr>
          <w:rFonts w:hint="default" w:ascii="Arial" w:hAnsi="Arial" w:cs="Arial"/>
          <w:b w:val="0"/>
          <w:bCs w:val="0"/>
          <w:color w:val="231F20"/>
          <w:spacing w:val="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not</w:t>
      </w:r>
      <w:r>
        <w:rPr>
          <w:rFonts w:hint="default" w:ascii="Arial" w:hAnsi="Arial" w:cs="Arial"/>
          <w:b w:val="0"/>
          <w:bCs w:val="0"/>
          <w:color w:val="231F20"/>
          <w:spacing w:val="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accumulated</w:t>
      </w:r>
      <w:r>
        <w:rPr>
          <w:rFonts w:hint="default" w:ascii="Arial" w:hAnsi="Arial" w:cs="Arial"/>
          <w:b w:val="0"/>
          <w:bCs w:val="0"/>
          <w:color w:val="231F20"/>
          <w:spacing w:val="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in</w:t>
      </w:r>
      <w:r>
        <w:rPr>
          <w:rFonts w:hint="default" w:ascii="Arial" w:hAnsi="Arial" w:cs="Arial"/>
          <w:b w:val="0"/>
          <w:bCs w:val="0"/>
          <w:color w:val="231F20"/>
          <w:spacing w:val="13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rho</w:t>
      </w:r>
      <w:r>
        <w:rPr>
          <w:rFonts w:hint="default" w:ascii="Arial" w:hAnsi="Arial" w:cs="Arial"/>
          <w:b w:val="0"/>
          <w:bCs w:val="0"/>
          <w:color w:val="231F20"/>
          <w:spacing w:val="2"/>
          <w:sz w:val="24"/>
          <w:szCs w:val="24"/>
        </w:rPr>
        <w:t>1</w:t>
      </w:r>
      <w:r>
        <w:rPr>
          <w:rFonts w:hint="default" w:ascii="Arial" w:hAnsi="Arial" w:cs="Arial"/>
          <w:b w:val="0"/>
          <w:bCs w:val="0"/>
          <w:color w:val="231F20"/>
          <w:spacing w:val="13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mutant</w:t>
      </w:r>
      <w:r>
        <w:rPr>
          <w:rFonts w:hint="default" w:ascii="Arial" w:hAnsi="Arial" w:cs="Arial"/>
          <w:b w:val="0"/>
          <w:bCs w:val="0"/>
          <w:color w:val="231F20"/>
          <w:spacing w:val="5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cells</w:t>
      </w:r>
      <w:r>
        <w:rPr>
          <w:rFonts w:hint="default" w:ascii="Arial" w:hAnsi="Arial" w:cs="Arial"/>
          <w:b w:val="0"/>
          <w:bCs w:val="0"/>
          <w:color w:val="231F20"/>
          <w:spacing w:val="5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at</w:t>
      </w:r>
      <w:r>
        <w:rPr>
          <w:rFonts w:hint="default" w:ascii="Arial" w:hAnsi="Arial" w:cs="Arial"/>
          <w:b w:val="0"/>
          <w:bCs w:val="0"/>
          <w:color w:val="231F20"/>
          <w:spacing w:val="13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restrictive</w:t>
      </w:r>
      <w:r>
        <w:rPr>
          <w:rFonts w:hint="default" w:ascii="Arial" w:hAnsi="Arial" w:cs="Arial"/>
          <w:b w:val="0"/>
          <w:bCs w:val="0"/>
          <w:color w:val="231F20"/>
          <w:spacing w:val="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temperature</w:t>
      </w:r>
      <w:r>
        <w:rPr>
          <w:rFonts w:hint="default" w:ascii="Arial" w:hAnsi="Arial" w:cs="Arial"/>
          <w:b w:val="0"/>
          <w:bCs w:val="0"/>
          <w:color w:val="231F20"/>
          <w:spacing w:val="3"/>
          <w:sz w:val="24"/>
          <w:szCs w:val="24"/>
        </w:rPr>
        <w:t xml:space="preserve">.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W</w:t>
      </w:r>
      <w:r>
        <w:rPr>
          <w:rFonts w:hint="default" w:ascii="Arial" w:hAnsi="Arial" w:cs="Arial"/>
          <w:color w:val="231F20"/>
          <w:sz w:val="24"/>
          <w:szCs w:val="24"/>
        </w:rPr>
        <w:t>ild</w:t>
      </w:r>
      <w:r>
        <w:rPr>
          <w:rFonts w:hint="default" w:ascii="Arial" w:hAnsi="Arial" w:cs="Arial"/>
          <w:color w:val="231F20"/>
          <w:spacing w:val="3"/>
          <w:sz w:val="24"/>
          <w:szCs w:val="24"/>
        </w:rPr>
        <w:t>-</w:t>
      </w:r>
      <w:r>
        <w:rPr>
          <w:rFonts w:hint="default" w:ascii="Arial" w:hAnsi="Arial" w:cs="Arial"/>
          <w:color w:val="231F20"/>
          <w:sz w:val="24"/>
          <w:szCs w:val="24"/>
        </w:rPr>
        <w:t>type</w:t>
      </w:r>
      <w:r>
        <w:rPr>
          <w:rFonts w:hint="default" w:ascii="Arial" w:hAnsi="Arial" w:cs="Arial"/>
          <w:color w:val="231F20"/>
          <w:spacing w:val="3"/>
          <w:sz w:val="24"/>
          <w:szCs w:val="24"/>
        </w:rPr>
        <w:t xml:space="preserve"> (</w:t>
      </w:r>
      <w:r>
        <w:rPr>
          <w:rFonts w:hint="default" w:ascii="Arial" w:hAnsi="Arial" w:cs="Arial"/>
          <w:color w:val="231F20"/>
          <w:sz w:val="24"/>
          <w:szCs w:val="24"/>
        </w:rPr>
        <w:t>BWP</w:t>
      </w:r>
      <w:r>
        <w:rPr>
          <w:rFonts w:hint="default" w:ascii="Arial" w:hAnsi="Arial" w:cs="Arial"/>
          <w:color w:val="231F20"/>
          <w:spacing w:val="3"/>
          <w:sz w:val="24"/>
          <w:szCs w:val="24"/>
        </w:rPr>
        <w:t xml:space="preserve">17), </w:t>
      </w:r>
      <w:r>
        <w:rPr>
          <w:rFonts w:hint="default" w:ascii="Arial" w:hAnsi="Arial" w:cs="Arial"/>
          <w:i/>
          <w:iCs/>
          <w:color w:val="231F20"/>
          <w:sz w:val="24"/>
          <w:szCs w:val="24"/>
        </w:rPr>
        <w:t>rho</w:t>
      </w:r>
      <w:r>
        <w:rPr>
          <w:rFonts w:hint="default" w:ascii="Arial" w:hAnsi="Arial" w:cs="Arial"/>
          <w:i/>
          <w:iCs/>
          <w:color w:val="231F20"/>
          <w:spacing w:val="3"/>
          <w:sz w:val="24"/>
          <w:szCs w:val="24"/>
        </w:rPr>
        <w:t>1Δ/</w:t>
      </w:r>
      <w:r>
        <w:rPr>
          <w:rFonts w:hint="default" w:ascii="Arial" w:hAnsi="Arial" w:cs="Arial"/>
          <w:i/>
          <w:iCs/>
          <w:color w:val="231F20"/>
          <w:sz w:val="24"/>
          <w:szCs w:val="24"/>
        </w:rPr>
        <w:t>rho</w:t>
      </w:r>
      <w:r>
        <w:rPr>
          <w:rFonts w:hint="default" w:ascii="Arial" w:hAnsi="Arial" w:cs="Arial"/>
          <w:i/>
          <w:iCs/>
          <w:color w:val="231F20"/>
          <w:spacing w:val="3"/>
          <w:sz w:val="24"/>
          <w:szCs w:val="24"/>
        </w:rPr>
        <w:t>1</w:t>
      </w:r>
      <w:r>
        <w:rPr>
          <w:rFonts w:hint="default" w:ascii="Arial" w:hAnsi="Arial" w:cs="Arial"/>
          <w:i/>
          <w:iCs/>
          <w:color w:val="231F20"/>
          <w:spacing w:val="3"/>
          <w:sz w:val="24"/>
          <w:szCs w:val="24"/>
          <w:vertAlign w:val="superscript"/>
        </w:rPr>
        <w:t>G18</w:t>
      </w:r>
      <w:r>
        <w:rPr>
          <w:rFonts w:hint="default" w:ascii="Arial" w:hAnsi="Arial" w:cs="Arial"/>
          <w:i/>
          <w:iCs/>
          <w:color w:val="231F20"/>
          <w:sz w:val="24"/>
          <w:szCs w:val="24"/>
          <w:vertAlign w:val="superscript"/>
        </w:rPr>
        <w:t>V</w:t>
      </w:r>
      <w:r>
        <w:rPr>
          <w:rFonts w:hint="default" w:ascii="Arial" w:hAnsi="Arial" w:cs="Arial"/>
          <w:color w:val="231F20"/>
          <w:sz w:val="24"/>
          <w:szCs w:val="24"/>
          <w:vertAlign w:val="superscript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and</w:t>
      </w:r>
      <w:r>
        <w:rPr>
          <w:rFonts w:hint="default"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hint="default" w:ascii="Arial" w:hAnsi="Arial" w:cs="Arial"/>
          <w:i/>
          <w:iCs/>
          <w:color w:val="231F20"/>
          <w:sz w:val="24"/>
          <w:szCs w:val="24"/>
        </w:rPr>
        <w:t>rho</w:t>
      </w:r>
      <w:r>
        <w:rPr>
          <w:rFonts w:hint="default" w:ascii="Arial" w:hAnsi="Arial" w:cs="Arial"/>
          <w:i/>
          <w:iCs/>
          <w:color w:val="231F20"/>
          <w:spacing w:val="3"/>
          <w:sz w:val="24"/>
          <w:szCs w:val="24"/>
        </w:rPr>
        <w:t>1Δ/</w:t>
      </w:r>
      <w:r>
        <w:rPr>
          <w:rFonts w:hint="default" w:ascii="Arial" w:hAnsi="Arial" w:cs="Arial"/>
          <w:i/>
          <w:iCs/>
          <w:color w:val="231F20"/>
          <w:sz w:val="24"/>
          <w:szCs w:val="24"/>
        </w:rPr>
        <w:t>rho</w:t>
      </w:r>
      <w:r>
        <w:rPr>
          <w:rFonts w:hint="default" w:ascii="Arial" w:hAnsi="Arial" w:cs="Arial"/>
          <w:i/>
          <w:iCs/>
          <w:color w:val="231F20"/>
          <w:spacing w:val="3"/>
          <w:sz w:val="24"/>
          <w:szCs w:val="24"/>
        </w:rPr>
        <w:t>1</w:t>
      </w:r>
      <w:r>
        <w:rPr>
          <w:rFonts w:hint="default" w:ascii="Arial" w:hAnsi="Arial" w:cs="Arial"/>
          <w:i/>
          <w:iCs/>
          <w:color w:val="231F20"/>
          <w:spacing w:val="3"/>
          <w:sz w:val="24"/>
          <w:szCs w:val="24"/>
          <w:vertAlign w:val="superscript"/>
        </w:rPr>
        <w:t>D124</w:t>
      </w:r>
      <w:r>
        <w:rPr>
          <w:rFonts w:hint="default" w:ascii="Arial" w:hAnsi="Arial" w:cs="Arial"/>
          <w:i/>
          <w:iCs/>
          <w:color w:val="231F20"/>
          <w:sz w:val="24"/>
          <w:szCs w:val="24"/>
          <w:vertAlign w:val="superscript"/>
        </w:rPr>
        <w:t>A</w:t>
      </w:r>
      <w:r>
        <w:rPr>
          <w:rFonts w:hint="default" w:ascii="Arial" w:hAnsi="Arial" w:cs="Arial"/>
          <w:i/>
          <w:iCs/>
          <w:color w:val="231F20"/>
          <w:spacing w:val="3"/>
          <w:sz w:val="24"/>
          <w:szCs w:val="24"/>
          <w:vertAlign w:val="superscript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strains were</w:t>
      </w:r>
      <w:r>
        <w:rPr>
          <w:rFonts w:hint="default" w:ascii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grown</w:t>
      </w:r>
      <w:r>
        <w:rPr>
          <w:rFonts w:hint="default" w:ascii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to</w:t>
      </w:r>
      <w:r>
        <w:rPr>
          <w:rFonts w:hint="default" w:ascii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early</w:t>
      </w:r>
      <w:r>
        <w:rPr>
          <w:rFonts w:hint="default" w:ascii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log</w:t>
      </w:r>
      <w:r>
        <w:rPr>
          <w:rFonts w:hint="default" w:ascii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phase</w:t>
      </w:r>
      <w:r>
        <w:rPr>
          <w:rFonts w:hint="default" w:ascii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in YPD</w:t>
      </w:r>
      <w:r>
        <w:rPr>
          <w:rFonts w:hint="default" w:ascii="Arial" w:hAnsi="Arial" w:cs="Arial"/>
          <w:color w:val="231F20"/>
          <w:spacing w:val="16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liquid</w:t>
      </w:r>
      <w:r>
        <w:rPr>
          <w:rFonts w:hint="default" w:ascii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medium</w:t>
      </w:r>
      <w:r>
        <w:rPr>
          <w:rFonts w:hint="default" w:ascii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overnight</w:t>
      </w:r>
      <w:r>
        <w:rPr>
          <w:rFonts w:hint="default" w:ascii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at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pacing w:val="17"/>
          <w:sz w:val="24"/>
          <w:szCs w:val="24"/>
        </w:rPr>
        <w:t>30°</w:t>
      </w:r>
      <w:r>
        <w:rPr>
          <w:rFonts w:hint="default" w:ascii="Arial" w:hAnsi="Arial" w:cs="Arial"/>
          <w:color w:val="231F20"/>
          <w:sz w:val="24"/>
          <w:szCs w:val="24"/>
        </w:rPr>
        <w:t>C</w:t>
      </w:r>
      <w:r>
        <w:rPr>
          <w:rFonts w:hint="default"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and</w:t>
      </w:r>
      <w:r>
        <w:rPr>
          <w:rFonts w:hint="default" w:ascii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then shifted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to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42°</w:t>
      </w:r>
      <w:r>
        <w:rPr>
          <w:rFonts w:hint="default" w:ascii="Arial" w:hAnsi="Arial" w:cs="Arial"/>
          <w:color w:val="231F20"/>
          <w:sz w:val="24"/>
          <w:szCs w:val="24"/>
        </w:rPr>
        <w:t>C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for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90 </w:t>
      </w:r>
      <w:r>
        <w:rPr>
          <w:rFonts w:hint="default" w:ascii="Arial" w:hAnsi="Arial" w:cs="Arial"/>
          <w:color w:val="231F20"/>
          <w:sz w:val="24"/>
          <w:szCs w:val="24"/>
        </w:rPr>
        <w:t>min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>.</w:t>
      </w:r>
      <w:r>
        <w:rPr>
          <w:rFonts w:hint="default"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The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cells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were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m</w:t>
      </w:r>
      <w:r>
        <w:rPr>
          <w:rFonts w:hint="default" w:ascii="Arial" w:hAnsi="Arial" w:cs="Arial"/>
          <w:color w:val="231F20"/>
          <w:sz w:val="24"/>
          <w:szCs w:val="24"/>
        </w:rPr>
        <w:t>ixed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, </w:t>
      </w:r>
      <w:r>
        <w:rPr>
          <w:rFonts w:hint="default" w:ascii="Arial" w:hAnsi="Arial" w:cs="Arial"/>
          <w:color w:val="231F20"/>
          <w:sz w:val="24"/>
          <w:szCs w:val="24"/>
        </w:rPr>
        <w:t>stained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, </w:t>
      </w:r>
      <w:r>
        <w:rPr>
          <w:rFonts w:hint="default" w:ascii="Arial" w:hAnsi="Arial" w:cs="Arial"/>
          <w:color w:val="231F20"/>
          <w:sz w:val="24"/>
          <w:szCs w:val="24"/>
        </w:rPr>
        <w:t>and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examined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by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thin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>-</w:t>
      </w:r>
      <w:r>
        <w:rPr>
          <w:rFonts w:hint="default" w:ascii="Arial" w:hAnsi="Arial" w:cs="Arial"/>
          <w:color w:val="231F20"/>
          <w:sz w:val="24"/>
          <w:szCs w:val="24"/>
        </w:rPr>
        <w:t>section electron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microscopy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>.</w:t>
      </w:r>
      <w:r>
        <w:rPr>
          <w:rFonts w:hint="default" w:ascii="Arial" w:hAnsi="Arial" w:cs="Arial"/>
          <w:sz w:val="24"/>
          <w:szCs w:val="24"/>
        </w:rPr>
        <w:t xml:space="preserve"> Scale bar, 1μm.</w:t>
      </w:r>
      <w:r>
        <w:rPr>
          <w:rFonts w:hint="default" w:ascii="Arial" w:hAnsi="Arial" w:cs="Arial"/>
          <w:color w:val="231F20"/>
          <w:spacing w:val="7"/>
          <w:sz w:val="24"/>
          <w:szCs w:val="24"/>
        </w:rPr>
        <w:t xml:space="preserve"> </w:t>
      </w:r>
    </w:p>
    <w:p w14:paraId="461F1C9A">
      <w:pPr>
        <w:numPr>
          <w:ilvl w:val="0"/>
          <w:numId w:val="0"/>
        </w:numPr>
        <w:spacing w:line="276" w:lineRule="auto"/>
        <w:ind w:left="0" w:leftChars="0" w:firstLine="0" w:firstLineChars="0"/>
        <w:rPr>
          <w:rFonts w:hint="default" w:ascii="Arial" w:hAnsi="Arial" w:cs="Arial"/>
          <w:color w:val="231F20"/>
          <w:sz w:val="24"/>
          <w:szCs w:val="24"/>
        </w:rPr>
      </w:pPr>
      <w:r>
        <w:rPr>
          <w:rFonts w:hint="default" w:ascii="Arial" w:hAnsi="Arial" w:eastAsia="宋体" w:cs="Arial"/>
          <w:color w:val="231F20"/>
          <w:kern w:val="0"/>
          <w:sz w:val="24"/>
          <w:szCs w:val="24"/>
          <w:lang w:val="en-US" w:eastAsia="zh-CN" w:bidi="ar-SA"/>
        </w:rPr>
        <w:t>(B)</w:t>
      </w:r>
      <w:r>
        <w:rPr>
          <w:rFonts w:hint="default" w:ascii="Arial" w:hAnsi="Arial" w:cs="Arial"/>
          <w:color w:val="231F2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231F20"/>
          <w:spacing w:val="7"/>
          <w:sz w:val="24"/>
          <w:szCs w:val="24"/>
          <w:lang w:val="en-US" w:eastAsia="zh-CN"/>
        </w:rPr>
        <w:t>r</w:t>
      </w:r>
      <w:r>
        <w:rPr>
          <w:rFonts w:hint="default" w:ascii="Arial" w:hAnsi="Arial" w:cs="Arial"/>
          <w:b w:val="0"/>
          <w:bCs w:val="0"/>
          <w:i/>
          <w:iCs/>
          <w:color w:val="231F20"/>
          <w:sz w:val="24"/>
          <w:szCs w:val="24"/>
        </w:rPr>
        <w:t>ho1Δ/rho1</w:t>
      </w:r>
      <w:r>
        <w:rPr>
          <w:rFonts w:hint="default" w:ascii="Arial" w:hAnsi="Arial" w:cs="Arial"/>
          <w:b w:val="0"/>
          <w:bCs w:val="0"/>
          <w:i/>
          <w:iCs/>
          <w:color w:val="231F20"/>
          <w:sz w:val="24"/>
          <w:szCs w:val="24"/>
          <w:vertAlign w:val="superscript"/>
        </w:rPr>
        <w:t>D124A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  <w:vertAlign w:val="superscript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z w:val="24"/>
          <w:szCs w:val="24"/>
        </w:rPr>
        <w:t>mutant is sensitive to cell wall antagonists. C</w:t>
      </w:r>
      <w:r>
        <w:rPr>
          <w:rFonts w:hint="default" w:ascii="Arial" w:hAnsi="Arial" w:cs="Arial"/>
          <w:color w:val="231F20"/>
          <w:sz w:val="24"/>
          <w:szCs w:val="24"/>
        </w:rPr>
        <w:t>ells of wild type (BWP17),</w:t>
      </w:r>
      <w:r>
        <w:rPr>
          <w:rFonts w:hint="default" w:ascii="Arial" w:hAnsi="Arial" w:cs="Arial"/>
          <w:i/>
          <w:iCs/>
          <w:color w:val="231F20"/>
          <w:sz w:val="24"/>
          <w:szCs w:val="24"/>
        </w:rPr>
        <w:t xml:space="preserve"> rho1Δ/RHO1</w:t>
      </w:r>
      <w:r>
        <w:rPr>
          <w:rFonts w:hint="default" w:ascii="Arial" w:hAnsi="Arial" w:cs="Arial"/>
          <w:color w:val="231F20"/>
          <w:sz w:val="24"/>
          <w:szCs w:val="24"/>
        </w:rPr>
        <w:t xml:space="preserve">, </w:t>
      </w:r>
      <w:r>
        <w:rPr>
          <w:rFonts w:hint="default" w:ascii="Arial" w:hAnsi="Arial" w:cs="Arial"/>
          <w:i/>
          <w:iCs/>
          <w:color w:val="231F20"/>
          <w:sz w:val="24"/>
          <w:szCs w:val="24"/>
        </w:rPr>
        <w:t>rho1Δ/rho1</w:t>
      </w:r>
      <w:r>
        <w:rPr>
          <w:rFonts w:hint="default" w:ascii="Arial" w:hAnsi="Arial" w:cs="Arial"/>
          <w:i/>
          <w:iCs/>
          <w:color w:val="231F20"/>
          <w:sz w:val="24"/>
          <w:szCs w:val="24"/>
          <w:vertAlign w:val="superscript"/>
        </w:rPr>
        <w:t>G18V</w:t>
      </w:r>
      <w:r>
        <w:rPr>
          <w:rFonts w:hint="default" w:ascii="Arial" w:hAnsi="Arial" w:cs="Arial"/>
          <w:color w:val="231F20"/>
          <w:sz w:val="24"/>
          <w:szCs w:val="24"/>
        </w:rPr>
        <w:t>, and</w:t>
      </w:r>
      <w:r>
        <w:rPr>
          <w:rFonts w:hint="default" w:ascii="Arial" w:hAnsi="Arial" w:cs="Arial"/>
          <w:i/>
          <w:iCs/>
          <w:color w:val="231F20"/>
          <w:sz w:val="24"/>
          <w:szCs w:val="24"/>
        </w:rPr>
        <w:t xml:space="preserve"> rho1Δ/rho1</w:t>
      </w:r>
      <w:r>
        <w:rPr>
          <w:rFonts w:hint="default" w:ascii="Arial" w:hAnsi="Arial" w:cs="Arial"/>
          <w:i/>
          <w:iCs/>
          <w:color w:val="231F20"/>
          <w:sz w:val="24"/>
          <w:szCs w:val="24"/>
          <w:vertAlign w:val="superscript"/>
        </w:rPr>
        <w:t>D124A</w:t>
      </w:r>
      <w:r>
        <w:rPr>
          <w:rFonts w:hint="default" w:ascii="Arial" w:hAnsi="Arial" w:cs="Arial"/>
          <w:color w:val="231F20"/>
          <w:sz w:val="24"/>
          <w:szCs w:val="24"/>
          <w:vertAlign w:val="superscript"/>
        </w:rPr>
        <w:t xml:space="preserve"> </w:t>
      </w:r>
      <w:r>
        <w:rPr>
          <w:rFonts w:hint="default" w:ascii="Arial" w:hAnsi="Arial" w:cs="Arial"/>
          <w:color w:val="231F20"/>
          <w:sz w:val="24"/>
          <w:szCs w:val="24"/>
        </w:rPr>
        <w:t>strains were grown to log phase in YPD at 30°C. Equal densities of wild-type and mutant cells were spotted in 10-fold serial dilutions from left to right on YPD or YPD plates containing 30μg/ml CFW or 300μg/ml Congo Red (CR). All plates were supplemented with 100μg/ml Uridine and incubated at 30℃, 37℃, or 42℃, respectively. Shown were images of plates taken after 3 days of incubation at the indicated temperatures.</w:t>
      </w:r>
    </w:p>
    <w:p w14:paraId="3D77C290">
      <w:pPr>
        <w:numPr>
          <w:ilvl w:val="0"/>
          <w:numId w:val="0"/>
        </w:numPr>
        <w:spacing w:line="276" w:lineRule="auto"/>
        <w:ind w:left="0" w:leftChars="0" w:firstLine="0" w:firstLineChars="0"/>
        <w:rPr>
          <w:rFonts w:hint="default" w:ascii="Arial" w:hAnsi="Arial" w:cs="Arial"/>
          <w:spacing w:val="-1"/>
          <w:sz w:val="24"/>
          <w:szCs w:val="24"/>
        </w:rPr>
      </w:pPr>
      <w:r>
        <w:rPr>
          <w:rFonts w:hint="default" w:ascii="Arial" w:hAnsi="Arial" w:eastAsia="宋体" w:cs="Arial"/>
          <w:color w:val="000000"/>
          <w:spacing w:val="-1"/>
          <w:kern w:val="0"/>
          <w:sz w:val="24"/>
          <w:szCs w:val="24"/>
          <w:lang w:val="en-US" w:eastAsia="zh-CN" w:bidi="ar-SA"/>
        </w:rPr>
        <w:t>(C)</w:t>
      </w:r>
      <w:r>
        <w:rPr>
          <w:rFonts w:hint="default" w:ascii="Arial" w:hAnsi="Arial" w:cs="Arial"/>
          <w:color w:val="000000"/>
          <w:spacing w:val="-1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default" w:ascii="Arial" w:hAnsi="Arial" w:cs="Arial"/>
          <w:b w:val="0"/>
          <w:bCs w:val="0"/>
          <w:color w:val="231F20"/>
          <w:spacing w:val="7"/>
          <w:sz w:val="24"/>
          <w:szCs w:val="24"/>
          <w:lang w:val="en-US" w:eastAsia="zh-CN"/>
        </w:rPr>
        <w:t>R</w:t>
      </w:r>
      <w:r>
        <w:rPr>
          <w:rFonts w:hint="default" w:ascii="Arial" w:hAnsi="Arial" w:cs="Arial"/>
          <w:b w:val="0"/>
          <w:bCs w:val="0"/>
          <w:sz w:val="24"/>
          <w:szCs w:val="24"/>
        </w:rPr>
        <w:t>eplenishment</w:t>
      </w:r>
      <w:r>
        <w:rPr>
          <w:rFonts w:hint="default" w:ascii="Arial" w:hAnsi="Arial" w:cs="Arial"/>
          <w:b w:val="0"/>
          <w:bCs w:val="0"/>
          <w:spacing w:val="20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z w:val="24"/>
          <w:szCs w:val="24"/>
        </w:rPr>
        <w:t>of the</w:t>
      </w:r>
      <w:r>
        <w:rPr>
          <w:rFonts w:hint="default" w:ascii="Arial" w:hAnsi="Arial" w:cs="Arial"/>
          <w:b w:val="0"/>
          <w:bCs w:val="0"/>
          <w:spacing w:val="15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z w:val="24"/>
          <w:szCs w:val="24"/>
        </w:rPr>
        <w:t>wild-type RHO1</w:t>
      </w:r>
      <w:r>
        <w:rPr>
          <w:rFonts w:hint="default" w:ascii="Arial" w:hAnsi="Arial" w:cs="Arial"/>
          <w:b w:val="0"/>
          <w:bCs w:val="0"/>
          <w:spacing w:val="24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z w:val="24"/>
          <w:szCs w:val="24"/>
        </w:rPr>
        <w:t>ge</w:t>
      </w:r>
      <w:r>
        <w:rPr>
          <w:rFonts w:hint="default" w:ascii="Arial" w:hAnsi="Arial" w:cs="Arial"/>
          <w:b w:val="0"/>
          <w:bCs w:val="0"/>
          <w:spacing w:val="-1"/>
          <w:sz w:val="24"/>
          <w:szCs w:val="24"/>
        </w:rPr>
        <w:t>ne</w:t>
      </w:r>
      <w:r>
        <w:rPr>
          <w:rFonts w:hint="default" w:ascii="Arial" w:hAnsi="Arial" w:cs="Arial"/>
          <w:b w:val="0"/>
          <w:bCs w:val="0"/>
          <w:spacing w:val="2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pacing w:val="-1"/>
          <w:sz w:val="24"/>
          <w:szCs w:val="24"/>
        </w:rPr>
        <w:t>can</w:t>
      </w:r>
      <w:r>
        <w:rPr>
          <w:rFonts w:hint="default" w:ascii="Arial" w:hAnsi="Arial" w:cs="Arial"/>
          <w:b w:val="0"/>
          <w:bCs w:val="0"/>
          <w:spacing w:val="20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pacing w:val="-1"/>
          <w:sz w:val="24"/>
          <w:szCs w:val="24"/>
        </w:rPr>
        <w:t>inhibit</w:t>
      </w:r>
      <w:r>
        <w:rPr>
          <w:rFonts w:hint="default" w:ascii="Arial" w:hAnsi="Arial" w:cs="Arial"/>
          <w:b w:val="0"/>
          <w:bCs w:val="0"/>
          <w:spacing w:val="18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pacing w:val="-1"/>
          <w:sz w:val="24"/>
          <w:szCs w:val="24"/>
        </w:rPr>
        <w:t>the</w:t>
      </w:r>
      <w:r>
        <w:rPr>
          <w:rFonts w:hint="default" w:ascii="Arial" w:hAnsi="Arial" w:cs="Arial"/>
          <w:b w:val="0"/>
          <w:bCs w:val="0"/>
          <w:spacing w:val="23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pacing w:val="-1"/>
          <w:sz w:val="24"/>
          <w:szCs w:val="24"/>
        </w:rPr>
        <w:t>sensitivity</w:t>
      </w:r>
      <w:r>
        <w:rPr>
          <w:rFonts w:hint="default" w:ascii="Arial" w:hAnsi="Arial" w:cs="Arial"/>
          <w:b w:val="0"/>
          <w:bCs w:val="0"/>
          <w:spacing w:val="2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pacing w:val="-1"/>
          <w:sz w:val="24"/>
          <w:szCs w:val="24"/>
        </w:rPr>
        <w:t>o</w:t>
      </w:r>
      <w:r>
        <w:rPr>
          <w:rFonts w:hint="default" w:ascii="Arial" w:hAnsi="Arial" w:cs="Arial"/>
          <w:b w:val="0"/>
          <w:bCs w:val="0"/>
          <w:spacing w:val="7"/>
          <w:sz w:val="24"/>
          <w:szCs w:val="24"/>
        </w:rPr>
        <w:t>f</w:t>
      </w:r>
      <w:r>
        <w:rPr>
          <w:rFonts w:hint="default" w:ascii="Arial" w:hAnsi="Arial" w:cs="Arial"/>
          <w:b w:val="0"/>
          <w:bCs w:val="0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sz w:val="24"/>
          <w:szCs w:val="24"/>
        </w:rPr>
        <w:t>rho1Δ/rho1</w:t>
      </w:r>
      <w:r>
        <w:rPr>
          <w:rFonts w:hint="default" w:ascii="Arial" w:hAnsi="Arial" w:cs="Arial"/>
          <w:b w:val="0"/>
          <w:bCs w:val="0"/>
          <w:i/>
          <w:iCs/>
          <w:position w:val="7"/>
          <w:sz w:val="24"/>
          <w:szCs w:val="24"/>
          <w:vertAlign w:val="superscript"/>
        </w:rPr>
        <w:t>D124A</w:t>
      </w:r>
      <w:r>
        <w:rPr>
          <w:rFonts w:hint="default" w:ascii="Arial" w:hAnsi="Arial" w:cs="Arial"/>
          <w:b w:val="0"/>
          <w:bCs w:val="0"/>
          <w:i/>
          <w:iCs/>
          <w:position w:val="7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z w:val="24"/>
          <w:szCs w:val="24"/>
        </w:rPr>
        <w:t>to cell wall</w:t>
      </w:r>
      <w:r>
        <w:rPr>
          <w:rFonts w:hint="default" w:ascii="Arial" w:hAnsi="Arial" w:cs="Arial"/>
          <w:b w:val="0"/>
          <w:bCs w:val="0"/>
          <w:spacing w:val="17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z w:val="24"/>
          <w:szCs w:val="24"/>
        </w:rPr>
        <w:t>antag</w:t>
      </w:r>
      <w:r>
        <w:rPr>
          <w:rFonts w:hint="default" w:ascii="Arial" w:hAnsi="Arial" w:cs="Arial"/>
          <w:b w:val="0"/>
          <w:bCs w:val="0"/>
          <w:spacing w:val="-1"/>
          <w:sz w:val="24"/>
          <w:szCs w:val="24"/>
        </w:rPr>
        <w:t>onists.</w:t>
      </w:r>
      <w:r>
        <w:rPr>
          <w:rFonts w:hint="default" w:ascii="Arial" w:hAnsi="Arial" w:cs="Arial"/>
          <w:b w:val="0"/>
          <w:bCs w:val="0"/>
          <w:spacing w:val="15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pacing w:val="-1"/>
          <w:sz w:val="24"/>
          <w:szCs w:val="24"/>
        </w:rPr>
        <w:t>Cells</w:t>
      </w:r>
      <w:r>
        <w:rPr>
          <w:rFonts w:hint="default" w:ascii="Arial" w:hAnsi="Arial" w:cs="Arial"/>
          <w:b w:val="0"/>
          <w:bCs w:val="0"/>
          <w:spacing w:val="16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pacing w:val="-1"/>
          <w:sz w:val="24"/>
          <w:szCs w:val="24"/>
        </w:rPr>
        <w:t>of wild type</w:t>
      </w:r>
      <w:r>
        <w:rPr>
          <w:rFonts w:hint="default" w:ascii="Arial" w:hAnsi="Arial" w:cs="Arial"/>
          <w:b w:val="0"/>
          <w:bCs w:val="0"/>
          <w:spacing w:val="16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spacing w:val="-1"/>
          <w:sz w:val="24"/>
          <w:szCs w:val="24"/>
        </w:rPr>
        <w:t>(BWP17),</w:t>
      </w:r>
      <w:r>
        <w:rPr>
          <w:rFonts w:hint="default" w:ascii="Arial" w:hAnsi="Arial" w:cs="Arial"/>
          <w:b w:val="0"/>
          <w:bCs w:val="0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sz w:val="24"/>
          <w:szCs w:val="24"/>
        </w:rPr>
        <w:t>rho1Δ/rho1</w:t>
      </w:r>
      <w:r>
        <w:rPr>
          <w:rFonts w:hint="default" w:ascii="Arial" w:hAnsi="Arial" w:cs="Arial"/>
          <w:b w:val="0"/>
          <w:bCs w:val="0"/>
          <w:i/>
          <w:iCs/>
          <w:position w:val="8"/>
          <w:sz w:val="24"/>
          <w:szCs w:val="24"/>
          <w:vertAlign w:val="superscript"/>
        </w:rPr>
        <w:t>D124A</w:t>
      </w:r>
      <w:r>
        <w:rPr>
          <w:rFonts w:hint="default" w:ascii="Arial" w:hAnsi="Arial" w:cs="Arial"/>
          <w:b w:val="0"/>
          <w:bCs w:val="0"/>
          <w:sz w:val="24"/>
          <w:szCs w:val="24"/>
        </w:rPr>
        <w:t xml:space="preserve">, and </w:t>
      </w:r>
      <w:r>
        <w:rPr>
          <w:rFonts w:hint="default" w:ascii="Arial" w:hAnsi="Arial" w:cs="Arial"/>
          <w:b w:val="0"/>
          <w:bCs w:val="0"/>
          <w:i/>
          <w:iCs/>
          <w:sz w:val="24"/>
          <w:szCs w:val="24"/>
        </w:rPr>
        <w:t>rho1Δ//rho1</w:t>
      </w:r>
      <w:r>
        <w:rPr>
          <w:rFonts w:hint="default" w:ascii="Arial" w:hAnsi="Arial" w:cs="Arial"/>
          <w:b w:val="0"/>
          <w:bCs w:val="0"/>
          <w:i/>
          <w:iCs/>
          <w:position w:val="8"/>
          <w:sz w:val="24"/>
          <w:szCs w:val="24"/>
          <w:vertAlign w:val="superscript"/>
        </w:rPr>
        <w:t>D124A</w:t>
      </w:r>
      <w:r>
        <w:rPr>
          <w:rFonts w:hint="default" w:ascii="Arial" w:hAnsi="Arial" w:cs="Arial"/>
          <w:b w:val="0"/>
          <w:bCs w:val="0"/>
          <w:i/>
          <w:iCs/>
          <w:sz w:val="24"/>
          <w:szCs w:val="24"/>
        </w:rPr>
        <w:t xml:space="preserve">-RHO1 </w:t>
      </w:r>
      <w:r>
        <w:rPr>
          <w:rFonts w:hint="default" w:ascii="Arial" w:hAnsi="Arial" w:cs="Arial"/>
          <w:b w:val="0"/>
          <w:bCs w:val="0"/>
          <w:sz w:val="24"/>
          <w:szCs w:val="24"/>
        </w:rPr>
        <w:t xml:space="preserve">strains were </w:t>
      </w:r>
      <w:r>
        <w:rPr>
          <w:rFonts w:hint="default" w:ascii="Arial" w:hAnsi="Arial" w:cs="Arial"/>
          <w:sz w:val="24"/>
          <w:szCs w:val="24"/>
        </w:rPr>
        <w:t>grown t</w:t>
      </w:r>
      <w:r>
        <w:rPr>
          <w:rFonts w:hint="default" w:ascii="Arial" w:hAnsi="Arial" w:cs="Arial"/>
          <w:spacing w:val="-1"/>
          <w:sz w:val="24"/>
          <w:szCs w:val="24"/>
        </w:rPr>
        <w:t>o log phase in YPD</w:t>
      </w:r>
      <w:r>
        <w:rPr>
          <w:rFonts w:hint="default" w:ascii="Arial" w:hAnsi="Arial" w:cs="Arial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at</w:t>
      </w:r>
      <w:r>
        <w:rPr>
          <w:rFonts w:hint="default" w:ascii="Arial" w:hAnsi="Arial" w:cs="Arial"/>
          <w:spacing w:val="29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30°C.</w:t>
      </w:r>
      <w:r>
        <w:rPr>
          <w:rFonts w:hint="default" w:ascii="Arial" w:hAnsi="Arial" w:cs="Arial"/>
          <w:spacing w:val="24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Equal</w:t>
      </w:r>
      <w:r>
        <w:rPr>
          <w:rFonts w:hint="default" w:ascii="Arial" w:hAnsi="Arial" w:cs="Arial"/>
          <w:spacing w:val="27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densities</w:t>
      </w:r>
      <w:r>
        <w:rPr>
          <w:rFonts w:hint="default" w:ascii="Arial" w:hAnsi="Arial" w:cs="Arial"/>
          <w:spacing w:val="27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of wild-type</w:t>
      </w:r>
      <w:r>
        <w:rPr>
          <w:rFonts w:hint="default" w:ascii="Arial" w:hAnsi="Arial" w:cs="Arial"/>
          <w:spacing w:val="27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and</w:t>
      </w:r>
      <w:r>
        <w:rPr>
          <w:rFonts w:hint="default" w:ascii="Arial" w:hAnsi="Arial" w:cs="Arial"/>
          <w:spacing w:val="20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mutant</w:t>
      </w:r>
      <w:r>
        <w:rPr>
          <w:rFonts w:hint="default" w:ascii="Arial" w:hAnsi="Arial" w:cs="Arial"/>
          <w:spacing w:val="29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cells</w:t>
      </w:r>
      <w:r>
        <w:rPr>
          <w:rFonts w:hint="default" w:ascii="Arial" w:hAnsi="Arial" w:cs="Arial"/>
          <w:spacing w:val="2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were</w:t>
      </w:r>
      <w:r>
        <w:rPr>
          <w:rFonts w:hint="default" w:ascii="Arial" w:hAnsi="Arial" w:cs="Arial"/>
          <w:spacing w:val="29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sp</w:t>
      </w:r>
      <w:r>
        <w:rPr>
          <w:rFonts w:hint="default" w:ascii="Arial" w:hAnsi="Arial" w:cs="Arial"/>
          <w:spacing w:val="-2"/>
          <w:sz w:val="24"/>
          <w:szCs w:val="24"/>
        </w:rPr>
        <w:t>otted</w:t>
      </w:r>
      <w:r>
        <w:rPr>
          <w:rFonts w:hint="default" w:ascii="Arial" w:hAnsi="Arial" w:cs="Arial"/>
          <w:spacing w:val="25"/>
          <w:sz w:val="24"/>
          <w:szCs w:val="24"/>
        </w:rPr>
        <w:t xml:space="preserve"> </w:t>
      </w:r>
      <w:r>
        <w:rPr>
          <w:rFonts w:hint="default" w:ascii="Arial" w:hAnsi="Arial" w:cs="Arial"/>
          <w:spacing w:val="-2"/>
          <w:sz w:val="24"/>
          <w:szCs w:val="24"/>
        </w:rPr>
        <w:t>in</w:t>
      </w:r>
      <w:r>
        <w:rPr>
          <w:rFonts w:hint="default" w:ascii="Arial" w:hAnsi="Arial" w:cs="Arial"/>
          <w:spacing w:val="47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2"/>
          <w:sz w:val="24"/>
          <w:szCs w:val="24"/>
        </w:rPr>
        <w:t>10-fold</w:t>
      </w:r>
      <w:r>
        <w:rPr>
          <w:rFonts w:hint="default" w:ascii="Arial" w:hAnsi="Arial" w:cs="Arial"/>
          <w:spacing w:val="30"/>
          <w:sz w:val="24"/>
          <w:szCs w:val="24"/>
        </w:rPr>
        <w:t xml:space="preserve"> </w:t>
      </w:r>
      <w:r>
        <w:rPr>
          <w:rFonts w:hint="default" w:ascii="Arial" w:hAnsi="Arial" w:cs="Arial"/>
          <w:spacing w:val="-2"/>
          <w:sz w:val="24"/>
          <w:szCs w:val="24"/>
        </w:rPr>
        <w:t>serial</w:t>
      </w:r>
      <w:r>
        <w:rPr>
          <w:rFonts w:hint="default" w:ascii="Arial" w:hAnsi="Arial" w:cs="Arial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dilutions</w:t>
      </w:r>
      <w:r>
        <w:rPr>
          <w:rFonts w:hint="default" w:ascii="Arial" w:hAnsi="Arial" w:cs="Arial"/>
          <w:spacing w:val="31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from</w:t>
      </w:r>
      <w:r>
        <w:rPr>
          <w:rFonts w:hint="default" w:ascii="Arial" w:hAnsi="Arial" w:cs="Arial"/>
          <w:spacing w:val="29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left</w:t>
      </w:r>
      <w:r>
        <w:rPr>
          <w:rFonts w:hint="default" w:ascii="Arial" w:hAnsi="Arial" w:cs="Arial"/>
          <w:spacing w:val="24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to</w:t>
      </w:r>
      <w:r>
        <w:rPr>
          <w:rFonts w:hint="default" w:ascii="Arial" w:hAnsi="Arial" w:cs="Arial"/>
          <w:spacing w:val="23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right</w:t>
      </w:r>
      <w:r>
        <w:rPr>
          <w:rFonts w:hint="default" w:ascii="Arial" w:hAnsi="Arial" w:cs="Arial"/>
          <w:spacing w:val="30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on YPD</w:t>
      </w:r>
      <w:r>
        <w:rPr>
          <w:rFonts w:hint="default" w:ascii="Arial" w:hAnsi="Arial" w:cs="Arial"/>
          <w:spacing w:val="29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or YPD</w:t>
      </w:r>
      <w:r>
        <w:rPr>
          <w:rFonts w:hint="default" w:ascii="Arial" w:hAnsi="Arial" w:cs="Arial"/>
          <w:spacing w:val="20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plates</w:t>
      </w:r>
      <w:r>
        <w:rPr>
          <w:rFonts w:hint="default" w:ascii="Arial" w:hAnsi="Arial" w:cs="Arial"/>
          <w:spacing w:val="30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containing</w:t>
      </w:r>
      <w:r>
        <w:rPr>
          <w:rFonts w:hint="default" w:ascii="Arial" w:hAnsi="Arial" w:cs="Arial"/>
          <w:spacing w:val="32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300 μg/ml</w:t>
      </w:r>
      <w:r>
        <w:rPr>
          <w:rFonts w:hint="default" w:ascii="Arial" w:hAnsi="Arial" w:cs="Arial"/>
          <w:spacing w:val="29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Cong</w:t>
      </w:r>
      <w:r>
        <w:rPr>
          <w:rFonts w:hint="default" w:ascii="Arial" w:hAnsi="Arial" w:cs="Arial"/>
          <w:spacing w:val="-2"/>
          <w:sz w:val="24"/>
          <w:szCs w:val="24"/>
        </w:rPr>
        <w:t>o</w:t>
      </w:r>
      <w:r>
        <w:rPr>
          <w:rFonts w:hint="default" w:ascii="Arial" w:hAnsi="Arial" w:cs="Arial"/>
          <w:spacing w:val="25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2"/>
          <w:sz w:val="24"/>
          <w:szCs w:val="24"/>
        </w:rPr>
        <w:t>Red</w:t>
      </w:r>
      <w:r>
        <w:rPr>
          <w:rFonts w:hint="default" w:ascii="Arial" w:hAnsi="Arial" w:cs="Arial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(CR). All</w:t>
      </w:r>
      <w:r>
        <w:rPr>
          <w:rFonts w:hint="default" w:ascii="Arial" w:hAnsi="Arial" w:cs="Arial"/>
          <w:spacing w:val="26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plates</w:t>
      </w:r>
      <w:r>
        <w:rPr>
          <w:rFonts w:hint="default" w:ascii="Arial" w:hAnsi="Arial" w:cs="Arial"/>
          <w:spacing w:val="28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were</w:t>
      </w:r>
      <w:r>
        <w:rPr>
          <w:rFonts w:hint="default" w:ascii="Arial" w:hAnsi="Arial" w:cs="Arial"/>
          <w:spacing w:val="36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supplemented</w:t>
      </w:r>
      <w:r>
        <w:rPr>
          <w:rFonts w:hint="default" w:ascii="Arial" w:hAnsi="Arial" w:cs="Arial"/>
          <w:spacing w:val="27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with  100</w:t>
      </w:r>
      <w:r>
        <w:rPr>
          <w:rFonts w:hint="default" w:ascii="Arial" w:hAnsi="Arial" w:cs="Arial"/>
          <w:spacing w:val="42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μg/</w:t>
      </w:r>
      <w:r>
        <w:rPr>
          <w:rFonts w:hint="default" w:ascii="Arial" w:hAnsi="Arial" w:cs="Arial"/>
          <w:spacing w:val="-2"/>
          <w:sz w:val="24"/>
          <w:szCs w:val="24"/>
        </w:rPr>
        <w:t>ml</w:t>
      </w:r>
      <w:r>
        <w:rPr>
          <w:rFonts w:hint="default" w:ascii="Arial" w:hAnsi="Arial" w:cs="Arial"/>
          <w:spacing w:val="28"/>
          <w:sz w:val="24"/>
          <w:szCs w:val="24"/>
        </w:rPr>
        <w:t xml:space="preserve"> </w:t>
      </w:r>
      <w:r>
        <w:rPr>
          <w:rFonts w:hint="default" w:ascii="Arial" w:hAnsi="Arial" w:cs="Arial"/>
          <w:spacing w:val="-2"/>
          <w:sz w:val="24"/>
          <w:szCs w:val="24"/>
        </w:rPr>
        <w:t>Uridine</w:t>
      </w:r>
      <w:r>
        <w:rPr>
          <w:rFonts w:hint="default" w:ascii="Arial" w:hAnsi="Arial" w:cs="Arial"/>
          <w:spacing w:val="34"/>
          <w:sz w:val="24"/>
          <w:szCs w:val="24"/>
        </w:rPr>
        <w:t xml:space="preserve"> </w:t>
      </w:r>
      <w:r>
        <w:rPr>
          <w:rFonts w:hint="default" w:ascii="Arial" w:hAnsi="Arial" w:cs="Arial"/>
          <w:spacing w:val="-2"/>
          <w:sz w:val="24"/>
          <w:szCs w:val="24"/>
        </w:rPr>
        <w:t>and</w:t>
      </w:r>
      <w:r>
        <w:rPr>
          <w:rFonts w:hint="default" w:ascii="Arial" w:hAnsi="Arial" w:cs="Arial"/>
          <w:spacing w:val="33"/>
          <w:w w:val="101"/>
          <w:sz w:val="24"/>
          <w:szCs w:val="24"/>
        </w:rPr>
        <w:t xml:space="preserve"> </w:t>
      </w:r>
      <w:r>
        <w:rPr>
          <w:rFonts w:hint="default" w:ascii="Arial" w:hAnsi="Arial" w:cs="Arial"/>
          <w:spacing w:val="-2"/>
          <w:sz w:val="24"/>
          <w:szCs w:val="24"/>
        </w:rPr>
        <w:t>incubated</w:t>
      </w:r>
      <w:r>
        <w:rPr>
          <w:rFonts w:hint="default" w:ascii="Arial" w:hAnsi="Arial" w:cs="Arial"/>
          <w:spacing w:val="34"/>
          <w:sz w:val="24"/>
          <w:szCs w:val="24"/>
        </w:rPr>
        <w:t xml:space="preserve"> </w:t>
      </w:r>
      <w:r>
        <w:rPr>
          <w:rFonts w:hint="default" w:ascii="Arial" w:hAnsi="Arial" w:cs="Arial"/>
          <w:spacing w:val="-2"/>
          <w:sz w:val="24"/>
          <w:szCs w:val="24"/>
        </w:rPr>
        <w:t>at</w:t>
      </w:r>
      <w:r>
        <w:rPr>
          <w:rFonts w:hint="default" w:ascii="Arial" w:hAnsi="Arial" w:cs="Arial"/>
          <w:spacing w:val="37"/>
          <w:sz w:val="24"/>
          <w:szCs w:val="24"/>
        </w:rPr>
        <w:t xml:space="preserve"> </w:t>
      </w:r>
      <w:r>
        <w:rPr>
          <w:rFonts w:hint="default" w:ascii="Arial" w:hAnsi="Arial" w:cs="Arial"/>
          <w:spacing w:val="-2"/>
          <w:sz w:val="24"/>
          <w:szCs w:val="24"/>
        </w:rPr>
        <w:t>30℃,</w:t>
      </w:r>
      <w:r>
        <w:rPr>
          <w:rFonts w:hint="default" w:ascii="Arial" w:hAnsi="Arial" w:cs="Arial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37℃, or 42℃, respectiv</w:t>
      </w:r>
      <w:r>
        <w:rPr>
          <w:rFonts w:hint="default" w:ascii="Arial" w:hAnsi="Arial" w:cs="Arial"/>
          <w:sz w:val="24"/>
          <w:szCs w:val="24"/>
        </w:rPr>
        <w:t>ely. Shown were images of</w:t>
      </w:r>
      <w:r>
        <w:rPr>
          <w:rFonts w:hint="default" w:ascii="Arial" w:hAnsi="Arial" w:cs="Arial"/>
          <w:spacing w:val="32"/>
          <w:sz w:val="24"/>
          <w:szCs w:val="24"/>
        </w:rPr>
        <w:t xml:space="preserve"> </w:t>
      </w:r>
      <w:r>
        <w:rPr>
          <w:rFonts w:hint="default" w:ascii="Arial" w:hAnsi="Arial" w:cs="Arial"/>
          <w:sz w:val="24"/>
          <w:szCs w:val="24"/>
        </w:rPr>
        <w:t xml:space="preserve">plates taken </w:t>
      </w:r>
      <w:r>
        <w:rPr>
          <w:rFonts w:hint="default" w:ascii="Arial" w:hAnsi="Arial" w:cs="Arial"/>
          <w:spacing w:val="-1"/>
          <w:sz w:val="24"/>
          <w:szCs w:val="24"/>
        </w:rPr>
        <w:t>after 3 days</w:t>
      </w:r>
      <w:r>
        <w:rPr>
          <w:rFonts w:hint="default" w:ascii="Arial" w:hAnsi="Arial" w:cs="Arial"/>
          <w:spacing w:val="4"/>
          <w:sz w:val="24"/>
          <w:szCs w:val="24"/>
        </w:rPr>
        <w:t xml:space="preserve"> </w:t>
      </w:r>
      <w:r>
        <w:rPr>
          <w:rFonts w:hint="default" w:ascii="Arial" w:hAnsi="Arial" w:cs="Arial"/>
          <w:spacing w:val="-1"/>
          <w:sz w:val="24"/>
          <w:szCs w:val="24"/>
        </w:rPr>
        <w:t>o</w:t>
      </w:r>
      <w:r>
        <w:rPr>
          <w:rFonts w:hint="default" w:ascii="Arial" w:hAnsi="Arial" w:cs="Arial"/>
          <w:spacing w:val="24"/>
          <w:sz w:val="24"/>
          <w:szCs w:val="24"/>
        </w:rPr>
        <w:t>f</w:t>
      </w:r>
      <w:r>
        <w:rPr>
          <w:rFonts w:hint="default" w:ascii="Arial" w:hAnsi="Arial" w:cs="Arial"/>
          <w:sz w:val="24"/>
          <w:szCs w:val="24"/>
        </w:rPr>
        <w:t xml:space="preserve"> incubation at the indicated temp</w:t>
      </w:r>
      <w:r>
        <w:rPr>
          <w:rFonts w:hint="default" w:ascii="Arial" w:hAnsi="Arial" w:cs="Arial"/>
          <w:spacing w:val="-1"/>
          <w:sz w:val="24"/>
          <w:szCs w:val="24"/>
        </w:rPr>
        <w:t>eratures.</w:t>
      </w:r>
    </w:p>
    <w:p w14:paraId="7FA2E878">
      <w:pPr>
        <w:numPr>
          <w:ilvl w:val="0"/>
          <w:numId w:val="0"/>
        </w:numPr>
        <w:spacing w:line="276" w:lineRule="auto"/>
        <w:ind w:left="0" w:leftChars="0" w:firstLine="0" w:firstLineChars="0"/>
        <w:rPr>
          <w:rFonts w:hint="default" w:ascii="Arial" w:hAnsi="Arial" w:cs="Arial"/>
          <w:spacing w:val="-1"/>
          <w:sz w:val="24"/>
          <w:szCs w:val="24"/>
        </w:rPr>
      </w:pPr>
    </w:p>
    <w:p w14:paraId="43AEAD4C">
      <w:pPr>
        <w:numPr>
          <w:ilvl w:val="0"/>
          <w:numId w:val="0"/>
        </w:numPr>
        <w:spacing w:line="276" w:lineRule="auto"/>
        <w:ind w:left="0" w:leftChars="0" w:firstLine="0" w:firstLineChars="0"/>
        <w:rPr>
          <w:rFonts w:hint="eastAsia" w:ascii="Arial" w:hAnsi="Arial" w:eastAsia="宋体" w:cs="Arial"/>
          <w:spacing w:val="-1"/>
          <w:sz w:val="24"/>
          <w:szCs w:val="24"/>
          <w:lang w:eastAsia="zh-CN"/>
        </w:rPr>
      </w:pPr>
      <w:r>
        <w:rPr>
          <w:rFonts w:hint="eastAsia" w:ascii="Arial" w:hAnsi="Arial" w:eastAsia="宋体" w:cs="Arial"/>
          <w:spacing w:val="-1"/>
          <w:sz w:val="24"/>
          <w:szCs w:val="24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Fig S5 Cdc42影响胞吐分泌囊泡分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 S5 Cdc42影响胞吐分泌囊泡分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1715">
      <w:pPr>
        <w:spacing w:line="276" w:lineRule="auto"/>
        <w:rPr>
          <w:color w:val="231F20"/>
          <w:spacing w:val="3"/>
          <w:sz w:val="24"/>
          <w:szCs w:val="24"/>
        </w:rPr>
      </w:pPr>
      <w:r>
        <w:rPr>
          <w:rFonts w:hint="default" w:ascii="Arial" w:hAnsi="Arial" w:cs="Arial"/>
          <w:b/>
          <w:bCs/>
          <w:color w:val="231F20"/>
          <w:sz w:val="24"/>
          <w:szCs w:val="24"/>
        </w:rPr>
        <w:t>Fig</w:t>
      </w:r>
      <w:r>
        <w:rPr>
          <w:rFonts w:hint="default" w:ascii="Arial" w:hAnsi="Arial" w:cs="Arial"/>
          <w:b/>
          <w:bCs/>
          <w:color w:val="231F20"/>
          <w:spacing w:val="2"/>
          <w:sz w:val="24"/>
          <w:szCs w:val="24"/>
        </w:rPr>
        <w:t xml:space="preserve">. S5. </w:t>
      </w:r>
      <w:r>
        <w:rPr>
          <w:rFonts w:hint="default" w:ascii="Arial" w:hAnsi="Arial" w:cs="Arial"/>
          <w:b/>
          <w:bCs/>
          <w:color w:val="231F20"/>
          <w:sz w:val="24"/>
          <w:szCs w:val="24"/>
        </w:rPr>
        <w:t>Secretory</w:t>
      </w:r>
      <w:r>
        <w:rPr>
          <w:rFonts w:hint="default"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hint="default" w:ascii="Arial" w:hAnsi="Arial" w:cs="Arial"/>
          <w:b/>
          <w:bCs/>
          <w:color w:val="231F20"/>
          <w:sz w:val="24"/>
          <w:szCs w:val="24"/>
        </w:rPr>
        <w:t>vesicles</w:t>
      </w:r>
      <w:r>
        <w:rPr>
          <w:rFonts w:hint="default"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hint="default" w:ascii="Arial" w:hAnsi="Arial" w:cs="Arial"/>
          <w:b/>
          <w:bCs/>
          <w:color w:val="231F20"/>
          <w:sz w:val="24"/>
          <w:szCs w:val="24"/>
        </w:rPr>
        <w:t>were</w:t>
      </w:r>
      <w:r>
        <w:rPr>
          <w:rFonts w:hint="default"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hint="default" w:ascii="Arial" w:hAnsi="Arial" w:cs="Arial"/>
          <w:b/>
          <w:bCs/>
          <w:color w:val="231F20"/>
          <w:sz w:val="24"/>
          <w:szCs w:val="24"/>
        </w:rPr>
        <w:t>a</w:t>
      </w:r>
      <w:r>
        <w:rPr>
          <w:b/>
          <w:bCs/>
          <w:color w:val="231F20"/>
          <w:sz w:val="24"/>
          <w:szCs w:val="24"/>
        </w:rPr>
        <w:t>ccumulated</w:t>
      </w:r>
      <w:r>
        <w:rPr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in</w:t>
      </w:r>
      <w:r>
        <w:rPr>
          <w:b/>
          <w:bCs/>
          <w:i/>
          <w:iCs/>
          <w:color w:val="231F20"/>
          <w:spacing w:val="13"/>
          <w:sz w:val="24"/>
          <w:szCs w:val="24"/>
        </w:rPr>
        <w:t xml:space="preserve"> </w:t>
      </w:r>
      <w:r>
        <w:rPr>
          <w:b/>
          <w:bCs/>
          <w:i/>
          <w:iCs/>
          <w:color w:val="231F20"/>
          <w:sz w:val="24"/>
          <w:szCs w:val="24"/>
        </w:rPr>
        <w:t>cdc42</w:t>
      </w:r>
      <w:r>
        <w:rPr>
          <w:b/>
          <w:bCs/>
          <w:i/>
          <w:iCs/>
          <w:color w:val="231F20"/>
          <w:spacing w:val="13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mutant</w:t>
      </w:r>
      <w:r>
        <w:rPr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cells</w:t>
      </w:r>
      <w:r>
        <w:rPr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at</w:t>
      </w:r>
      <w:r>
        <w:rPr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restrictive</w:t>
      </w:r>
      <w:r>
        <w:rPr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temperature</w:t>
      </w:r>
      <w:r>
        <w:rPr>
          <w:color w:val="231F20"/>
          <w:spacing w:val="3"/>
          <w:sz w:val="24"/>
          <w:szCs w:val="24"/>
        </w:rPr>
        <w:t xml:space="preserve">. </w:t>
      </w:r>
    </w:p>
    <w:p w14:paraId="1AF87DFD">
      <w:pPr>
        <w:numPr>
          <w:ilvl w:val="0"/>
          <w:numId w:val="1"/>
        </w:numPr>
        <w:spacing w:line="276" w:lineRule="auto"/>
        <w:rPr>
          <w:color w:val="231F20"/>
          <w:spacing w:val="3"/>
          <w:sz w:val="24"/>
          <w:szCs w:val="24"/>
        </w:rPr>
      </w:pPr>
      <w:r>
        <w:rPr>
          <w:color w:val="231F20"/>
          <w:sz w:val="24"/>
          <w:szCs w:val="24"/>
        </w:rPr>
        <w:t>Wild</w:t>
      </w:r>
      <w:r>
        <w:rPr>
          <w:color w:val="231F20"/>
          <w:spacing w:val="3"/>
          <w:sz w:val="24"/>
          <w:szCs w:val="24"/>
        </w:rPr>
        <w:t>-</w:t>
      </w:r>
      <w:r>
        <w:rPr>
          <w:color w:val="231F20"/>
          <w:sz w:val="24"/>
          <w:szCs w:val="24"/>
        </w:rPr>
        <w:t>type</w:t>
      </w:r>
      <w:r>
        <w:rPr>
          <w:color w:val="231F20"/>
          <w:spacing w:val="3"/>
          <w:sz w:val="24"/>
          <w:szCs w:val="24"/>
        </w:rPr>
        <w:t xml:space="preserve"> (</w:t>
      </w:r>
      <w:r>
        <w:rPr>
          <w:color w:val="231F20"/>
          <w:sz w:val="24"/>
          <w:szCs w:val="24"/>
        </w:rPr>
        <w:t>BWP</w:t>
      </w:r>
      <w:r>
        <w:rPr>
          <w:color w:val="231F20"/>
          <w:spacing w:val="3"/>
          <w:sz w:val="24"/>
          <w:szCs w:val="24"/>
        </w:rPr>
        <w:t xml:space="preserve">17), </w:t>
      </w:r>
      <w:r>
        <w:rPr>
          <w:i/>
          <w:iCs/>
          <w:color w:val="231F20"/>
          <w:sz w:val="24"/>
          <w:szCs w:val="24"/>
        </w:rPr>
        <w:t>cdc42</w:t>
      </w:r>
      <w:r>
        <w:rPr>
          <w:i/>
          <w:iCs/>
          <w:color w:val="231F20"/>
          <w:spacing w:val="3"/>
          <w:sz w:val="24"/>
          <w:szCs w:val="24"/>
        </w:rPr>
        <w:t xml:space="preserve">Δ/CDC42, </w:t>
      </w:r>
      <w:r>
        <w:rPr>
          <w:i/>
          <w:iCs/>
          <w:color w:val="231F20"/>
          <w:sz w:val="24"/>
          <w:szCs w:val="24"/>
        </w:rPr>
        <w:t>cdc42</w:t>
      </w:r>
      <w:r>
        <w:rPr>
          <w:i/>
          <w:iCs/>
          <w:color w:val="231F20"/>
          <w:spacing w:val="3"/>
          <w:sz w:val="24"/>
          <w:szCs w:val="24"/>
        </w:rPr>
        <w:t>Δ/</w:t>
      </w:r>
      <w:r>
        <w:rPr>
          <w:i/>
          <w:iCs/>
          <w:color w:val="231F20"/>
          <w:sz w:val="24"/>
          <w:szCs w:val="24"/>
        </w:rPr>
        <w:t>cdc42</w:t>
      </w:r>
      <w:r>
        <w:rPr>
          <w:i/>
          <w:iCs/>
          <w:color w:val="231F20"/>
          <w:spacing w:val="3"/>
          <w:sz w:val="24"/>
          <w:szCs w:val="24"/>
          <w:vertAlign w:val="superscript"/>
        </w:rPr>
        <w:t>G12</w:t>
      </w:r>
      <w:r>
        <w:rPr>
          <w:i/>
          <w:iCs/>
          <w:color w:val="231F20"/>
          <w:sz w:val="24"/>
          <w:szCs w:val="24"/>
          <w:vertAlign w:val="superscript"/>
        </w:rPr>
        <w:t>V</w:t>
      </w:r>
      <w:r>
        <w:rPr>
          <w:color w:val="231F20"/>
          <w:sz w:val="24"/>
          <w:szCs w:val="24"/>
        </w:rPr>
        <w:t>and</w:t>
      </w:r>
      <w:r>
        <w:rPr>
          <w:color w:val="231F20"/>
          <w:spacing w:val="3"/>
          <w:sz w:val="24"/>
          <w:szCs w:val="24"/>
        </w:rPr>
        <w:t xml:space="preserve"> </w:t>
      </w:r>
      <w:r>
        <w:rPr>
          <w:i/>
          <w:iCs/>
          <w:color w:val="231F20"/>
          <w:sz w:val="24"/>
          <w:szCs w:val="24"/>
        </w:rPr>
        <w:t>cdc42</w:t>
      </w:r>
      <w:r>
        <w:rPr>
          <w:i/>
          <w:iCs/>
          <w:color w:val="231F20"/>
          <w:spacing w:val="3"/>
          <w:sz w:val="24"/>
          <w:szCs w:val="24"/>
        </w:rPr>
        <w:t>Δ/</w:t>
      </w:r>
      <w:r>
        <w:rPr>
          <w:rFonts w:hint="eastAsia"/>
          <w:i/>
          <w:iCs/>
          <w:color w:val="231F20"/>
          <w:sz w:val="24"/>
          <w:szCs w:val="24"/>
        </w:rPr>
        <w:t>cdc</w:t>
      </w:r>
      <w:r>
        <w:rPr>
          <w:i/>
          <w:iCs/>
          <w:color w:val="231F20"/>
          <w:sz w:val="24"/>
          <w:szCs w:val="24"/>
        </w:rPr>
        <w:t>42</w:t>
      </w:r>
      <w:r>
        <w:rPr>
          <w:i/>
          <w:iCs/>
          <w:color w:val="231F20"/>
          <w:spacing w:val="3"/>
          <w:sz w:val="24"/>
          <w:szCs w:val="24"/>
          <w:vertAlign w:val="superscript"/>
        </w:rPr>
        <w:t>D118</w:t>
      </w:r>
      <w:r>
        <w:rPr>
          <w:i/>
          <w:iCs/>
          <w:color w:val="231F20"/>
          <w:sz w:val="24"/>
          <w:szCs w:val="24"/>
          <w:vertAlign w:val="superscript"/>
        </w:rPr>
        <w:t>A</w:t>
      </w:r>
      <w:r>
        <w:rPr>
          <w:i/>
          <w:iCs/>
          <w:color w:val="231F20"/>
          <w:spacing w:val="3"/>
          <w:sz w:val="24"/>
          <w:szCs w:val="24"/>
          <w:vertAlign w:val="superscript"/>
        </w:rPr>
        <w:t xml:space="preserve"> </w:t>
      </w:r>
      <w:r>
        <w:rPr>
          <w:color w:val="231F20"/>
          <w:sz w:val="24"/>
          <w:szCs w:val="24"/>
        </w:rPr>
        <w:t>strains were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grown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to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early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log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phase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in YPD</w:t>
      </w:r>
      <w:r>
        <w:rPr>
          <w:color w:val="231F20"/>
          <w:spacing w:val="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liquid</w:t>
      </w:r>
      <w:r>
        <w:rPr>
          <w:color w:val="231F20"/>
          <w:spacing w:val="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medium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overnight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at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17"/>
          <w:sz w:val="24"/>
          <w:szCs w:val="24"/>
        </w:rPr>
        <w:t>30°</w:t>
      </w:r>
      <w:r>
        <w:rPr>
          <w:color w:val="231F20"/>
          <w:sz w:val="24"/>
          <w:szCs w:val="24"/>
        </w:rPr>
        <w:t>C</w:t>
      </w:r>
      <w:r>
        <w:rPr>
          <w:color w:val="231F20"/>
          <w:spacing w:val="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and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then shifted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to</w:t>
      </w:r>
      <w:r>
        <w:rPr>
          <w:color w:val="231F20"/>
          <w:spacing w:val="7"/>
          <w:sz w:val="24"/>
          <w:szCs w:val="24"/>
        </w:rPr>
        <w:t xml:space="preserve"> 42°</w:t>
      </w:r>
      <w:r>
        <w:rPr>
          <w:color w:val="231F20"/>
          <w:sz w:val="24"/>
          <w:szCs w:val="24"/>
        </w:rPr>
        <w:t>C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for</w:t>
      </w:r>
      <w:r>
        <w:rPr>
          <w:color w:val="231F20"/>
          <w:spacing w:val="7"/>
          <w:sz w:val="24"/>
          <w:szCs w:val="24"/>
        </w:rPr>
        <w:t xml:space="preserve"> 90 </w:t>
      </w:r>
      <w:r>
        <w:rPr>
          <w:color w:val="231F20"/>
          <w:spacing w:val="3"/>
          <w:sz w:val="24"/>
          <w:szCs w:val="24"/>
        </w:rPr>
        <w:t>min. The cells were mixed, stained, and examined by thin-section electron microscopy. Scale bar for the first row, 500nm. Scale bar for the second row, 200nm</w:t>
      </w:r>
      <w:r>
        <w:rPr>
          <w:rFonts w:hint="eastAsia"/>
          <w:color w:val="231F20"/>
          <w:spacing w:val="3"/>
          <w:sz w:val="24"/>
          <w:szCs w:val="24"/>
        </w:rPr>
        <w:t>.</w:t>
      </w:r>
      <w:r>
        <w:rPr>
          <w:color w:val="231F20"/>
          <w:spacing w:val="3"/>
          <w:sz w:val="24"/>
          <w:szCs w:val="24"/>
        </w:rPr>
        <w:t xml:space="preserve"> </w:t>
      </w:r>
    </w:p>
    <w:p w14:paraId="4A06020A">
      <w:pPr>
        <w:numPr>
          <w:ilvl w:val="0"/>
          <w:numId w:val="1"/>
        </w:numPr>
        <w:spacing w:line="276" w:lineRule="auto"/>
        <w:ind w:left="0" w:leftChars="0" w:firstLine="0" w:firstLineChars="0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Statistical analysis of vesicle accumulation in cells in (A). n=15. *, p&lt;0.01.</w:t>
      </w:r>
    </w:p>
    <w:p w14:paraId="15E82A78"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76" w:lineRule="auto"/>
        <w:textAlignment w:val="baseline"/>
        <w:rPr>
          <w:color w:val="231F20"/>
          <w:sz w:val="24"/>
          <w:szCs w:val="24"/>
        </w:rPr>
      </w:pPr>
    </w:p>
    <w:p w14:paraId="63891D23">
      <w:pPr>
        <w:spacing w:line="276" w:lineRule="auto"/>
        <w:rPr>
          <w:rFonts w:hint="eastAsia" w:eastAsia="宋体"/>
          <w:color w:val="231F20"/>
          <w:spacing w:val="3"/>
          <w:sz w:val="24"/>
          <w:szCs w:val="24"/>
          <w:lang w:eastAsia="zh-CN"/>
        </w:rPr>
      </w:pPr>
      <w:r>
        <w:rPr>
          <w:rFonts w:hint="eastAsia" w:eastAsia="宋体"/>
          <w:color w:val="231F20"/>
          <w:spacing w:val="3"/>
          <w:sz w:val="24"/>
          <w:szCs w:val="24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Fig S6  0128Sec3磷酸化质谱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 S6  0128Sec3磷酸化质谱结果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A9F3">
      <w:pPr>
        <w:spacing w:line="276" w:lineRule="auto"/>
        <w:rPr>
          <w:spacing w:val="15"/>
          <w:sz w:val="24"/>
          <w:szCs w:val="24"/>
        </w:rPr>
      </w:pPr>
      <w:r>
        <w:rPr>
          <w:b/>
          <w:bCs/>
          <w:color w:val="231F20"/>
          <w:sz w:val="24"/>
          <w:szCs w:val="24"/>
        </w:rPr>
        <w:t>Fig</w:t>
      </w:r>
      <w:r>
        <w:rPr>
          <w:b/>
          <w:bCs/>
          <w:color w:val="231F20"/>
          <w:spacing w:val="2"/>
          <w:sz w:val="24"/>
          <w:szCs w:val="24"/>
        </w:rPr>
        <w:t xml:space="preserve">. S6. </w:t>
      </w:r>
      <w:r>
        <w:rPr>
          <w:b/>
          <w:bCs/>
          <w:spacing w:val="15"/>
          <w:sz w:val="24"/>
          <w:szCs w:val="24"/>
        </w:rPr>
        <w:t>Identification of Phosphorylation Sites on Sec3</w:t>
      </w:r>
      <w:r>
        <w:rPr>
          <w:spacing w:val="15"/>
          <w:sz w:val="24"/>
          <w:szCs w:val="24"/>
        </w:rPr>
        <w:t xml:space="preserve">. </w:t>
      </w:r>
    </w:p>
    <w:p w14:paraId="259787C6">
      <w:pPr>
        <w:spacing w:line="276" w:lineRule="auto"/>
        <w:rPr>
          <w:sz w:val="24"/>
          <w:szCs w:val="24"/>
        </w:rPr>
      </w:pPr>
      <w:r>
        <w:rPr>
          <w:spacing w:val="15"/>
          <w:sz w:val="24"/>
          <w:szCs w:val="24"/>
        </w:rPr>
        <w:t xml:space="preserve">MS analyses of Sec3-6Myc proteins Myc-purified from hyphae. The phosphopeptides which contains </w:t>
      </w:r>
      <w:r>
        <w:rPr>
          <w:rFonts w:eastAsia="Times New Roman"/>
          <w:bCs/>
          <w:sz w:val="24"/>
          <w:szCs w:val="24"/>
        </w:rPr>
        <w:t>CDK phosphorylation sites</w:t>
      </w:r>
      <w:r>
        <w:rPr>
          <w:spacing w:val="15"/>
          <w:sz w:val="24"/>
          <w:szCs w:val="24"/>
        </w:rPr>
        <w:t xml:space="preserve"> from amino acid are shown. </w:t>
      </w:r>
      <w:r>
        <w:rPr>
          <w:sz w:val="24"/>
          <w:szCs w:val="24"/>
        </w:rPr>
        <w:t xml:space="preserve">Arrows </w:t>
      </w:r>
      <w:r>
        <w:rPr>
          <w:spacing w:val="15"/>
          <w:sz w:val="24"/>
          <w:szCs w:val="24"/>
        </w:rPr>
        <w:t>indicate phosphoserine and phosphorthreonine residues.</w:t>
      </w:r>
      <w:r>
        <w:rPr>
          <w:rFonts w:eastAsia="Times New Roman"/>
          <w:bCs/>
          <w:sz w:val="24"/>
          <w:szCs w:val="24"/>
        </w:rPr>
        <w:t xml:space="preserve"> </w:t>
      </w:r>
    </w:p>
    <w:p w14:paraId="35E45C71">
      <w:pPr>
        <w:pStyle w:val="2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70" w:line="276" w:lineRule="auto"/>
        <w:jc w:val="both"/>
        <w:textAlignment w:val="baseline"/>
        <w:rPr>
          <w:rFonts w:ascii="Arial" w:hAnsi="Arial" w:cs="Arial"/>
          <w:spacing w:val="-1"/>
        </w:rPr>
      </w:pPr>
    </w:p>
    <w:p w14:paraId="4183149A">
      <w:pPr>
        <w:pStyle w:val="2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70" w:line="276" w:lineRule="auto"/>
        <w:jc w:val="both"/>
        <w:textAlignment w:val="baseline"/>
        <w:rPr>
          <w:rFonts w:ascii="Arial" w:hAnsi="Arial" w:cs="Arial"/>
          <w:spacing w:val="-1"/>
        </w:rPr>
      </w:pPr>
    </w:p>
    <w:p w14:paraId="3762968A">
      <w:pPr>
        <w:rPr>
          <w:sz w:val="24"/>
          <w:szCs w:val="24"/>
        </w:rPr>
      </w:pPr>
    </w:p>
    <w:p w14:paraId="70D1395A">
      <w:pPr>
        <w:rPr>
          <w:rFonts w:ascii="宋体" w:hAnsi="宋体"/>
          <w:sz w:val="24"/>
          <w:szCs w:val="24"/>
        </w:rPr>
      </w:pPr>
    </w:p>
    <w:p w14:paraId="5A03ADC0">
      <w:pPr>
        <w:rPr>
          <w:sz w:val="24"/>
          <w:szCs w:val="24"/>
        </w:rPr>
      </w:pPr>
    </w:p>
    <w:p w14:paraId="121F958D">
      <w:pPr>
        <w:rPr>
          <w:sz w:val="24"/>
          <w:szCs w:val="24"/>
        </w:rPr>
      </w:pPr>
    </w:p>
    <w:p w14:paraId="6CFB50EA">
      <w:pPr>
        <w:rPr>
          <w:sz w:val="24"/>
          <w:szCs w:val="24"/>
        </w:rPr>
      </w:pPr>
    </w:p>
    <w:p w14:paraId="25BB640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FC2B44"/>
    <w:multiLevelType w:val="singleLevel"/>
    <w:tmpl w:val="D1FC2B44"/>
    <w:lvl w:ilvl="0" w:tentative="0">
      <w:start w:val="1"/>
      <w:numFmt w:val="upperLetter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71060B"/>
    <w:rsid w:val="338267B8"/>
    <w:rsid w:val="40180A96"/>
    <w:rsid w:val="747E7DE0"/>
    <w:rsid w:val="75DE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宋体" w:cs="Arial"/>
      <w:color w:val="000000"/>
      <w:kern w:val="0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rFonts w:ascii="Times New Roman" w:hAnsi="Times New Roman" w:cs="Times New Roman"/>
      <w:sz w:val="24"/>
      <w:szCs w:val="24"/>
    </w:rPr>
  </w:style>
  <w:style w:type="table" w:customStyle="1" w:styleId="5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1151</Words>
  <Characters>8366</Characters>
  <Lines>0</Lines>
  <Paragraphs>0</Paragraphs>
  <TotalTime>5</TotalTime>
  <ScaleCrop>false</ScaleCrop>
  <LinksUpToDate>false</LinksUpToDate>
  <CharactersWithSpaces>9457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2026-01-27T11:07:00Z</dcterms:created>
  <dc:creator>lenovo</dc:creator>
  <cp:lastModifiedBy>郭庆国</cp:lastModifiedBy>
  <dcterms:modified xsi:type="dcterms:W3CDTF">2026-04-16T08:09:25Z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eyJoZGlkIjoiYTg3ZDIzMmEzMDJiYmZjZmE5ZDkzMjY1ZmI4MTkxNmMiLCJ1c2VySWQiOiIxNTA5OTc5OTkwIn0=</vt:lpwstr>
  </property>
  <property fmtid="{D5CDD505-2E9C-101B-9397-08002B2CF9AE}" pid="4" name="ICV">
    <vt:lpwstr>7B00E950D6324244A83C1EACFAB261D8_12</vt:lpwstr>
  </property>
</Properties>
</file>