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20170" w14:textId="77777777" w:rsidR="00997FB0" w:rsidRPr="00552D3D" w:rsidRDefault="00997FB0" w:rsidP="00997FB0">
      <w:pPr>
        <w:pStyle w:val="Heading2"/>
        <w:rPr>
          <w:rFonts w:ascii="Times New Roman" w:hAnsi="Times New Roman" w:cs="Times New Roman"/>
          <w:color w:val="auto"/>
          <w:sz w:val="20"/>
          <w:szCs w:val="20"/>
        </w:rPr>
      </w:pPr>
      <w:r w:rsidRPr="00552D3D">
        <w:rPr>
          <w:rFonts w:ascii="Times New Roman" w:hAnsi="Times New Roman" w:cs="Times New Roman"/>
          <w:color w:val="auto"/>
          <w:sz w:val="20"/>
          <w:szCs w:val="20"/>
        </w:rPr>
        <w:t>Supplementary Table 1. Survey-weighted sensitivity analysis of the association between albuminuria with preserved eGFR and all-cause mortality in pooled NHANES 2007–2018.</w:t>
      </w:r>
    </w:p>
    <w:p w14:paraId="22EDD438" w14:textId="77777777" w:rsidR="00997FB0" w:rsidRPr="00760563" w:rsidRDefault="00997FB0" w:rsidP="00997FB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160"/>
        <w:gridCol w:w="1872"/>
        <w:gridCol w:w="1872"/>
        <w:gridCol w:w="1872"/>
      </w:tblGrid>
      <w:tr w:rsidR="00997FB0" w:rsidRPr="00760563" w14:paraId="79379922" w14:textId="77777777" w:rsidTr="00960540">
        <w:trPr>
          <w:tblHeader/>
          <w:jc w:val="center"/>
        </w:trPr>
        <w:tc>
          <w:tcPr>
            <w:tcW w:w="2160" w:type="dxa"/>
            <w:tcBorders>
              <w:top w:val="single" w:sz="1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33A78" w14:textId="77777777" w:rsidR="00997FB0" w:rsidRPr="00760563" w:rsidRDefault="00997FB0" w:rsidP="009605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0" w:after="80"/>
              <w:ind w:left="80" w:right="80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760563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872" w:type="dxa"/>
            <w:tcBorders>
              <w:top w:val="single" w:sz="1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6C411" w14:textId="77777777" w:rsidR="00997FB0" w:rsidRPr="00760563" w:rsidRDefault="00997FB0" w:rsidP="009605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0" w:after="80"/>
              <w:ind w:left="80" w:right="8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760563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HR</w:t>
            </w:r>
          </w:p>
        </w:tc>
        <w:tc>
          <w:tcPr>
            <w:tcW w:w="1872" w:type="dxa"/>
            <w:tcBorders>
              <w:top w:val="single" w:sz="1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C9C09" w14:textId="77777777" w:rsidR="00997FB0" w:rsidRPr="00760563" w:rsidRDefault="00997FB0" w:rsidP="009605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0" w:after="80"/>
              <w:ind w:left="80" w:right="8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760563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872" w:type="dxa"/>
            <w:tcBorders>
              <w:top w:val="single" w:sz="1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AF9A2" w14:textId="77777777" w:rsidR="00997FB0" w:rsidRPr="00760563" w:rsidRDefault="00997FB0" w:rsidP="009605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0" w:after="80"/>
              <w:ind w:left="80" w:right="80"/>
              <w:jc w:val="center"/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</w:pPr>
            <w:r w:rsidRPr="00760563">
              <w:rPr>
                <w:rFonts w:ascii="Times New Roman" w:eastAsia="Arial" w:hAnsi="Times New Roman" w:cs="Times New Roman"/>
                <w:b/>
                <w:color w:val="000000"/>
                <w:sz w:val="20"/>
                <w:szCs w:val="20"/>
              </w:rPr>
              <w:t>P value</w:t>
            </w:r>
          </w:p>
        </w:tc>
      </w:tr>
      <w:tr w:rsidR="00997FB0" w:rsidRPr="00760563" w14:paraId="196D9708" w14:textId="77777777" w:rsidTr="00960540">
        <w:trPr>
          <w:jc w:val="center"/>
        </w:trPr>
        <w:tc>
          <w:tcPr>
            <w:tcW w:w="2160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AB306" w14:textId="77777777" w:rsidR="00997FB0" w:rsidRPr="00760563" w:rsidRDefault="00997FB0" w:rsidP="009605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0" w:after="80"/>
              <w:ind w:left="80" w:right="8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6056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Model 1</w:t>
            </w:r>
          </w:p>
        </w:tc>
        <w:tc>
          <w:tcPr>
            <w:tcW w:w="187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2C8D2" w14:textId="77777777" w:rsidR="00997FB0" w:rsidRPr="00760563" w:rsidRDefault="00997FB0" w:rsidP="009605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0" w:after="80"/>
              <w:ind w:left="80" w:right="8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6056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2.80</w:t>
            </w:r>
          </w:p>
        </w:tc>
        <w:tc>
          <w:tcPr>
            <w:tcW w:w="187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ED962" w14:textId="77777777" w:rsidR="00997FB0" w:rsidRPr="00760563" w:rsidRDefault="00997FB0" w:rsidP="009605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0" w:after="80"/>
              <w:ind w:left="80" w:right="8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6056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2.43–3.24</w:t>
            </w:r>
          </w:p>
        </w:tc>
        <w:tc>
          <w:tcPr>
            <w:tcW w:w="1872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66E2D" w14:textId="77777777" w:rsidR="00997FB0" w:rsidRPr="00760563" w:rsidRDefault="00997FB0" w:rsidP="009605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0" w:after="80"/>
              <w:ind w:left="80" w:right="8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6056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997FB0" w:rsidRPr="00760563" w14:paraId="0FF6AE68" w14:textId="77777777" w:rsidTr="00960540">
        <w:trPr>
          <w:jc w:val="center"/>
        </w:trPr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7C9DA" w14:textId="77777777" w:rsidR="00997FB0" w:rsidRPr="00760563" w:rsidRDefault="00997FB0" w:rsidP="009605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0" w:after="80"/>
              <w:ind w:left="80" w:right="8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6056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76FAA" w14:textId="77777777" w:rsidR="00997FB0" w:rsidRPr="00760563" w:rsidRDefault="00997FB0" w:rsidP="009605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0" w:after="80"/>
              <w:ind w:left="80" w:right="8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6056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1.92</w:t>
            </w:r>
          </w:p>
        </w:tc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37A76" w14:textId="77777777" w:rsidR="00997FB0" w:rsidRPr="00760563" w:rsidRDefault="00997FB0" w:rsidP="009605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0" w:after="80"/>
              <w:ind w:left="80" w:right="8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6056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1.69–2.19</w:t>
            </w:r>
          </w:p>
        </w:tc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DF96D" w14:textId="77777777" w:rsidR="00997FB0" w:rsidRPr="00760563" w:rsidRDefault="00997FB0" w:rsidP="009605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0" w:after="80"/>
              <w:ind w:left="80" w:right="8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6056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997FB0" w:rsidRPr="00760563" w14:paraId="16B53340" w14:textId="77777777" w:rsidTr="00960540">
        <w:trPr>
          <w:jc w:val="center"/>
        </w:trPr>
        <w:tc>
          <w:tcPr>
            <w:tcW w:w="2160" w:type="dxa"/>
            <w:tcBorders>
              <w:top w:val="none" w:sz="0" w:space="0" w:color="000000"/>
              <w:left w:val="none" w:sz="0" w:space="0" w:color="000000"/>
              <w:bottom w:val="single" w:sz="1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D7D2A" w14:textId="77777777" w:rsidR="00997FB0" w:rsidRPr="00760563" w:rsidRDefault="00997FB0" w:rsidP="009605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0" w:after="80"/>
              <w:ind w:left="80" w:right="80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6056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Model 3</w:t>
            </w:r>
          </w:p>
        </w:tc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75C46" w14:textId="77777777" w:rsidR="00997FB0" w:rsidRPr="00760563" w:rsidRDefault="00997FB0" w:rsidP="009605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0" w:after="80"/>
              <w:ind w:left="80" w:right="8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6056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1.68</w:t>
            </w:r>
          </w:p>
        </w:tc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B9CC1" w14:textId="77777777" w:rsidR="00997FB0" w:rsidRPr="00760563" w:rsidRDefault="00997FB0" w:rsidP="009605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0" w:after="80"/>
              <w:ind w:left="80" w:right="8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6056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1.47–1.93</w:t>
            </w:r>
          </w:p>
        </w:tc>
        <w:tc>
          <w:tcPr>
            <w:tcW w:w="1872" w:type="dxa"/>
            <w:tcBorders>
              <w:top w:val="none" w:sz="0" w:space="0" w:color="000000"/>
              <w:left w:val="none" w:sz="0" w:space="0" w:color="000000"/>
              <w:bottom w:val="single" w:sz="1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98237" w14:textId="77777777" w:rsidR="00997FB0" w:rsidRPr="00760563" w:rsidRDefault="00997FB0" w:rsidP="009605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80" w:after="80"/>
              <w:ind w:left="80" w:right="80"/>
              <w:jc w:val="center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760563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</w:tbl>
    <w:p w14:paraId="407BEBBA" w14:textId="77777777" w:rsidR="00997FB0" w:rsidRPr="00760563" w:rsidRDefault="00997FB0" w:rsidP="00997FB0">
      <w:pPr>
        <w:rPr>
          <w:rFonts w:ascii="Times New Roman" w:hAnsi="Times New Roman" w:cs="Times New Roman"/>
          <w:sz w:val="20"/>
          <w:szCs w:val="20"/>
        </w:rPr>
      </w:pPr>
      <w:r w:rsidRPr="00760563">
        <w:rPr>
          <w:rFonts w:ascii="Times New Roman" w:hAnsi="Times New Roman" w:cs="Times New Roman"/>
          <w:sz w:val="20"/>
          <w:szCs w:val="20"/>
        </w:rPr>
        <w:t>Hazard ratios shown are for albuminuria with preserved eGFR versus all other participants.</w:t>
      </w:r>
    </w:p>
    <w:p w14:paraId="6D0F115D" w14:textId="77777777" w:rsidR="00997FB0" w:rsidRPr="00760563" w:rsidRDefault="00997FB0" w:rsidP="00997FB0">
      <w:pPr>
        <w:rPr>
          <w:rFonts w:ascii="Times New Roman" w:hAnsi="Times New Roman" w:cs="Times New Roman"/>
          <w:sz w:val="20"/>
          <w:szCs w:val="20"/>
        </w:rPr>
      </w:pPr>
      <w:r w:rsidRPr="00760563">
        <w:rPr>
          <w:rFonts w:ascii="Times New Roman" w:hAnsi="Times New Roman" w:cs="Times New Roman"/>
          <w:sz w:val="20"/>
          <w:szCs w:val="20"/>
        </w:rPr>
        <w:t>Model 1 was unadjusted. Model 2 was adjusted for age, sex, race/ethnicity, and NHANES cycle. Model 3 was additionally adjusted for body mass index, hypertension, diabetes, and smoking status.</w:t>
      </w:r>
    </w:p>
    <w:p w14:paraId="761A11F8" w14:textId="77777777" w:rsidR="00997FB0" w:rsidRPr="00760563" w:rsidRDefault="00997FB0" w:rsidP="00997FB0">
      <w:pPr>
        <w:rPr>
          <w:rFonts w:ascii="Times New Roman" w:hAnsi="Times New Roman" w:cs="Times New Roman"/>
          <w:sz w:val="20"/>
          <w:szCs w:val="20"/>
        </w:rPr>
      </w:pPr>
      <w:r w:rsidRPr="00760563">
        <w:rPr>
          <w:rFonts w:ascii="Times New Roman" w:hAnsi="Times New Roman" w:cs="Times New Roman"/>
          <w:sz w:val="20"/>
          <w:szCs w:val="20"/>
        </w:rPr>
        <w:t>Survey-weighted Cox proportional hazards models accounted for NHANES examination sample weights, masked strata, and primary sampling units.</w:t>
      </w:r>
    </w:p>
    <w:p w14:paraId="61305A97" w14:textId="77777777" w:rsidR="00997FB0" w:rsidRDefault="00997FB0" w:rsidP="00997FB0">
      <w:pPr>
        <w:rPr>
          <w:rFonts w:ascii="Times New Roman" w:hAnsi="Times New Roman" w:cs="Times New Roman"/>
          <w:sz w:val="20"/>
          <w:szCs w:val="20"/>
        </w:rPr>
      </w:pPr>
      <w:r w:rsidRPr="00760563">
        <w:rPr>
          <w:rFonts w:ascii="Times New Roman" w:hAnsi="Times New Roman" w:cs="Times New Roman"/>
          <w:sz w:val="20"/>
          <w:szCs w:val="20"/>
        </w:rPr>
        <w:t>Abbreviations: CI, confidence interval; eGFR, estimated glomerular filtration rate; HR, hazard ratio.</w:t>
      </w:r>
    </w:p>
    <w:p w14:paraId="48FE4A5E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FB0"/>
    <w:rsid w:val="003C2EF4"/>
    <w:rsid w:val="00446799"/>
    <w:rsid w:val="006A7E07"/>
    <w:rsid w:val="00701021"/>
    <w:rsid w:val="008D29A9"/>
    <w:rsid w:val="00997FB0"/>
    <w:rsid w:val="00B74216"/>
    <w:rsid w:val="00D62F8C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2D01F"/>
  <w15:chartTrackingRefBased/>
  <w15:docId w15:val="{B02A3F4C-9F5B-4311-92D9-F42B122AA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7FB0"/>
    <w:pPr>
      <w:spacing w:line="259" w:lineRule="auto"/>
    </w:pPr>
    <w:rPr>
      <w:sz w:val="22"/>
      <w:szCs w:val="22"/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7FB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7FB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7FB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7FB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7FB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7FB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7FB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7FB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7FB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7F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7F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7F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7F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7F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7F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7F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7F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7F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7F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997F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7FB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997F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7FB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997F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7FB0"/>
    <w:pPr>
      <w:spacing w:line="278" w:lineRule="auto"/>
      <w:ind w:left="720"/>
      <w:contextualSpacing/>
    </w:pPr>
    <w:rPr>
      <w:sz w:val="24"/>
      <w:szCs w:val="24"/>
      <w:lang w:val="en-US"/>
    </w:rPr>
  </w:style>
  <w:style w:type="character" w:styleId="IntenseEmphasis">
    <w:name w:val="Intense Emphasis"/>
    <w:basedOn w:val="DefaultParagraphFont"/>
    <w:uiPriority w:val="21"/>
    <w:qFormat/>
    <w:rsid w:val="00997F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7F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7F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7F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695</Characters>
  <Application>Microsoft Office Word</Application>
  <DocSecurity>0</DocSecurity>
  <Lines>5</Lines>
  <Paragraphs>1</Paragraphs>
  <ScaleCrop>false</ScaleCrop>
  <Company>Springer Nature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2026-04-29T15:30:00Z</dcterms:created>
  <dcterms:modified xsi:type="dcterms:W3CDTF">2026-04-29T15:30:00Z</dcterms:modified>
</cp:coreProperties>
</file>