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i w:val="0"/>
          <w:sz w:val="28"/>
        </w:rPr>
        <w:t>Study-level data tables for both validation cases</w:t>
      </w:r>
    </w:p>
    <w:p>
      <w:r>
        <w:rPr>
          <w:rFonts w:ascii="Times New Roman" w:hAnsi="Times New Roman"/>
          <w:b w:val="0"/>
          <w:i w:val="0"/>
          <w:sz w:val="24"/>
        </w:rPr>
      </w:r>
    </w:p>
    <w:p>
      <w:pPr>
        <w:pStyle w:val="Heading2"/>
      </w:pPr>
      <w:r>
        <w:rPr>
          <w:color w:val="000000"/>
        </w:rPr>
        <w:t>Table S1: Intravenous Magnesium in Acute Myocardial Infarction — Study-Level Data</w:t>
      </w:r>
    </w:p>
    <w:p>
      <w:r>
        <w:rPr>
          <w:rFonts w:ascii="Times New Roman" w:hAnsi="Times New Roman"/>
          <w:b w:val="0"/>
          <w:i w:val="0"/>
          <w:sz w:val="24"/>
        </w:rPr>
        <w:t>Data extracted from published meta-analyses (Teo et al. 1991, Li et al. 2007). Trials are classified by era based on the availability of thrombolytic therapy as standard background treatment.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Study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Year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Era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Events</w:t>
              <w:br/>
              <w:t>(Mg)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N</w:t>
              <w:br/>
              <w:t>(Mg)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Events</w:t>
              <w:br/>
              <w:t>(Control)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N</w:t>
              <w:br/>
              <w:t>(Control)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Control</w:t>
              <w:br/>
              <w:t>Rate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OR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CI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Morton 1984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1984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Pre-thrombolysis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5.6%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0.04–5.04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Rasmussen 1986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1986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Pre-thrombolysis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11.4%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0.02–1.15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Smith 1986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1986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Pre-thrombolysis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0.06–1.36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Abraham 1987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1987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Pre-thrombolysis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0.06–15.69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Ceremuzynski 1989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1989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Pre-thrombolysis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13.0%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0.03–2.87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Shechter 1990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1990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Pre-thrombolysis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17.0%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0.01–0.79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Singh 1990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1990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Pre-thrombolysis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29.7%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0.14–1.30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Feldstedt 1991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1991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Transition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7.0%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0.16–1.96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Schechter 1991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1991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Transition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3.5%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0.04–5.37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LIMIT-2 1992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1992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90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1,159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118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1,157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0.56–0.98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Shechter 1995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1995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17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108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15.7%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0.21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0.07–0.63</w:t>
            </w:r>
          </w:p>
        </w:tc>
      </w:tr>
      <w:tr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ISIS-4 1995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1995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Thrombolysis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2,216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29,011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2,103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29,039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7.2%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1.06</w:t>
            </w:r>
          </w:p>
        </w:tc>
        <w:tc>
          <w:tcPr>
            <w:tcW w:type="dxa" w:w="936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0.99–1.12</w:t>
            </w:r>
          </w:p>
        </w:tc>
      </w:tr>
    </w:tbl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/>
          <w:i w:val="0"/>
          <w:sz w:val="24"/>
        </w:rPr>
        <w:t>Summary statistics: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Pre-thrombolysis era (1984–1990, 7 trials): Weighted mean control event rate = 8.9%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Transition era (1991, 2 trials): Weighted mean control event rate = 5.7%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Thrombolysis era (1992–1995, 3 trials): Weighted mean control event rate = 7.6%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ISIS-4 control event rate: 7.2%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Event rate ratio (ISIS-4 / pre-thrombolysis): 0.82</w:t>
      </w:r>
    </w:p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/>
          <w:i w:val="0"/>
          <w:sz w:val="24"/>
        </w:rPr>
        <w:t>Meta-analysis results: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Pre-ISIS-4 (11 trials): OR = 0.54 (95% CI: 0.40–0.75), I² = 6%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All trials (12 trials): OR = 0.56 (95% CI: 0.38–0.83), I² = 62%</w:t>
      </w:r>
    </w:p>
    <w:p>
      <w:r>
        <w:br w:type="page"/>
      </w:r>
    </w:p>
    <w:p>
      <w:pPr>
        <w:pStyle w:val="Heading2"/>
      </w:pPr>
      <w:r>
        <w:rPr>
          <w:color w:val="000000"/>
        </w:rPr>
        <w:t>Table S2: Statins in Heart Failure — Study-Level Data</w:t>
      </w:r>
    </w:p>
    <w:p>
      <w:r>
        <w:rPr>
          <w:rFonts w:ascii="Times New Roman" w:hAnsi="Times New Roman"/>
          <w:b w:val="0"/>
          <w:i w:val="0"/>
          <w:sz w:val="24"/>
        </w:rPr>
        <w:t>Data extracted from published observational studies and RCTs. Hazard ratios (HR) represent statin use vs. no statin use for all-cause mortality.</w:t>
      </w:r>
    </w:p>
    <w:p>
      <w:pPr>
        <w:pStyle w:val="Heading3"/>
      </w:pPr>
      <w:r>
        <w:rPr>
          <w:color w:val="000000"/>
        </w:rPr>
        <w:t>Observational Studies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Study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Year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Design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N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Events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HR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CI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Follow-up</w:t>
              <w:br/>
              <w:t>(years)</w:t>
            </w:r>
          </w:p>
        </w:tc>
      </w:tr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Mozaffarian 2004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2004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Prospective cohort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1,153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356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0.62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0.49–0.78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3.2</w:t>
            </w:r>
          </w:p>
        </w:tc>
      </w:tr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Horwich 2004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2004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Retrospective cohort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551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189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0.59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0.44–0.78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2.3</w:t>
            </w:r>
          </w:p>
        </w:tc>
      </w:tr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Go 2006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2006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Retrospective cohort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24,598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5,765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0.69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0.63–0.75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2.6</w:t>
            </w:r>
          </w:p>
        </w:tc>
      </w:tr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Foody 2006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2006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Retrospective cohort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54,960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16,573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0.82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0.79–0.85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</w:t>
            </w:r>
          </w:p>
        </w:tc>
      </w:tr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Anker 2006 (pooled)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2006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Pooled cohorts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10,510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2,890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0.75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0.66–0.85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3.8</w:t>
            </w:r>
          </w:p>
        </w:tc>
      </w:tr>
    </w:tbl>
    <w:p>
      <w:r>
        <w:rPr>
          <w:rFonts w:ascii="Times New Roman" w:hAnsi="Times New Roman"/>
          <w:b w:val="0"/>
          <w:i w:val="0"/>
          <w:sz w:val="24"/>
        </w:rPr>
      </w:r>
    </w:p>
    <w:p>
      <w:pPr>
        <w:pStyle w:val="Heading3"/>
      </w:pPr>
      <w:r>
        <w:rPr>
          <w:color w:val="000000"/>
        </w:rPr>
        <w:t>Randomized Controlled Trials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Study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Year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Intervention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N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Events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HR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95% CI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/>
                <w:i w:val="0"/>
                <w:sz w:val="20"/>
              </w:rPr>
              <w:t>Follow-up</w:t>
              <w:br/>
              <w:t>(years)</w:t>
            </w:r>
          </w:p>
        </w:tc>
      </w:tr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CORONA 2007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2007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Rosuvastatin 10mg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5,011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728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0.95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0.86–1.05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2.7</w:t>
            </w:r>
          </w:p>
        </w:tc>
      </w:tr>
      <w:tr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GISSI-HF 2008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2008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Rosuvastatin 10mg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4,574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657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1.00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0.90–1.12</w:t>
            </w:r>
          </w:p>
        </w:tc>
        <w:tc>
          <w:tcPr>
            <w:tcW w:type="dxa" w:w="1170"/>
          </w:tcPr>
          <w:p>
            <w:r/>
            <w:r>
              <w:rPr>
                <w:rFonts w:ascii="Times New Roman" w:hAnsi="Times New Roman"/>
                <w:b w:val="0"/>
                <w:i w:val="0"/>
                <w:sz w:val="20"/>
              </w:rPr>
              <w:t>3.9</w:t>
            </w:r>
          </w:p>
        </w:tc>
      </w:tr>
    </w:tbl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/>
          <w:i w:val="0"/>
          <w:sz w:val="24"/>
        </w:rPr>
        <w:t>Summary statistics: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Observational studies pooled HR: 0.72 (95% CI: 0.64–0.80), I² = 82%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RCT pooled HR: 0.97 (95% CI: 0.90–1.05), I² = 0%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Event rate (observational): ~15% (weighted mean across studies)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Event rate (RCT): ~8% (weighted mean across trials)</w:t>
      </w:r>
    </w:p>
    <w:p>
      <w:pPr>
        <w:pStyle w:val="ListBullet"/>
      </w:pPr>
      <w:r>
        <w:rPr>
          <w:rFonts w:ascii="Times New Roman" w:hAnsi="Times New Roman"/>
          <w:b w:val="0"/>
          <w:i w:val="0"/>
          <w:sz w:val="24"/>
        </w:rPr>
        <w:t>Event rate ratio (RCT / observational): 0.53</w:t>
      </w:r>
    </w:p>
    <w:p>
      <w:r>
        <w:rPr>
          <w:rFonts w:ascii="Times New Roman" w:hAnsi="Times New Roman"/>
          <w:b w:val="0"/>
          <w:i w:val="0"/>
          <w:sz w:val="24"/>
        </w:rPr>
      </w:r>
    </w:p>
    <w:p>
      <w:r>
        <w:rPr>
          <w:rFonts w:ascii="Times New Roman" w:hAnsi="Times New Roman"/>
          <w:b/>
          <w:i/>
          <w:sz w:val="24"/>
        </w:rPr>
        <w:t>Notes:</w:t>
      </w:r>
    </w:p>
    <w:p>
      <w:r>
        <w:rPr>
          <w:rFonts w:ascii="Times New Roman" w:hAnsi="Times New Roman"/>
          <w:b w:val="0"/>
          <w:i/>
          <w:sz w:val="20"/>
        </w:rPr>
        <w:t>OR = odds ratio; CI = confidence interval; HR = hazard ratio. Odds ratios for magnesium trials were computed using the Peto method with 0.5 continuity correction. Standard errors for HRs in the statins case were derived from reported 95% CIs.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48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