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6F5A4" w14:textId="322B6BD2" w:rsidR="00A07D1D" w:rsidRDefault="00A07D1D" w:rsidP="00A07D1D">
      <w:pPr>
        <w:spacing w:line="480" w:lineRule="auto"/>
        <w:rPr>
          <w:b/>
          <w:bCs/>
        </w:rPr>
      </w:pPr>
      <w:r>
        <w:rPr>
          <w:b/>
          <w:bCs/>
        </w:rPr>
        <w:t>Supplemental information for “Consistent acceleration of the global methane growth rate over two decades: Comparison with Representative Concentration Pathways and implications for future modeling”</w:t>
      </w:r>
    </w:p>
    <w:p w14:paraId="0264A3D2" w14:textId="0AB54579" w:rsidR="0006322F" w:rsidRDefault="008F7D4F">
      <w:pPr>
        <w:rPr>
          <w:b/>
          <w:bCs/>
        </w:rPr>
      </w:pPr>
      <w:r>
        <w:rPr>
          <w:b/>
          <w:bCs/>
        </w:rPr>
        <w:t xml:space="preserve">Text S1: </w:t>
      </w:r>
      <w:r w:rsidR="004F38E2" w:rsidRPr="005A1979">
        <w:rPr>
          <w:b/>
          <w:bCs/>
        </w:rPr>
        <w:t>Initial emission estimates</w:t>
      </w:r>
      <w:r w:rsidR="004F38E2">
        <w:rPr>
          <w:b/>
          <w:bCs/>
        </w:rPr>
        <w:t xml:space="preserve"> and scaling</w:t>
      </w:r>
    </w:p>
    <w:p w14:paraId="1A958D30" w14:textId="38141758" w:rsidR="0046466C" w:rsidRDefault="0046466C" w:rsidP="008F7D4F">
      <w:pPr>
        <w:spacing w:line="480" w:lineRule="auto"/>
        <w:ind w:firstLine="720"/>
      </w:pPr>
      <w:r>
        <w:t xml:space="preserve">Anthropogenic sources were obtained from EDGAR2024 </w:t>
      </w:r>
      <w:r>
        <w:fldChar w:fldCharType="begin"/>
      </w:r>
      <w:r>
        <w:instrText xml:space="preserve"> ADDIN ZOTERO_ITEM CSL_CITATION {"citationID":"ojAODiYs","properties":{"formattedCitation":"(European Commission. Joint Research Centre. and IEA. 2024)","plainCitation":"(European Commission. Joint Research Centre. and IEA. 2024)","noteIndex":0},"citationItems":[{"id":1544,"uris":["http://zotero.org/users/local/sSo8zKZ0/items/UQQYZAXW"],"itemData":{"id":1544,"type":"book","event-place":"LU","language":"eng","publisher":"Publications Office","publisher-place":"LU","source":"DOI.org (CSL JSON)","title":"GHG emissions of all world countries.","URL":"https://data.europa.eu/doi/10.2760/4002897","author":[{"literal":"European Commission. Joint Research Centre."},{"literal":"IEA."}],"accessed":{"date-parts":[["2026",1,15]]},"issued":{"date-parts":[["2024"]]}}}],"schema":"https://github.com/citation-style-language/schema/raw/master/csl-citation.json"} </w:instrText>
      </w:r>
      <w:r>
        <w:fldChar w:fldCharType="separate"/>
      </w:r>
      <w:r w:rsidR="00FA4E6B">
        <w:rPr>
          <w:noProof/>
        </w:rPr>
        <w:t>(European Commission. Joint Research Centre. and IEA. 2024)</w:t>
      </w:r>
      <w:r>
        <w:fldChar w:fldCharType="end"/>
      </w:r>
      <w:r>
        <w:t xml:space="preserve">. Wetland emissions were obtained from the </w:t>
      </w:r>
      <w:r w:rsidRPr="005704BC">
        <w:t xml:space="preserve">Lund-Potsdam-Jena Earth Observation </w:t>
      </w:r>
      <w:proofErr w:type="spellStart"/>
      <w:r w:rsidRPr="005704BC">
        <w:t>SIMulator</w:t>
      </w:r>
      <w:proofErr w:type="spellEnd"/>
      <w:r w:rsidRPr="005704BC">
        <w:t xml:space="preserve"> (LPJ-EOSIM)</w:t>
      </w:r>
      <w:r>
        <w:t xml:space="preserve"> land surface model </w:t>
      </w:r>
      <w:r>
        <w:fldChar w:fldCharType="begin"/>
      </w:r>
      <w:r>
        <w:instrText xml:space="preserve"> ADDIN ZOTERO_ITEM CSL_CITATION {"citationID":"fRRNYql1","properties":{"formattedCitation":"(Colligan et al. 2025)","plainCitation":"(Colligan et al. 2025)","noteIndex":0},"citationItems":[{"id":1547,"uris":["http://zotero.org/users/local/sSo8zKZ0/items/QYW8CQEN"],"itemData":{"id":1547,"type":"dataset","abstract":"LPJ-EOSIM L2 Global Simulated Daily Wetland Methane Flux V001","language":"en","publisher":"Earth Science Data Systems, NASA","source":"www.earthdata.nasa.gov","title":"LPJ-EOSIM L2 Global Simulated Daily Wetland Methane Flux V001 | NASA Earthdata","URL":"https://www.earthdata.nasa.gov/data/catalog/lpcloud-lpj-eosim-l2-dch4e-001","author":[{"family":"Colligan","given":"T."},{"family":"Poulter","given":"B."},{"family":"Quinn","given":"C."}],"accessed":{"date-parts":[["2026",1,15]]},"issued":{"date-parts":[["2025",10,29]]}}}],"schema":"https://github.com/citation-style-language/schema/raw/master/csl-citation.json"} </w:instrText>
      </w:r>
      <w:r>
        <w:fldChar w:fldCharType="separate"/>
      </w:r>
      <w:r w:rsidR="00FA4E6B">
        <w:rPr>
          <w:noProof/>
        </w:rPr>
        <w:t>(Colligan et al. 2025)</w:t>
      </w:r>
      <w:r>
        <w:fldChar w:fldCharType="end"/>
      </w:r>
      <w:r>
        <w:t xml:space="preserve">. Wildfire emissions were obtained  from the Quick Fire Emissions Database </w:t>
      </w:r>
      <w:r>
        <w:fldChar w:fldCharType="begin"/>
      </w:r>
      <w:r w:rsidR="00F53DA5">
        <w:instrText xml:space="preserve"> ADDIN ZOTERO_ITEM CSL_CITATION {"citationID":"5k1qhDW2","properties":{"formattedCitation":"(Darmenov and da Silva 2015)","plainCitation":"(Darmenov and da Silva 2015)","noteIndex":0},"citationItems":[{"id":1550,"uris":["http://zotero.org/users/local/sSo8zKZ0/items/UC2L9SWD"],"itemData":{"id":1550,"type":"article-journal","collection-title":"Technical Report Series on Global Modeling and Data Assimilation","language":"en","source":"Zotero","title":"The Quick Fire Emissions Dataset (QFED): Documentation of Versions 2.1, 2.2 and 2.4","volume":"38","editor":[{"family":"Koster","given":"Randal D."}],"author":[{"family":"Darmenov","given":"Anton S."},{"family":"Silva","given":"Arlindo M.","non-dropping-particle":"da"}],"issued":{"date-parts":[["2015"]]}}}],"schema":"https://github.com/citation-style-language/schema/raw/master/csl-citation.json"} </w:instrText>
      </w:r>
      <w:r>
        <w:fldChar w:fldCharType="separate"/>
      </w:r>
      <w:r w:rsidR="00FA4E6B">
        <w:rPr>
          <w:noProof/>
        </w:rPr>
        <w:t>(Darmenov and da Silva 2015)</w:t>
      </w:r>
      <w:r>
        <w:fldChar w:fldCharType="end"/>
      </w:r>
      <w:r>
        <w:t xml:space="preserve">. Geologic emissions were constrained to 1.6 </w:t>
      </w:r>
      <w:proofErr w:type="spellStart"/>
      <w:r>
        <w:t>Tg</w:t>
      </w:r>
      <w:proofErr w:type="spellEnd"/>
      <w:r>
        <w:t xml:space="preserve"> CH₄/year globally </w:t>
      </w:r>
      <w:r>
        <w:fldChar w:fldCharType="begin"/>
      </w:r>
      <w:r>
        <w:instrText xml:space="preserve"> ADDIN ZOTERO_ITEM CSL_CITATION {"citationID":"MktoCbfQ","properties":{"formattedCitation":"(Hmiel et al. 2020)","plainCitation":"(Hmiel et al. 2020)","noteIndex":0},"citationItems":[{"id":1688,"uris":["http://zotero.org/users/local/sSo8zKZ0/items/PIULBAXC"],"itemData":{"id":1688,"type":"article-journal","abstract":"Atmospheric methane (CH4) is a potent greenhouse gas, and its mole fraction has more than doubled since the preindustrial era1. Fossil fuel extraction and use are among the largest anthropogenic sources of CH4 emissions, but the precise magnitude of these contributions is a subject of debate2,3. Carbon-14 in CH4 (14CH4) can be used to distinguish between fossil (14C-free) CH4 emissions and contemporaneous biogenic sources; however, poorly constrained direct 14CH4 emissions from nuclear reactors have complicated this approach since the middle of the 20th century4,5. Moreover, the partitioning of total fossil CH4 emissions (presently 172 to 195 teragrams CH4 per year)2,3 between anthropogenic and natural geological sources (such as seeps and mud volcanoes) is under debate; emission inventories suggest that the latter account for about 40 to 60 teragrams CH4 per year6,7. Geological emissions were less than 15.4 teragrams CH4 per year at the end of the Pleistocene, about 11,600 years ago8, but that period is an imperfect analogue for present-day emissions owing to the large terrestrial ice sheet cover, lower sea level and extensive permafrost. Here we use preindustrial-era ice core 14CH4 measurements to show that natural geological CH4 emissions to the atmosphere were about 1.6 teragrams CH4 per year, with a maximum of 5.4 teragrams CH4 per year (95 per cent confidence limit)—an order of magnitude lower than the currently used estimates. This result indicates that anthropogenic fossil CH4 emissions are underestimated by about 38 to 58 teragrams CH4 per year, or about 25 to 40 per cent of recent estimates. Our record highlights the human impact on the atmosphere and climate, provides a firm target for inventories of the global CH4 budget, and will help to inform strategies for targeted emission reductions9,10.","container-title":"Nature","DOI":"10.1038/s41586-020-1991-8","ISSN":"1476-4687","issue":"7795","language":"en","license":"2020 The Author(s), under exclusive licence to Springer Nature Limited","note":"publisher: Nature Publishing Group","page":"409-412","source":"www.nature.com","title":"Preindustrial 14CH4 indicates greater anthropogenic fossil CH4 emissions","volume":"578","author":[{"family":"Hmiel","given":"Benjamin"},{"family":"Petrenko","given":"V. V."},{"family":"Dyonisius","given":"M. N."},{"family":"Buizert","given":"C."},{"family":"Smith","given":"A. M."},{"family":"Place","given":"P. F."},{"family":"Harth","given":"C."},{"family":"Beaudette","given":"R."},{"family":"Hua","given":"Q."},{"family":"Yang","given":"B."},{"family":"Vimont","given":"I."},{"family":"Michel","given":"S. E."},{"family":"Severinghaus","given":"J. P."},{"family":"Etheridge","given":"D."},{"family":"Bromley","given":"T."},{"family":"Schmitt","given":"J."},{"family":"Faïn","given":"X."},{"family":"Weiss","given":"R. F."},{"family":"Dlugokencky","given":"E."}],"issued":{"date-parts":[["2020",2]]}}}],"schema":"https://github.com/citation-style-language/schema/raw/master/csl-citation.json"} </w:instrText>
      </w:r>
      <w:r>
        <w:fldChar w:fldCharType="separate"/>
      </w:r>
      <w:r w:rsidR="00FA4E6B">
        <w:rPr>
          <w:noProof/>
        </w:rPr>
        <w:t>(Hmiel et al. 2020)</w:t>
      </w:r>
      <w:r>
        <w:fldChar w:fldCharType="end"/>
      </w:r>
      <w:r>
        <w:t xml:space="preserve"> and distributed according to a map of geologic seeps </w:t>
      </w:r>
      <w:r>
        <w:fldChar w:fldCharType="begin"/>
      </w:r>
      <w:r>
        <w:instrText xml:space="preserve"> ADDIN ZOTERO_ITEM CSL_CITATION {"citationID":"BdJNIWMw","properties":{"formattedCitation":"(Etiope et al. 2019)","plainCitation":"(Etiope et al. 2019)","noteIndex":0},"citationItems":[{"id":1690,"uris":["http://zotero.org/users/local/sSo8zKZ0/items/9P7FT5NG"],"itemData":{"id":1690,"type":"article-journal","abstract":"Methane (CH4) is a powerful greenhouse gas, whose natural and anthropogenic emissions contribute </w:instrText>
      </w:r>
      <w:r>
        <w:rPr>
          <w:rFonts w:ascii="Cambria Math" w:hAnsi="Cambria Math" w:cs="Cambria Math"/>
        </w:rPr>
        <w:instrText>∼</w:instrText>
      </w:r>
      <w:r>
        <w:instrText>20&amp;thinsp;% to global radiative forcing. Its atmospheric budget (sources and sinks), however, has large uncertainties. Inverse modelling, using atmospheric CH4 trends, spatial gradients and isotopic source signatures, has recently improved the major source estimates and their spatial–temporal variation. Nevertheless, isotopic data lack CH4 source representativeness for many sources, and their isotopic signatures are affected by incomplete knowledge of the spatial distribution of some sources, especially those related to fossil (radiocarbon-free) and microbial gas. This gap is particularly wide for geological CH4 (geo-CH4) seepage, i.e. the natural degassing of hydrocarbons from the Earth's crust. While geological seepage is widely considered a major source of atmospheric CH4, it has been largely neglected in 3-D inverse CH4 budget studies given the lack of detailed a priori gridded emission maps. Here, we report for the first time global gridded maps of geological CH4 sources, including emission and isotopic data. The 1</w:instrText>
      </w:r>
      <w:r>
        <w:rPr>
          <w:rFonts w:ascii="Cambria Math" w:hAnsi="Cambria Math" w:cs="Cambria Math"/>
        </w:rPr>
        <w:instrText>∘</w:instrText>
      </w:r>
      <w:r>
        <w:instrText>×1</w:instrText>
      </w:r>
      <w:r>
        <w:rPr>
          <w:rFonts w:ascii="Cambria Math" w:hAnsi="Cambria Math" w:cs="Cambria Math"/>
        </w:rPr>
        <w:instrText>∘</w:instrText>
      </w:r>
      <w:r>
        <w:instrText xml:space="preserve"> maps include the four main categories of natural geo-CH4 emission: (a) onshore hydrocarbon macro-seeps, including mud volcanoes, (b) submarine (offshore) seeps, (c) diffuse microseepage and (d) geothermal manifestations. An inventory of point sources and area sources was developed for each category, defining areal distribution (activity), CH4 fluxes (emission factors) and its stable C isotope composition (δ13C-CH4). These parameters were determined considering geological factors that control methane origin and seepage (e.g. petroleum fields, sedimentary basins, high heat flow regions, faults, seismicity). The global geo-source map reveals that the regions with the highest CH4 emissions are all located in the Northern Hemisphere, in North America, in the Caspian region, in Europe and in the East Siberian Arctic Shelf. The globally gridded CH4 emission estimate (37&amp;thinsp;Tg&amp;thinsp;yr−1 exclusively based on data and modelling specifically targeted for gridding, and 43–50&amp;thinsp;Tg&amp;thinsp;yr−1 when extrapolated to also account for onshore and submarine seeps with no location specific measurements available) is compatible with published ranges derived using top-down and bottom-up procedures. Improved activity and emission factor data allowed previously published mud volcanoes and microseepage emission estimates to be refined. The emission-weighted global mean δ13C-CH4 source signature of all geo-CH4 source categories is about −49&amp;thinsp;‰. This value is significantly lower than those attributed so far in inverse studies to fossil fuel sources (−44&amp;thinsp;‰) and geological seepage (−38&amp;thinsp;‰). It is expected that using this updated, more 13C-depleted, isotopic signature in atmospheric modelling will increase the top-down estimate of the geological CH4 source. The geo-CH4 emission grid maps can now be used to improve atmospheric CH4 modelling, thereby improving the accuracy of the fossil fuel and microbial components. Grid csv (comma-separated values) files are available at https://doi.org/10.25925/4j3f-he27.","container-title":"Earth System Science Data","DOI":"10.5194/essd-11-1-2019","ISSN":"1866-3508","issue":"1","language":"English","note":"publisher: Copernicus GmbH","page":"1-22","source":"Copernicus Online Journals","title":"Gridded maps of geological methane emissions and their isotopic signature","volume":"11","author":[{"family":"Etiope","given":"Giuseppe"},{"family":"Ciotoli","given":"Giancarlo"},{"family":"Schwietzke","given":"Stefan"},{"family":"Schoell","given":"Martin"}],"issued":{"date-parts":[["2019",1,7]]}}}],"schema":"https://github.com/citation-style-language/schema/raw/master/csl-citation.json"} </w:instrText>
      </w:r>
      <w:r>
        <w:fldChar w:fldCharType="separate"/>
      </w:r>
      <w:r w:rsidR="00FA4E6B">
        <w:rPr>
          <w:noProof/>
        </w:rPr>
        <w:t>(Etiope et al. 2019)</w:t>
      </w:r>
      <w:r>
        <w:fldChar w:fldCharType="end"/>
      </w:r>
      <w:r>
        <w:t>. Emissions from other minor natural sources such as termites and wild animals, and the methane soil sink, were obtained from literature (</w:t>
      </w:r>
      <w:r>
        <w:fldChar w:fldCharType="begin"/>
      </w:r>
      <w:r>
        <w:instrText xml:space="preserve"> ADDIN ZOTERO_ITEM CSL_CITATION {"citationID":"TGqaEVe2","properties":{"formattedCitation":"(Lan et al. 2021)","plainCitation":"(Lan et al. 2021)","noteIndex":0},"citationItems":[{"id":1692,"uris":["http://zotero.org/users/local/sSo8zKZ0/items/S2RWAB6Y"],"itemData":{"id":1692,"type":"article-journal","abstract":"We study the drivers behind the global atmospheric methane (CH4) increase observed after 2006. Candidate emission and sink scenarios are constructed based on proposed hypotheses in the literature. These scenarios are simulated in the TM5 tracer transport model for 1984–2016 to produce three-dimensional fields of CH4 and δ13C-CH4, which are compared with observations to test the competing hypotheses in the literature in one common model framework. We find that the fossil fuel (FF) CH4 emission trend from the Emissions Database for Global Atmospheric Research 4.3.2 inventory does not agree with observed δ13C-CH4. Increased FF CH4 emissions are unlikely to be the dominant driver for the post-2006 global CH4 increase despite the possibility for a small FF emission increase. We also find that a significant decrease in the abundance of hydroxyl radicals (OH) cannot explain the post-2006 global CH4 increase since it does not track the observed decrease in global mean δ13C-CH4. Different CH4 sinks have different fractionation factors for δ13C-CH4, thus we can investigate the uncertainty introduced by the reaction of CH4 with tropospheric chlorine (Cl), a CH4 sink whose abundance, spatial distribution, and temporal changes remain uncertain. Our results show that including or excluding tropospheric Cl as a 13 Tg/year CH4 sink in our model changes the magnitude of estimated fossil emissions by </w:instrText>
      </w:r>
      <w:r>
        <w:rPr>
          <w:rFonts w:ascii="Cambria Math" w:hAnsi="Cambria Math" w:cs="Cambria Math"/>
        </w:rPr>
        <w:instrText>∼</w:instrText>
      </w:r>
      <w:r>
        <w:instrText xml:space="preserve">20%. We also found that by using different wetland emissions based on a static versus a dynamic wetland area map, the partitioning between FF and microbial sources differs by 20 Tg/year, </w:instrText>
      </w:r>
      <w:r>
        <w:rPr>
          <w:rFonts w:ascii="Cambria Math" w:hAnsi="Cambria Math" w:cs="Cambria Math"/>
        </w:rPr>
        <w:instrText>∼</w:instrText>
      </w:r>
      <w:r>
        <w:instrText xml:space="preserve">12% of estimated fossil emissions.","container-title":"Global Biogeochemical Cycles","DOI":"10.1029/2021GB007000","ISSN":"1944-9224","issue":"6","language":"en","license":"© 2021. The Authors.","note":"_eprint: https://agupubs.onlinelibrary.wiley.com/doi/pdf/10.1029/2021GB007000","page":"e2021GB007000","source":"Wiley Online Library","title":"Improved Constraints on Global Methane Emissions and Sinks Using δ13C-CH4","volume":"35","author":[{"family":"Lan","given":"X."},{"family":"Basu","given":"S."},{"family":"Schwietzke","given":"S."},{"family":"Bruhwiler","given":"L. M. P."},{"family":"Dlugokencky","given":"E. J."},{"family":"Michel","given":"S. E."},{"family":"Sherwood","given":"O. A."},{"family":"Tans","given":"P. P."},{"family":"Thoning","given":"K."},{"family":"Etiope","given":"G."},{"family":"Zhuang","given":"Q."},{"family":"Liu","given":"L."},{"family":"Oh","given":"Y."},{"family":"Miller","given":"J. B."},{"family":"Pétron","given":"G."},{"family":"Vaughn","given":"B. H."},{"family":"Crippa","given":"M."}],"issued":{"date-parts":[["2021"]]}},"label":"page"}],"schema":"https://github.com/citation-style-language/schema/raw/master/csl-citation.json"} </w:instrText>
      </w:r>
      <w:r>
        <w:fldChar w:fldCharType="separate"/>
      </w:r>
      <w:r w:rsidR="00FA4E6B">
        <w:rPr>
          <w:noProof/>
        </w:rPr>
        <w:t>(Lan et al. 2021)</w:t>
      </w:r>
      <w:r>
        <w:fldChar w:fldCharType="end"/>
      </w:r>
      <w:r>
        <w:t xml:space="preserve"> and references therein).</w:t>
      </w:r>
    </w:p>
    <w:p w14:paraId="4398118C" w14:textId="6ED73B4E" w:rsidR="007B0CC8" w:rsidRDefault="008F7D4F" w:rsidP="008F7D4F">
      <w:pPr>
        <w:spacing w:line="480" w:lineRule="auto"/>
        <w:ind w:firstLine="720"/>
      </w:pPr>
      <w:r>
        <w:t>Our setup of the GEOS General Circulation Model (GCM) uses OH, Cl and O(1D) oxidants from the Global Modeling Initiative (GMI)</w:t>
      </w:r>
      <w:r w:rsidR="00935EC2">
        <w:t xml:space="preserve"> as described in </w:t>
      </w:r>
      <w:r w:rsidR="00935EC2">
        <w:fldChar w:fldCharType="begin"/>
      </w:r>
      <w:r w:rsidR="00935EC2">
        <w:instrText xml:space="preserve"> ADDIN ZOTERO_ITEM CSL_CITATION {"citationID":"qjY2w33O","properties":{"formattedCitation":"(Nielsen et al. 2017)","plainCitation":"(Nielsen et al. 2017)","noteIndex":0},"citationItems":[{"id":1722,"uris":["http://zotero.org/users/local/sSo8zKZ0/items/MWJTRQ7I"],"itemData":{"id":1722,"type":"article-journal","abstract":"The GEOS Earth System Model's architecture is based on ESMF and the GMAO's middleware layer called MAPL\nGEOS uses a common code base of interchangeable chemical components for data assimilation, fo...","container-title":"Journal of Advances in Modeling Earth Systems","DOI":"10.1002/2017MS001011","ISSN":"1942-2466","issue":"8","language":"en","note":"publisher: John Wiley &amp; Sons, Ltd","page":"3019-3044","source":"agupubs.onlinelibrary.wiley.com","title":"Chemical Mechanisms and Their Applications in the Goddard Earth Observing System (GEOS) Earth System Model","volume":"9","author":[{"family":"Nielsen","given":"J. Eric"},{"family":"Pawson","given":"Steven"},{"family":"Molod","given":"Andrea"},{"family":"Auer","given":"Benjamin"},{"family":"Silva","given":"Arlindo M.","dropping-particle":"da"},{"family":"Douglass","given":"Anne R."},{"family":"Duncan","given":"Bryan"},{"family":"Liang","given":"Qing"},{"family":"Manyin","given":"Michael"},{"family":"Oman","given":"Luke D."},{"family":"Putman","given":"William"},{"family":"Strahan","given":"Susan E."},{"family":"Wargan","given":"Krzysztof"}],"issued":{"date-parts":[["2017",12,1]]}}}],"schema":"https://github.com/citation-style-language/schema/raw/master/csl-citation.json"} </w:instrText>
      </w:r>
      <w:r w:rsidR="00935EC2">
        <w:fldChar w:fldCharType="separate"/>
      </w:r>
      <w:r w:rsidR="00FA4E6B">
        <w:rPr>
          <w:noProof/>
        </w:rPr>
        <w:t>(Nielsen et al. 2017)</w:t>
      </w:r>
      <w:r w:rsidR="00935EC2">
        <w:fldChar w:fldCharType="end"/>
      </w:r>
      <w:r>
        <w:t xml:space="preserve">. We derived a global mean methane lifetime for every year from 2001 to 2023 by looking at the decay of a background methane field with no emissions and these oxidants. We then derived the total emissions needed each year to match the global marine boundary layer (MBL) methane growth observed by the National Oceanic and Atmospheric Administration (NOAA), subject to these lifetimes </w:t>
      </w:r>
      <w:r>
        <w:fldChar w:fldCharType="begin"/>
      </w:r>
      <w:r w:rsidR="00FA4E6B">
        <w:instrText xml:space="preserve"> ADDIN ZOTERO_ITEM CSL_CITATION {"citationID":"yPBFzQpv","properties":{"formattedCitation":"(X. Lan et al., n.d.)","plainCitation":"(X. Lan et al., n.d.)","dontUpdate":true,"noteIndex":0},"citationItems":[{"id":1703,"uris":["http://zotero.org/users/local/sSo8zKZ0/items/45Q7DABW"],"itemData":{"id":1703,"type":"dataset","abstract":"GML conducts research on greenhouse gas and carbon cycle feedbacks, changes in aerosols, and surface radiation, and recovery of stratospheric ozone.","language":"en","title":"Trends in CH4 - NOAA Global Monitoring Laboratory","URL":"https://doi.org/10.15138/P8XG-AA10","author":[{"family":"Lan","given":"X."},{"family":"Thoning","given":"K."},{"family":"Dlugokencky","given":"E."}],"accessed":{"date-parts":[["2025",3,11]]}}}],"schema":"https://github.com/citation-style-language/schema/raw/master/csl-citation.json"} </w:instrText>
      </w:r>
      <w:r>
        <w:fldChar w:fldCharType="separate"/>
      </w:r>
      <w:r>
        <w:rPr>
          <w:noProof/>
        </w:rPr>
        <w:t>(Lan et al., accessed March 2025)</w:t>
      </w:r>
      <w:r>
        <w:fldChar w:fldCharType="end"/>
      </w:r>
      <w:r>
        <w:t xml:space="preserve">. </w:t>
      </w:r>
    </w:p>
    <w:p w14:paraId="79D6FFBF" w14:textId="2536D49B" w:rsidR="008F7D4F" w:rsidRPr="002D0056" w:rsidRDefault="008F7D4F" w:rsidP="008F7D4F">
      <w:pPr>
        <w:spacing w:line="480" w:lineRule="auto"/>
        <w:ind w:firstLine="720"/>
      </w:pPr>
      <w:r>
        <w:lastRenderedPageBreak/>
        <w:t>This leaves us to still determine the ratio of pyrogenic, fossil, and biogenic emissions to make up that total</w:t>
      </w:r>
      <w:r w:rsidR="001605DA">
        <w:t>. These source categories produce different average values of atmospheric δ¹³CH₄, the ratio of ¹³C to ¹²C in atmospheric CH4, allowing an inference of the relative contribution of these sources to global emissions.</w:t>
      </w:r>
      <w:r>
        <w:t xml:space="preserve"> </w:t>
      </w:r>
      <w:r w:rsidR="001605DA">
        <w:t>We</w:t>
      </w:r>
      <w:r>
        <w:t xml:space="preserve"> use the δ¹³C-informed emission estimates constructed by NOAA’s </w:t>
      </w:r>
      <w:proofErr w:type="spellStart"/>
      <w:r>
        <w:t>CarbonTracker</w:t>
      </w:r>
      <w:proofErr w:type="spellEnd"/>
      <w:r>
        <w:t xml:space="preserve">-CH₄ inversion system </w:t>
      </w:r>
      <w:r>
        <w:fldChar w:fldCharType="begin"/>
      </w:r>
      <w:r w:rsidR="00FA4E6B">
        <w:instrText xml:space="preserve"> ADDIN ZOTERO_ITEM CSL_CITATION {"citationID":"ryiblfU0","properties":{"formattedCitation":"([CSL STYLE ERROR: reference with no printed form.])","plainCitation":"([CSL STYLE ERROR: reference with no printed form.])","noteIndex":0},"citationItems":[{"id":1705,"uris":["http://zotero.org/users/local/sSo8zKZ0/items/PYNU3DKE"],"itemData":{"id":1705,"type":"webpage","title":"CarbonTracker CH4 - ESRL Global Monitoring Division","URL":"https://gml.noaa.gov/ccgg/carbontracker-ch4/","accessed":{"date-parts":[["2026",2,25]]}}}],"schema":"https://github.com/citation-style-language/schema/raw/master/csl-citation.json"} </w:instrText>
      </w:r>
      <w:r>
        <w:fldChar w:fldCharType="separate"/>
      </w:r>
      <w:r w:rsidR="00FA4E6B">
        <w:rPr>
          <w:rFonts w:ascii="Aptos" w:cs="Times New Roman"/>
          <w:kern w:val="0"/>
        </w:rPr>
        <w:t>([CSL STYLE ERROR: reference with no printed form.])</w:t>
      </w:r>
      <w:r>
        <w:fldChar w:fldCharType="end"/>
      </w:r>
      <w:r>
        <w:t xml:space="preserve">. In principle, this would provide us with year-specific </w:t>
      </w:r>
      <w:proofErr w:type="spellStart"/>
      <w:r>
        <w:t>scalings</w:t>
      </w:r>
      <w:proofErr w:type="spellEnd"/>
      <w:r>
        <w:t xml:space="preserve"> for all three isotopic source categories. However, for operational reasons, it was expedient to keep the scale for the smallest category, pyrogenic, fixed throughout the simulation period. Accordingly, we scaled QFED 2.6 and EDGAR2024’s biofuel emissions by 1.1175 and scaled the fossil and biogenic emissions each year such that (a) the total emissions matched that required for NOAA’s methane growth rate, and (b) the ratio of fossil and biogenic emissions matched </w:t>
      </w:r>
      <w:proofErr w:type="spellStart"/>
      <w:r>
        <w:t>CarbonTracker</w:t>
      </w:r>
      <w:proofErr w:type="spellEnd"/>
      <w:r>
        <w:t xml:space="preserve">-CH₄. The resultant emissions are therefore guaranteed to not only match the observed atmospheric methane trend each year, but also the trend in atmospheric δ¹³C-CH₄. </w:t>
      </w:r>
    </w:p>
    <w:p w14:paraId="5EC89F14" w14:textId="19668FFF" w:rsidR="008F7D4F" w:rsidRDefault="008F7D4F">
      <w:pPr>
        <w:rPr>
          <w:b/>
          <w:bCs/>
        </w:rPr>
      </w:pPr>
      <w:r>
        <w:rPr>
          <w:b/>
          <w:bCs/>
        </w:rPr>
        <w:t>Text S2: Trend estimation</w:t>
      </w:r>
    </w:p>
    <w:p w14:paraId="7CFD6547" w14:textId="6C8869EA" w:rsidR="0034475F" w:rsidRDefault="0034475F" w:rsidP="0034475F">
      <w:pPr>
        <w:spacing w:line="480" w:lineRule="auto"/>
        <w:ind w:firstLine="720"/>
      </w:pPr>
      <w:r>
        <w:t xml:space="preserve">The form </w:t>
      </w:r>
      <w:r w:rsidR="004F5325">
        <w:t xml:space="preserve">of the fitted trends </w:t>
      </w:r>
      <w:r>
        <w:t xml:space="preserve">can be written as </w:t>
      </w:r>
    </w:p>
    <w:p w14:paraId="20233E25" w14:textId="77777777" w:rsidR="0034475F" w:rsidRPr="00DB4902" w:rsidRDefault="0034475F" w:rsidP="0034475F">
      <w:pPr>
        <w:spacing w:line="480" w:lineRule="auto"/>
        <w:ind w:firstLine="720"/>
        <w:rPr>
          <w:iCs/>
        </w:rPr>
      </w:pPr>
      <m:oMathPara>
        <m:oMath>
          <m:r>
            <m:rPr>
              <m:sty m:val="b"/>
            </m:rPr>
            <w:rPr>
              <w:rFonts w:ascii="Cambria Math" w:hAnsi="Cambria Math"/>
            </w:rPr>
            <m:t>y</m:t>
          </m:r>
          <m:r>
            <m:rPr>
              <m:sty m:val="p"/>
            </m:rPr>
            <w:rPr>
              <w:rFonts w:ascii="Cambria Math" w:hAnsi="Cambria Math"/>
            </w:rPr>
            <m:t>=</m:t>
          </m:r>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0</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1</m:t>
              </m:r>
            </m:sub>
          </m:sSub>
          <m:r>
            <m:rPr>
              <m:sty m:val="b"/>
            </m:rPr>
            <w:rPr>
              <w:rFonts w:ascii="Cambria Math" w:hAnsi="Cambria Math"/>
            </w:rPr>
            <m:t>t</m:t>
          </m:r>
          <m:r>
            <m:rPr>
              <m:sty m:val="p"/>
            </m:rPr>
            <w:rPr>
              <w:rFonts w:ascii="Cambria Math" w:hAnsi="Cambria Math"/>
            </w:rPr>
            <m:t>+</m:t>
          </m:r>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2</m:t>
              </m:r>
            </m:sub>
          </m:sSub>
          <m:sSup>
            <m:sSupPr>
              <m:ctrlPr>
                <w:rPr>
                  <w:rFonts w:ascii="Cambria Math" w:hAnsi="Cambria Math"/>
                  <w:iCs/>
                </w:rPr>
              </m:ctrlPr>
            </m:sSupPr>
            <m:e>
              <m:r>
                <m:rPr>
                  <m:sty m:val="b"/>
                </m:rPr>
                <w:rPr>
                  <w:rFonts w:ascii="Cambria Math" w:hAnsi="Cambria Math"/>
                </w:rPr>
                <m:t>t</m:t>
              </m:r>
            </m:e>
            <m:sup>
              <m:r>
                <m:rPr>
                  <m:sty m:val="p"/>
                </m:rPr>
                <w:rPr>
                  <w:rFonts w:ascii="Cambria Math" w:hAnsi="Cambria Math"/>
                </w:rPr>
                <m:t>2</m:t>
              </m:r>
            </m:sup>
          </m:sSup>
        </m:oMath>
      </m:oMathPara>
    </w:p>
    <w:p w14:paraId="28CA892E" w14:textId="0313D3C2" w:rsidR="0034475F" w:rsidRDefault="0034475F" w:rsidP="0034475F">
      <w:pPr>
        <w:spacing w:line="480" w:lineRule="auto"/>
      </w:pPr>
      <w:r>
        <w:t xml:space="preserve">for the growth rate time series with the addition of a cubic term for the concentration time series. The vector </w:t>
      </w:r>
      <w:r w:rsidRPr="00DB4902">
        <w:rPr>
          <w:b/>
          <w:bCs/>
        </w:rPr>
        <w:t>y</w:t>
      </w:r>
      <w:r>
        <w:rPr>
          <w:b/>
          <w:bCs/>
          <w:i/>
          <w:iCs/>
        </w:rPr>
        <w:t xml:space="preserve"> </w:t>
      </w:r>
      <w:r>
        <w:t xml:space="preserve">is the vector of observations, and </w:t>
      </w:r>
      <w:r w:rsidRPr="00DB4902">
        <w:rPr>
          <w:b/>
          <w:bCs/>
        </w:rPr>
        <w:t>t</w:t>
      </w:r>
      <w:r>
        <w:rPr>
          <w:b/>
          <w:bCs/>
          <w:i/>
          <w:iCs/>
        </w:rPr>
        <w:t xml:space="preserve"> </w:t>
      </w:r>
      <w:r>
        <w:t>is the vector of times. The polynomial coefficients of the concentration time series and the growth rate (the first derivative of the time series) were checked for consistency.</w:t>
      </w:r>
    </w:p>
    <w:p w14:paraId="58C09D4C" w14:textId="09B97CD8" w:rsidR="008F7D4F" w:rsidRDefault="004F5325" w:rsidP="008F7D4F">
      <w:pPr>
        <w:spacing w:line="480" w:lineRule="auto"/>
        <w:ind w:firstLine="720"/>
      </w:pPr>
      <w:r>
        <w:lastRenderedPageBreak/>
        <w:t xml:space="preserve">The trend fitting follows a maximum likelihood procedure </w:t>
      </w:r>
      <w:r>
        <w:fldChar w:fldCharType="begin"/>
      </w:r>
      <w:r>
        <w:instrText xml:space="preserve"> ADDIN ZOTERO_ITEM CSL_CITATION {"citationID":"ac4eBXnK","properties":{"formattedCitation":"(Hastie et al. 2009)","plainCitation":"(Hastie et al. 2009)","noteIndex":0},"citationItems":[{"id":234,"uris":["http://zotero.org/users/local/sSo8zKZ0/items/RVQBTSXK"],"itemData":{"id":234,"type":"book","collection-title":"Springer Series in Statistics","edition":"2","event-place":"New York, New York USA","publisher":"Springer","publisher-place":"New York, New York USA","title":"The Elements of Statistical Learning: Data Mining, Inference, and Prediction","author":[{"family":"Hastie","given":"Trevor"},{"family":"Tibshirani","given":"Robert"},{"family":"Friedman","given":"Jerome"}],"issued":{"date-parts":[["2009"]]}}}],"schema":"https://github.com/citation-style-language/schema/raw/master/csl-citation.json"} </w:instrText>
      </w:r>
      <w:r>
        <w:fldChar w:fldCharType="separate"/>
      </w:r>
      <w:r w:rsidR="00FA4E6B">
        <w:rPr>
          <w:noProof/>
        </w:rPr>
        <w:t>(Hastie et al. 2009)</w:t>
      </w:r>
      <w:r>
        <w:fldChar w:fldCharType="end"/>
      </w:r>
      <w:r>
        <w:t xml:space="preserve">. </w:t>
      </w:r>
      <w:r w:rsidR="008F7D4F">
        <w:t xml:space="preserve">The fittings were conducted under Gaussian assumptions, with a variance-covariance matrix </w:t>
      </w:r>
      <w:r w:rsidR="008F7D4F">
        <w:rPr>
          <w:b/>
          <w:bCs/>
        </w:rPr>
        <w:t xml:space="preserve">Q </w:t>
      </w:r>
      <w:r w:rsidR="008F7D4F">
        <w:t>describing deviations from the trend estimated using the variance and partial autocorrelation structure of the residuals obtained from a least squares initial fitting. With these assumptions, the maximum likelihood estimate of the regression coefficients for each fitting is</w:t>
      </w:r>
    </w:p>
    <w:p w14:paraId="705F46F8" w14:textId="77777777" w:rsidR="008F7D4F" w:rsidRPr="005A1979" w:rsidRDefault="00000000" w:rsidP="008F7D4F">
      <w:pPr>
        <w:spacing w:line="480" w:lineRule="auto"/>
        <w:ind w:firstLine="720"/>
        <w:rPr>
          <w:b/>
          <w:bCs/>
          <w:iCs/>
        </w:rPr>
      </w:pPr>
      <m:oMathPara>
        <m:oMath>
          <m:acc>
            <m:accPr>
              <m:ctrlPr>
                <w:rPr>
                  <w:rFonts w:ascii="Cambria Math" w:hAnsi="Cambria Math"/>
                  <w:b/>
                  <w:bCs/>
                  <w:iCs/>
                </w:rPr>
              </m:ctrlPr>
            </m:accPr>
            <m:e>
              <m:r>
                <m:rPr>
                  <m:sty m:val="b"/>
                </m:rPr>
                <w:rPr>
                  <w:rFonts w:ascii="Cambria Math" w:hAnsi="Cambria Math"/>
                </w:rPr>
                <m:t>β</m:t>
              </m:r>
            </m:e>
          </m:acc>
          <m:sSup>
            <m:sSupPr>
              <m:ctrlPr>
                <w:rPr>
                  <w:rFonts w:ascii="Cambria Math" w:hAnsi="Cambria Math"/>
                  <w:b/>
                  <w:bCs/>
                  <w:iCs/>
                </w:rPr>
              </m:ctrlPr>
            </m:sSupPr>
            <m:e>
              <m:r>
                <m:rPr>
                  <m:sty m:val="b"/>
                </m:rPr>
                <w:rPr>
                  <w:rFonts w:ascii="Cambria Math" w:hAnsi="Cambria Math"/>
                </w:rPr>
                <m:t>=(</m:t>
              </m:r>
              <m:sSup>
                <m:sSupPr>
                  <m:ctrlPr>
                    <w:rPr>
                      <w:rFonts w:ascii="Cambria Math" w:hAnsi="Cambria Math"/>
                      <w:b/>
                      <w:bCs/>
                      <w:iCs/>
                    </w:rPr>
                  </m:ctrlPr>
                </m:sSupPr>
                <m:e>
                  <m:r>
                    <m:rPr>
                      <m:sty m:val="b"/>
                    </m:rPr>
                    <w:rPr>
                      <w:rFonts w:ascii="Cambria Math" w:hAnsi="Cambria Math"/>
                    </w:rPr>
                    <m:t>X</m:t>
                  </m:r>
                </m:e>
                <m:sup>
                  <m:r>
                    <m:rPr>
                      <m:sty m:val="b"/>
                    </m:rPr>
                    <w:rPr>
                      <w:rFonts w:ascii="Cambria Math" w:hAnsi="Cambria Math"/>
                    </w:rPr>
                    <m:t>T</m:t>
                  </m:r>
                </m:sup>
              </m:sSup>
              <m:sSup>
                <m:sSupPr>
                  <m:ctrlPr>
                    <w:rPr>
                      <w:rFonts w:ascii="Cambria Math" w:hAnsi="Cambria Math"/>
                      <w:b/>
                      <w:bCs/>
                      <w:iCs/>
                    </w:rPr>
                  </m:ctrlPr>
                </m:sSupPr>
                <m:e>
                  <m:r>
                    <m:rPr>
                      <m:sty m:val="b"/>
                    </m:rPr>
                    <w:rPr>
                      <w:rFonts w:ascii="Cambria Math" w:hAnsi="Cambria Math"/>
                    </w:rPr>
                    <m:t>Q</m:t>
                  </m:r>
                </m:e>
                <m:sup>
                  <m:r>
                    <m:rPr>
                      <m:sty m:val="b"/>
                    </m:rPr>
                    <w:rPr>
                      <w:rFonts w:ascii="Cambria Math" w:hAnsi="Cambria Math"/>
                    </w:rPr>
                    <m:t>-1</m:t>
                  </m:r>
                </m:sup>
              </m:sSup>
              <m:r>
                <m:rPr>
                  <m:sty m:val="b"/>
                </m:rPr>
                <w:rPr>
                  <w:rFonts w:ascii="Cambria Math" w:hAnsi="Cambria Math"/>
                </w:rPr>
                <m:t>X)</m:t>
              </m:r>
            </m:e>
            <m:sup>
              <m:r>
                <m:rPr>
                  <m:sty m:val="b"/>
                </m:rPr>
                <w:rPr>
                  <w:rFonts w:ascii="Cambria Math" w:hAnsi="Cambria Math"/>
                </w:rPr>
                <m:t>-1</m:t>
              </m:r>
            </m:sup>
          </m:sSup>
          <m:sSup>
            <m:sSupPr>
              <m:ctrlPr>
                <w:rPr>
                  <w:rFonts w:ascii="Cambria Math" w:hAnsi="Cambria Math"/>
                  <w:b/>
                  <w:bCs/>
                  <w:iCs/>
                </w:rPr>
              </m:ctrlPr>
            </m:sSupPr>
            <m:e>
              <m:r>
                <m:rPr>
                  <m:sty m:val="b"/>
                </m:rPr>
                <w:rPr>
                  <w:rFonts w:ascii="Cambria Math" w:hAnsi="Cambria Math"/>
                </w:rPr>
                <m:t>X</m:t>
              </m:r>
            </m:e>
            <m:sup>
              <m:r>
                <m:rPr>
                  <m:sty m:val="b"/>
                </m:rPr>
                <w:rPr>
                  <w:rFonts w:ascii="Cambria Math" w:hAnsi="Cambria Math"/>
                </w:rPr>
                <m:t>T</m:t>
              </m:r>
            </m:sup>
          </m:sSup>
          <m:sSup>
            <m:sSupPr>
              <m:ctrlPr>
                <w:rPr>
                  <w:rFonts w:ascii="Cambria Math" w:hAnsi="Cambria Math"/>
                  <w:b/>
                  <w:bCs/>
                  <w:iCs/>
                </w:rPr>
              </m:ctrlPr>
            </m:sSupPr>
            <m:e>
              <m:r>
                <m:rPr>
                  <m:sty m:val="b"/>
                </m:rPr>
                <w:rPr>
                  <w:rFonts w:ascii="Cambria Math" w:hAnsi="Cambria Math"/>
                </w:rPr>
                <m:t>Q</m:t>
              </m:r>
            </m:e>
            <m:sup>
              <m:r>
                <m:rPr>
                  <m:sty m:val="b"/>
                </m:rPr>
                <w:rPr>
                  <w:rFonts w:ascii="Cambria Math" w:hAnsi="Cambria Math"/>
                </w:rPr>
                <m:t>-1</m:t>
              </m:r>
            </m:sup>
          </m:sSup>
          <m:r>
            <m:rPr>
              <m:sty m:val="b"/>
            </m:rPr>
            <w:rPr>
              <w:rFonts w:ascii="Cambria Math" w:hAnsi="Cambria Math"/>
            </w:rPr>
            <m:t>y</m:t>
          </m:r>
        </m:oMath>
      </m:oMathPara>
    </w:p>
    <w:p w14:paraId="12329A8C" w14:textId="77777777" w:rsidR="008F7D4F" w:rsidRDefault="008F7D4F" w:rsidP="008F7D4F">
      <w:pPr>
        <w:spacing w:line="480" w:lineRule="auto"/>
      </w:pPr>
      <w:r>
        <w:t xml:space="preserve">where </w:t>
      </w:r>
      <w:r w:rsidRPr="00DE4E5C">
        <w:rPr>
          <w:b/>
          <w:bCs/>
        </w:rPr>
        <w:t>X</w:t>
      </w:r>
      <w:r>
        <w:t xml:space="preserve"> is the matrix of the predictive variables (a constant, time, time squared, and, in the case of the concentration time series fitting, time cubed).</w:t>
      </w:r>
    </w:p>
    <w:p w14:paraId="3A5FA97A" w14:textId="77777777" w:rsidR="008F7D4F" w:rsidRPr="00160537" w:rsidRDefault="008F7D4F" w:rsidP="008F7D4F">
      <w:pPr>
        <w:spacing w:line="480" w:lineRule="auto"/>
        <w:ind w:firstLine="720"/>
      </w:pPr>
      <w:r>
        <w:t xml:space="preserve"> The variance-covariance matrix of the vector of coefficients is given by</w:t>
      </w:r>
      <w:r w:rsidRPr="00E92505">
        <w:rPr>
          <w:rFonts w:ascii="Cambria Math" w:hAnsi="Cambria Math"/>
          <w:b/>
          <w:bCs/>
          <w:i/>
        </w:rPr>
        <w:br/>
      </w:r>
      <m:oMathPara>
        <m:oMath>
          <m:sSup>
            <m:sSupPr>
              <m:ctrlPr>
                <w:rPr>
                  <w:rFonts w:ascii="Cambria Math" w:eastAsiaTheme="minorEastAsia" w:hAnsi="Cambria Math"/>
                  <w:b/>
                  <w:bCs/>
                  <w:iCs/>
                </w:rPr>
              </m:ctrlPr>
            </m:sSupPr>
            <m:e>
              <m:acc>
                <m:accPr>
                  <m:ctrlPr>
                    <w:rPr>
                      <w:rFonts w:ascii="Cambria Math" w:eastAsiaTheme="minorEastAsia" w:hAnsi="Cambria Math"/>
                      <w:b/>
                      <w:bCs/>
                      <w:iCs/>
                    </w:rPr>
                  </m:ctrlPr>
                </m:accPr>
                <m:e>
                  <m:r>
                    <m:rPr>
                      <m:sty m:val="b"/>
                    </m:rPr>
                    <w:rPr>
                      <w:rFonts w:ascii="Cambria Math" w:eastAsiaTheme="minorEastAsia" w:hAnsi="Cambria Math"/>
                    </w:rPr>
                    <m:t>Γ(β</m:t>
                  </m:r>
                  <m:r>
                    <m:rPr>
                      <m:nor/>
                    </m:rPr>
                    <w:rPr>
                      <w:rFonts w:ascii="Cambria Math" w:eastAsiaTheme="minorEastAsia" w:hAnsi="Cambria Math"/>
                      <w:b/>
                      <w:bCs/>
                      <w:iCs/>
                    </w:rPr>
                    <m:t>)=</m:t>
                  </m:r>
                </m:e>
              </m:acc>
              <m:r>
                <m:rPr>
                  <m:sty m:val="b"/>
                </m:rPr>
                <w:rPr>
                  <w:rFonts w:ascii="Cambria Math" w:eastAsiaTheme="minorEastAsia" w:hAnsi="Cambria Math"/>
                </w:rPr>
                <m:t>(</m:t>
              </m:r>
              <m:sSup>
                <m:sSupPr>
                  <m:ctrlPr>
                    <w:rPr>
                      <w:rFonts w:ascii="Cambria Math" w:eastAsiaTheme="minorEastAsia" w:hAnsi="Cambria Math"/>
                      <w:b/>
                      <w:bCs/>
                      <w:iCs/>
                    </w:rPr>
                  </m:ctrlPr>
                </m:sSupPr>
                <m:e>
                  <m:r>
                    <m:rPr>
                      <m:sty m:val="b"/>
                    </m:rPr>
                    <w:rPr>
                      <w:rFonts w:ascii="Cambria Math" w:eastAsiaTheme="minorEastAsia" w:hAnsi="Cambria Math"/>
                    </w:rPr>
                    <m:t>X</m:t>
                  </m:r>
                </m:e>
                <m:sup>
                  <m:r>
                    <m:rPr>
                      <m:sty m:val="b"/>
                    </m:rPr>
                    <w:rPr>
                      <w:rFonts w:ascii="Cambria Math" w:eastAsiaTheme="minorEastAsia" w:hAnsi="Cambria Math"/>
                    </w:rPr>
                    <m:t>T</m:t>
                  </m:r>
                </m:sup>
              </m:sSup>
              <m:sSup>
                <m:sSupPr>
                  <m:ctrlPr>
                    <w:rPr>
                      <w:rFonts w:ascii="Cambria Math" w:eastAsiaTheme="minorEastAsia" w:hAnsi="Cambria Math"/>
                      <w:b/>
                      <w:bCs/>
                      <w:iCs/>
                    </w:rPr>
                  </m:ctrlPr>
                </m:sSupPr>
                <m:e>
                  <m:r>
                    <m:rPr>
                      <m:sty m:val="b"/>
                    </m:rPr>
                    <w:rPr>
                      <w:rFonts w:ascii="Cambria Math" w:eastAsiaTheme="minorEastAsia" w:hAnsi="Cambria Math"/>
                    </w:rPr>
                    <m:t>Q</m:t>
                  </m:r>
                </m:e>
                <m:sup>
                  <m:r>
                    <m:rPr>
                      <m:sty m:val="b"/>
                    </m:rPr>
                    <w:rPr>
                      <w:rFonts w:ascii="Cambria Math" w:eastAsiaTheme="minorEastAsia" w:hAnsi="Cambria Math"/>
                    </w:rPr>
                    <m:t>-1</m:t>
                  </m:r>
                </m:sup>
              </m:sSup>
              <m:r>
                <m:rPr>
                  <m:sty m:val="b"/>
                </m:rPr>
                <w:rPr>
                  <w:rFonts w:ascii="Cambria Math" w:eastAsiaTheme="minorEastAsia" w:hAnsi="Cambria Math"/>
                </w:rPr>
                <m:t>X)</m:t>
              </m:r>
            </m:e>
            <m:sup>
              <m:r>
                <m:rPr>
                  <m:sty m:val="b"/>
                </m:rPr>
                <w:rPr>
                  <w:rFonts w:ascii="Cambria Math" w:eastAsiaTheme="minorEastAsia" w:hAnsi="Cambria Math"/>
                </w:rPr>
                <m:t>-1</m:t>
              </m:r>
            </m:sup>
          </m:sSup>
        </m:oMath>
      </m:oMathPara>
    </w:p>
    <w:p w14:paraId="02F58524" w14:textId="77777777" w:rsidR="008F7D4F" w:rsidRDefault="008F7D4F" w:rsidP="008F7D4F">
      <w:pPr>
        <w:spacing w:line="480" w:lineRule="auto"/>
        <w:rPr>
          <w:rFonts w:eastAsiaTheme="minorEastAsia"/>
        </w:rPr>
      </w:pPr>
      <w:r>
        <w:t xml:space="preserve">The 95% confidence intervals of </w:t>
      </w:r>
      <m:oMath>
        <m:acc>
          <m:accPr>
            <m:ctrlPr>
              <w:rPr>
                <w:rFonts w:ascii="Cambria Math" w:hAnsi="Cambria Math"/>
                <w:b/>
                <w:bCs/>
                <w:iCs/>
              </w:rPr>
            </m:ctrlPr>
          </m:accPr>
          <m:e>
            <m:r>
              <m:rPr>
                <m:sty m:val="b"/>
              </m:rPr>
              <w:rPr>
                <w:rFonts w:ascii="Cambria Math" w:hAnsi="Cambria Math"/>
              </w:rPr>
              <m:t>β</m:t>
            </m:r>
          </m:e>
        </m:acc>
      </m:oMath>
      <w:r>
        <w:rPr>
          <w:rFonts w:eastAsiaTheme="minorEastAsia"/>
          <w:b/>
          <w:bCs/>
        </w:rPr>
        <w:t xml:space="preserve"> </w:t>
      </w:r>
      <w:r>
        <w:rPr>
          <w:rFonts w:eastAsiaTheme="minorEastAsia"/>
        </w:rPr>
        <w:t xml:space="preserve">are then constructed by adding (subtracting) 1.96 times the square root of the diagonal elements of </w:t>
      </w:r>
      <m:oMath>
        <m:acc>
          <m:accPr>
            <m:ctrlPr>
              <w:rPr>
                <w:rFonts w:ascii="Cambria Math" w:eastAsiaTheme="minorEastAsia" w:hAnsi="Cambria Math"/>
                <w:b/>
                <w:bCs/>
              </w:rPr>
            </m:ctrlPr>
          </m:accPr>
          <m:e>
            <m:r>
              <m:rPr>
                <m:sty m:val="b"/>
              </m:rPr>
              <w:rPr>
                <w:rFonts w:ascii="Cambria Math" w:eastAsiaTheme="minorEastAsia" w:hAnsi="Cambria Math"/>
              </w:rPr>
              <m:t>Γ</m:t>
            </m:r>
          </m:e>
        </m:acc>
      </m:oMath>
      <w:r>
        <w:rPr>
          <w:rFonts w:eastAsiaTheme="minorEastAsia"/>
          <w:b/>
          <w:bCs/>
        </w:rPr>
        <w:t xml:space="preserve"> </w:t>
      </w:r>
      <w:r>
        <w:rPr>
          <w:rFonts w:eastAsiaTheme="minorEastAsia"/>
        </w:rPr>
        <w:t xml:space="preserve">to (from) </w:t>
      </w:r>
      <m:oMath>
        <m:acc>
          <m:accPr>
            <m:ctrlPr>
              <w:rPr>
                <w:rFonts w:ascii="Cambria Math" w:eastAsiaTheme="minorEastAsia" w:hAnsi="Cambria Math"/>
                <w:b/>
                <w:bCs/>
              </w:rPr>
            </m:ctrlPr>
          </m:accPr>
          <m:e>
            <m:r>
              <m:rPr>
                <m:sty m:val="b"/>
              </m:rPr>
              <w:rPr>
                <w:rFonts w:ascii="Cambria Math" w:eastAsiaTheme="minorEastAsia" w:hAnsi="Cambria Math"/>
              </w:rPr>
              <m:t>β</m:t>
            </m:r>
          </m:e>
        </m:acc>
      </m:oMath>
      <w:r>
        <w:rPr>
          <w:rFonts w:eastAsiaTheme="minorEastAsia"/>
        </w:rPr>
        <w:t xml:space="preserve">. The time-dependent variance of the estimated trend component of each time series was constructed at each time step </w:t>
      </w:r>
      <w:proofErr w:type="spellStart"/>
      <w:r w:rsidRPr="006A0469">
        <w:rPr>
          <w:rFonts w:eastAsiaTheme="minorEastAsia"/>
          <w:i/>
          <w:iCs/>
        </w:rPr>
        <w:t>i</w:t>
      </w:r>
      <w:proofErr w:type="spellEnd"/>
      <w:r>
        <w:rPr>
          <w:rFonts w:eastAsiaTheme="minorEastAsia"/>
        </w:rPr>
        <w:t xml:space="preserve"> by performing the calculation </w:t>
      </w:r>
      <m:oMath>
        <m:sSub>
          <m:sSubPr>
            <m:ctrlPr>
              <w:rPr>
                <w:rFonts w:ascii="Cambria Math" w:eastAsiaTheme="minorEastAsia" w:hAnsi="Cambria Math"/>
                <w:b/>
                <w:bCs/>
                <w:iCs/>
              </w:rPr>
            </m:ctrlPr>
          </m:sSubPr>
          <m:e>
            <m:r>
              <m:rPr>
                <m:sty m:val="b"/>
              </m:rPr>
              <w:rPr>
                <w:rFonts w:ascii="Cambria Math" w:eastAsiaTheme="minorEastAsia" w:hAnsi="Cambria Math"/>
              </w:rPr>
              <m:t>x</m:t>
            </m:r>
          </m:e>
          <m:sub>
            <m:r>
              <m:rPr>
                <m:sty m:val="b"/>
              </m:rPr>
              <w:rPr>
                <w:rFonts w:ascii="Cambria Math" w:eastAsiaTheme="minorEastAsia" w:hAnsi="Cambria Math"/>
              </w:rPr>
              <m:t>i</m:t>
            </m:r>
          </m:sub>
        </m:sSub>
        <m:r>
          <m:rPr>
            <m:sty m:val="b"/>
          </m:rPr>
          <w:rPr>
            <w:rFonts w:ascii="Cambria Math" w:eastAsiaTheme="minorEastAsia" w:hAnsi="Cambria Math"/>
          </w:rPr>
          <m:t>Γ</m:t>
        </m:r>
        <m:sSubSup>
          <m:sSubSupPr>
            <m:ctrlPr>
              <w:rPr>
                <w:rFonts w:ascii="Cambria Math" w:eastAsiaTheme="minorEastAsia" w:hAnsi="Cambria Math"/>
                <w:b/>
                <w:bCs/>
                <w:iCs/>
              </w:rPr>
            </m:ctrlPr>
          </m:sSubSupPr>
          <m:e>
            <m:r>
              <m:rPr>
                <m:sty m:val="b"/>
              </m:rPr>
              <w:rPr>
                <w:rFonts w:ascii="Cambria Math" w:eastAsiaTheme="minorEastAsia" w:hAnsi="Cambria Math"/>
              </w:rPr>
              <m:t>x</m:t>
            </m:r>
          </m:e>
          <m:sub>
            <m:r>
              <m:rPr>
                <m:sty m:val="b"/>
              </m:rPr>
              <w:rPr>
                <w:rFonts w:ascii="Cambria Math" w:eastAsiaTheme="minorEastAsia" w:hAnsi="Cambria Math"/>
              </w:rPr>
              <m:t>i</m:t>
            </m:r>
          </m:sub>
          <m:sup>
            <m:r>
              <m:rPr>
                <m:sty m:val="b"/>
              </m:rPr>
              <w:rPr>
                <w:rFonts w:ascii="Cambria Math" w:eastAsiaTheme="minorEastAsia" w:hAnsi="Cambria Math"/>
              </w:rPr>
              <m:t>T</m:t>
            </m:r>
          </m:sup>
        </m:sSubSup>
      </m:oMath>
      <w:r w:rsidRPr="005A1979">
        <w:rPr>
          <w:rFonts w:eastAsiaTheme="minorEastAsia"/>
          <w:iCs/>
        </w:rPr>
        <w:t>.</w:t>
      </w:r>
      <w:r>
        <w:rPr>
          <w:rFonts w:eastAsiaTheme="minorEastAsia"/>
        </w:rPr>
        <w:t xml:space="preserve"> The 95% confidence intervals of the trend were then constructed by adding (subtracting) 1.96 times the square root of this value to (from) the corresponding value of the trend estimate at each time step. </w:t>
      </w:r>
    </w:p>
    <w:p w14:paraId="56198669" w14:textId="4088A662" w:rsidR="00450954" w:rsidRPr="00450954" w:rsidRDefault="00450954" w:rsidP="008F7D4F">
      <w:pPr>
        <w:spacing w:line="480" w:lineRule="auto"/>
        <w:rPr>
          <w:rFonts w:eastAsiaTheme="minorEastAsia"/>
          <w:b/>
          <w:bCs/>
        </w:rPr>
      </w:pPr>
      <w:r>
        <w:rPr>
          <w:rFonts w:eastAsiaTheme="minorEastAsia"/>
          <w:b/>
          <w:bCs/>
        </w:rPr>
        <w:t>Supplement references</w:t>
      </w:r>
    </w:p>
    <w:p w14:paraId="0FFE354F" w14:textId="77777777" w:rsidR="00FA4E6B" w:rsidRPr="00FA4E6B" w:rsidRDefault="00935EC2" w:rsidP="00FA4E6B">
      <w:pPr>
        <w:pStyle w:val="Bibliography"/>
        <w:rPr>
          <w:rFonts w:ascii="Aptos"/>
        </w:rPr>
      </w:pPr>
      <w:r>
        <w:rPr>
          <w:b/>
          <w:bCs/>
        </w:rPr>
        <w:fldChar w:fldCharType="begin"/>
      </w:r>
      <w:r w:rsidR="00FA4E6B">
        <w:rPr>
          <w:b/>
          <w:bCs/>
        </w:rPr>
        <w:instrText xml:space="preserve"> ADDIN ZOTERO_BIBL {"uncited":[],"omitted":[],"custom":[]} CSL_BIBLIOGRAPHY </w:instrText>
      </w:r>
      <w:r>
        <w:rPr>
          <w:b/>
          <w:bCs/>
        </w:rPr>
        <w:fldChar w:fldCharType="separate"/>
      </w:r>
      <w:r w:rsidR="00FA4E6B" w:rsidRPr="00FA4E6B">
        <w:rPr>
          <w:rFonts w:ascii="Aptos"/>
        </w:rPr>
        <w:t xml:space="preserve">Colligan T, Poulter B, Quinn C (2025) LPJ-EOSIM L2 Global Simulated Daily Wetland Methane Flux V001 | NASA </w:t>
      </w:r>
      <w:proofErr w:type="spellStart"/>
      <w:r w:rsidR="00FA4E6B" w:rsidRPr="00FA4E6B">
        <w:rPr>
          <w:rFonts w:ascii="Aptos"/>
        </w:rPr>
        <w:t>Earthdata</w:t>
      </w:r>
      <w:proofErr w:type="spellEnd"/>
    </w:p>
    <w:p w14:paraId="264FC8C7" w14:textId="77777777" w:rsidR="00FA4E6B" w:rsidRPr="00FA4E6B" w:rsidRDefault="00FA4E6B" w:rsidP="00FA4E6B">
      <w:pPr>
        <w:pStyle w:val="Bibliography"/>
        <w:rPr>
          <w:rFonts w:ascii="Aptos"/>
        </w:rPr>
      </w:pPr>
      <w:proofErr w:type="spellStart"/>
      <w:r w:rsidRPr="00FA4E6B">
        <w:rPr>
          <w:rFonts w:ascii="Aptos"/>
        </w:rPr>
        <w:lastRenderedPageBreak/>
        <w:t>Darmenov</w:t>
      </w:r>
      <w:proofErr w:type="spellEnd"/>
      <w:r w:rsidRPr="00FA4E6B">
        <w:rPr>
          <w:rFonts w:ascii="Aptos"/>
        </w:rPr>
        <w:t xml:space="preserve"> AS, da Silva AM (2015) The </w:t>
      </w:r>
      <w:proofErr w:type="gramStart"/>
      <w:r w:rsidRPr="00FA4E6B">
        <w:rPr>
          <w:rFonts w:ascii="Aptos"/>
        </w:rPr>
        <w:t>Quick Fire</w:t>
      </w:r>
      <w:proofErr w:type="gramEnd"/>
      <w:r w:rsidRPr="00FA4E6B">
        <w:rPr>
          <w:rFonts w:ascii="Aptos"/>
        </w:rPr>
        <w:t xml:space="preserve"> Emissions Dataset (QFED): Documentation of Versions 2.1, 2.2 and 2.4. 38:</w:t>
      </w:r>
    </w:p>
    <w:p w14:paraId="5DD65328" w14:textId="77777777" w:rsidR="00FA4E6B" w:rsidRPr="00FA4E6B" w:rsidRDefault="00FA4E6B" w:rsidP="00FA4E6B">
      <w:pPr>
        <w:pStyle w:val="Bibliography"/>
        <w:rPr>
          <w:rFonts w:ascii="Aptos"/>
        </w:rPr>
      </w:pPr>
      <w:proofErr w:type="spellStart"/>
      <w:r w:rsidRPr="00FA4E6B">
        <w:rPr>
          <w:rFonts w:ascii="Aptos"/>
        </w:rPr>
        <w:t>Etiope</w:t>
      </w:r>
      <w:proofErr w:type="spellEnd"/>
      <w:r w:rsidRPr="00FA4E6B">
        <w:rPr>
          <w:rFonts w:ascii="Aptos"/>
        </w:rPr>
        <w:t xml:space="preserve"> G, Ciotoli G, </w:t>
      </w:r>
      <w:proofErr w:type="spellStart"/>
      <w:r w:rsidRPr="00FA4E6B">
        <w:rPr>
          <w:rFonts w:ascii="Aptos"/>
        </w:rPr>
        <w:t>Schwietzke</w:t>
      </w:r>
      <w:proofErr w:type="spellEnd"/>
      <w:r w:rsidRPr="00FA4E6B">
        <w:rPr>
          <w:rFonts w:ascii="Aptos"/>
        </w:rPr>
        <w:t xml:space="preserve"> S, Schoell M (2019) Gridded maps of geological methane emissions and their isotopic signature. Earth System Science Data 11:1–22. https://doi.org/10.5194/essd-11-1-2019</w:t>
      </w:r>
    </w:p>
    <w:p w14:paraId="02410FB5" w14:textId="77777777" w:rsidR="00FA4E6B" w:rsidRPr="00FA4E6B" w:rsidRDefault="00FA4E6B" w:rsidP="00FA4E6B">
      <w:pPr>
        <w:pStyle w:val="Bibliography"/>
        <w:rPr>
          <w:rFonts w:ascii="Aptos"/>
        </w:rPr>
      </w:pPr>
      <w:r w:rsidRPr="00FA4E6B">
        <w:rPr>
          <w:rFonts w:ascii="Aptos"/>
        </w:rPr>
        <w:t>European Commission. Joint Research Centre., IEA. (2024) GHG emissions of all world countries. Publications Office, LU</w:t>
      </w:r>
    </w:p>
    <w:p w14:paraId="150454FE" w14:textId="77777777" w:rsidR="00FA4E6B" w:rsidRPr="00FA4E6B" w:rsidRDefault="00FA4E6B" w:rsidP="00FA4E6B">
      <w:pPr>
        <w:pStyle w:val="Bibliography"/>
        <w:rPr>
          <w:rFonts w:ascii="Aptos"/>
        </w:rPr>
      </w:pPr>
      <w:r w:rsidRPr="00FA4E6B">
        <w:rPr>
          <w:rFonts w:ascii="Aptos"/>
        </w:rPr>
        <w:t xml:space="preserve">Hastie T, </w:t>
      </w:r>
      <w:proofErr w:type="spellStart"/>
      <w:r w:rsidRPr="00FA4E6B">
        <w:rPr>
          <w:rFonts w:ascii="Aptos"/>
        </w:rPr>
        <w:t>Tibshirani</w:t>
      </w:r>
      <w:proofErr w:type="spellEnd"/>
      <w:r w:rsidRPr="00FA4E6B">
        <w:rPr>
          <w:rFonts w:ascii="Aptos"/>
        </w:rPr>
        <w:t xml:space="preserve"> R, Friedman J (2009) The Elements of Statistical Learning: Data Mining, Inference, and Prediction, 2nd </w:t>
      </w:r>
      <w:proofErr w:type="spellStart"/>
      <w:r w:rsidRPr="00FA4E6B">
        <w:rPr>
          <w:rFonts w:ascii="Aptos"/>
        </w:rPr>
        <w:t>edn</w:t>
      </w:r>
      <w:proofErr w:type="spellEnd"/>
      <w:r w:rsidRPr="00FA4E6B">
        <w:rPr>
          <w:rFonts w:ascii="Aptos"/>
        </w:rPr>
        <w:t>. Springer, New York, New York USA</w:t>
      </w:r>
    </w:p>
    <w:p w14:paraId="623D5DA1" w14:textId="77777777" w:rsidR="00FA4E6B" w:rsidRPr="00FA4E6B" w:rsidRDefault="00FA4E6B" w:rsidP="00FA4E6B">
      <w:pPr>
        <w:pStyle w:val="Bibliography"/>
        <w:rPr>
          <w:rFonts w:ascii="Aptos"/>
        </w:rPr>
      </w:pPr>
      <w:proofErr w:type="spellStart"/>
      <w:r w:rsidRPr="00FA4E6B">
        <w:rPr>
          <w:rFonts w:ascii="Aptos"/>
        </w:rPr>
        <w:t>Hmiel</w:t>
      </w:r>
      <w:proofErr w:type="spellEnd"/>
      <w:r w:rsidRPr="00FA4E6B">
        <w:rPr>
          <w:rFonts w:ascii="Aptos"/>
        </w:rPr>
        <w:t xml:space="preserve"> B, Petrenko VV, </w:t>
      </w:r>
      <w:proofErr w:type="spellStart"/>
      <w:r w:rsidRPr="00FA4E6B">
        <w:rPr>
          <w:rFonts w:ascii="Aptos"/>
        </w:rPr>
        <w:t>Dyonisius</w:t>
      </w:r>
      <w:proofErr w:type="spellEnd"/>
      <w:r w:rsidRPr="00FA4E6B">
        <w:rPr>
          <w:rFonts w:ascii="Aptos"/>
        </w:rPr>
        <w:t xml:space="preserve"> MN, et al (2020) Preindustrial 14CH4 indicates greater anthropogenic fossil CH4 emissions. Nature 578:409–412. https://doi.org/10.1038/s41586-020-1991-8</w:t>
      </w:r>
    </w:p>
    <w:p w14:paraId="673DD3A9" w14:textId="77777777" w:rsidR="00FA4E6B" w:rsidRPr="00FA4E6B" w:rsidRDefault="00FA4E6B" w:rsidP="00FA4E6B">
      <w:pPr>
        <w:pStyle w:val="Bibliography"/>
        <w:rPr>
          <w:rFonts w:ascii="Aptos"/>
        </w:rPr>
      </w:pPr>
      <w:r w:rsidRPr="00FA4E6B">
        <w:rPr>
          <w:rFonts w:ascii="Aptos"/>
        </w:rPr>
        <w:t xml:space="preserve">Lan X, Basu S, </w:t>
      </w:r>
      <w:proofErr w:type="spellStart"/>
      <w:r w:rsidRPr="00FA4E6B">
        <w:rPr>
          <w:rFonts w:ascii="Aptos"/>
        </w:rPr>
        <w:t>Schwietzke</w:t>
      </w:r>
      <w:proofErr w:type="spellEnd"/>
      <w:r w:rsidRPr="00FA4E6B">
        <w:rPr>
          <w:rFonts w:ascii="Aptos"/>
        </w:rPr>
        <w:t xml:space="preserve"> S, et al (2021) Improved Constraints on Global Methane Emissions and Sinks Using δ13C-CH4. Global Biogeochemical Cycles </w:t>
      </w:r>
      <w:proofErr w:type="gramStart"/>
      <w:r w:rsidRPr="00FA4E6B">
        <w:rPr>
          <w:rFonts w:ascii="Aptos"/>
        </w:rPr>
        <w:t>35:e</w:t>
      </w:r>
      <w:proofErr w:type="gramEnd"/>
      <w:r w:rsidRPr="00FA4E6B">
        <w:rPr>
          <w:rFonts w:ascii="Aptos"/>
        </w:rPr>
        <w:t>2021GB007000. https://doi.org/10.1029/2021GB007000</w:t>
      </w:r>
    </w:p>
    <w:p w14:paraId="49EDE2FF" w14:textId="77777777" w:rsidR="00FA4E6B" w:rsidRPr="00FA4E6B" w:rsidRDefault="00FA4E6B" w:rsidP="00FA4E6B">
      <w:pPr>
        <w:pStyle w:val="Bibliography"/>
        <w:rPr>
          <w:rFonts w:ascii="Aptos"/>
        </w:rPr>
      </w:pPr>
      <w:r w:rsidRPr="00FA4E6B">
        <w:rPr>
          <w:rFonts w:ascii="Aptos"/>
        </w:rPr>
        <w:t xml:space="preserve">Lan X, Thoning K, </w:t>
      </w:r>
      <w:proofErr w:type="spellStart"/>
      <w:r w:rsidRPr="00FA4E6B">
        <w:rPr>
          <w:rFonts w:ascii="Aptos"/>
        </w:rPr>
        <w:t>Dlugokencky</w:t>
      </w:r>
      <w:proofErr w:type="spellEnd"/>
      <w:r w:rsidRPr="00FA4E6B">
        <w:rPr>
          <w:rFonts w:ascii="Aptos"/>
        </w:rPr>
        <w:t xml:space="preserve"> E Trends in CH4 - NOAA Global Monitoring Laboratory</w:t>
      </w:r>
    </w:p>
    <w:p w14:paraId="462A19FE" w14:textId="77777777" w:rsidR="00FA4E6B" w:rsidRPr="00FA4E6B" w:rsidRDefault="00FA4E6B" w:rsidP="00FA4E6B">
      <w:pPr>
        <w:pStyle w:val="Bibliography"/>
        <w:rPr>
          <w:rFonts w:ascii="Aptos"/>
        </w:rPr>
      </w:pPr>
      <w:r w:rsidRPr="00FA4E6B">
        <w:rPr>
          <w:rFonts w:ascii="Aptos"/>
        </w:rPr>
        <w:t xml:space="preserve">Nielsen JE, Pawson S, </w:t>
      </w:r>
      <w:proofErr w:type="spellStart"/>
      <w:r w:rsidRPr="00FA4E6B">
        <w:rPr>
          <w:rFonts w:ascii="Aptos"/>
        </w:rPr>
        <w:t>Molod</w:t>
      </w:r>
      <w:proofErr w:type="spellEnd"/>
      <w:r w:rsidRPr="00FA4E6B">
        <w:rPr>
          <w:rFonts w:ascii="Aptos"/>
        </w:rPr>
        <w:t xml:space="preserve"> A, et al (2017) Chemical Mechanisms and Their Applications in the Goddard Earth Observing System (GEOS) Earth System Model. Journal of Advances in Modeling Earth Systems 9:3019–3044. https://doi.org/10.1002/2017MS001011</w:t>
      </w:r>
    </w:p>
    <w:p w14:paraId="5833F871" w14:textId="77777777" w:rsidR="00FA4E6B" w:rsidRPr="00FA4E6B" w:rsidRDefault="00FA4E6B" w:rsidP="00FA4E6B">
      <w:pPr>
        <w:pStyle w:val="Bibliography"/>
        <w:rPr>
          <w:rFonts w:ascii="Aptos"/>
        </w:rPr>
      </w:pPr>
      <w:proofErr w:type="spellStart"/>
      <w:r w:rsidRPr="00FA4E6B">
        <w:rPr>
          <w:rFonts w:ascii="Aptos"/>
        </w:rPr>
        <w:t>CarbonTracker</w:t>
      </w:r>
      <w:proofErr w:type="spellEnd"/>
      <w:r w:rsidRPr="00FA4E6B">
        <w:rPr>
          <w:rFonts w:ascii="Aptos"/>
        </w:rPr>
        <w:t xml:space="preserve"> CH4 - ESRL Global Monitoring Division. https://gml.noaa.gov/ccgg/carbontracker-ch4/. Accessed 25 Feb 2026</w:t>
      </w:r>
    </w:p>
    <w:p w14:paraId="649C3C42" w14:textId="68900786" w:rsidR="008F7D4F" w:rsidRPr="008F7D4F" w:rsidRDefault="00935EC2">
      <w:pPr>
        <w:rPr>
          <w:b/>
          <w:bCs/>
        </w:rPr>
      </w:pPr>
      <w:r>
        <w:rPr>
          <w:b/>
          <w:bCs/>
        </w:rPr>
        <w:fldChar w:fldCharType="end"/>
      </w:r>
    </w:p>
    <w:sectPr w:rsidR="008F7D4F" w:rsidRPr="008F7D4F" w:rsidSect="008E18D4">
      <w:footerReference w:type="even" r:id="rId6"/>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4F44F" w14:textId="77777777" w:rsidR="00894698" w:rsidRDefault="00894698" w:rsidP="008E18D4">
      <w:pPr>
        <w:spacing w:after="0" w:line="240" w:lineRule="auto"/>
      </w:pPr>
      <w:r>
        <w:separator/>
      </w:r>
    </w:p>
  </w:endnote>
  <w:endnote w:type="continuationSeparator" w:id="0">
    <w:p w14:paraId="17360B1B" w14:textId="77777777" w:rsidR="00894698" w:rsidRDefault="00894698" w:rsidP="008E1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2792530"/>
      <w:docPartObj>
        <w:docPartGallery w:val="Page Numbers (Bottom of Page)"/>
        <w:docPartUnique/>
      </w:docPartObj>
    </w:sdtPr>
    <w:sdtContent>
      <w:p w14:paraId="113CB67A" w14:textId="34FF2A0A" w:rsidR="008E18D4" w:rsidRDefault="008E18D4" w:rsidP="00D03F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F30E135" w14:textId="77777777" w:rsidR="008E18D4" w:rsidRDefault="008E18D4" w:rsidP="008E18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81494042"/>
      <w:docPartObj>
        <w:docPartGallery w:val="Page Numbers (Bottom of Page)"/>
        <w:docPartUnique/>
      </w:docPartObj>
    </w:sdtPr>
    <w:sdtContent>
      <w:p w14:paraId="54CDDEC6" w14:textId="38048AE0" w:rsidR="008E18D4" w:rsidRDefault="008E18D4" w:rsidP="00D03F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8F47232" w14:textId="77777777" w:rsidR="008E18D4" w:rsidRDefault="008E18D4" w:rsidP="008E18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E8D8C" w14:textId="77777777" w:rsidR="00894698" w:rsidRDefault="00894698" w:rsidP="008E18D4">
      <w:pPr>
        <w:spacing w:after="0" w:line="240" w:lineRule="auto"/>
      </w:pPr>
      <w:r>
        <w:separator/>
      </w:r>
    </w:p>
  </w:footnote>
  <w:footnote w:type="continuationSeparator" w:id="0">
    <w:p w14:paraId="57DE6944" w14:textId="77777777" w:rsidR="00894698" w:rsidRDefault="00894698" w:rsidP="008E18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E1"/>
    <w:rsid w:val="0001396E"/>
    <w:rsid w:val="0006322F"/>
    <w:rsid w:val="00092A9C"/>
    <w:rsid w:val="000E2067"/>
    <w:rsid w:val="001605DA"/>
    <w:rsid w:val="002038F6"/>
    <w:rsid w:val="0034475F"/>
    <w:rsid w:val="004177A3"/>
    <w:rsid w:val="004317C3"/>
    <w:rsid w:val="00450954"/>
    <w:rsid w:val="0046466C"/>
    <w:rsid w:val="004F38E2"/>
    <w:rsid w:val="004F5325"/>
    <w:rsid w:val="005B3623"/>
    <w:rsid w:val="005C4FF2"/>
    <w:rsid w:val="00610781"/>
    <w:rsid w:val="007308B3"/>
    <w:rsid w:val="007B0CC8"/>
    <w:rsid w:val="00894698"/>
    <w:rsid w:val="008E18D4"/>
    <w:rsid w:val="008F7D4F"/>
    <w:rsid w:val="00935EC2"/>
    <w:rsid w:val="00A07D1D"/>
    <w:rsid w:val="00B048E1"/>
    <w:rsid w:val="00BF2CD8"/>
    <w:rsid w:val="00C0355F"/>
    <w:rsid w:val="00D42EBE"/>
    <w:rsid w:val="00D5686F"/>
    <w:rsid w:val="00F2596A"/>
    <w:rsid w:val="00F53DA5"/>
    <w:rsid w:val="00FA4E6B"/>
    <w:rsid w:val="00FB2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D1384"/>
  <w15:chartTrackingRefBased/>
  <w15:docId w15:val="{24880DD9-4D8F-B541-A161-69186CAD0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48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48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48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48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48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48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48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48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48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8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48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48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48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48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48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8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8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8E1"/>
    <w:rPr>
      <w:rFonts w:eastAsiaTheme="majorEastAsia" w:cstheme="majorBidi"/>
      <w:color w:val="272727" w:themeColor="text1" w:themeTint="D8"/>
    </w:rPr>
  </w:style>
  <w:style w:type="paragraph" w:styleId="Title">
    <w:name w:val="Title"/>
    <w:basedOn w:val="Normal"/>
    <w:next w:val="Normal"/>
    <w:link w:val="TitleChar"/>
    <w:uiPriority w:val="10"/>
    <w:qFormat/>
    <w:rsid w:val="00B048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48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8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48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8E1"/>
    <w:pPr>
      <w:spacing w:before="160"/>
      <w:jc w:val="center"/>
    </w:pPr>
    <w:rPr>
      <w:i/>
      <w:iCs/>
      <w:color w:val="404040" w:themeColor="text1" w:themeTint="BF"/>
    </w:rPr>
  </w:style>
  <w:style w:type="character" w:customStyle="1" w:styleId="QuoteChar">
    <w:name w:val="Quote Char"/>
    <w:basedOn w:val="DefaultParagraphFont"/>
    <w:link w:val="Quote"/>
    <w:uiPriority w:val="29"/>
    <w:rsid w:val="00B048E1"/>
    <w:rPr>
      <w:i/>
      <w:iCs/>
      <w:color w:val="404040" w:themeColor="text1" w:themeTint="BF"/>
    </w:rPr>
  </w:style>
  <w:style w:type="paragraph" w:styleId="ListParagraph">
    <w:name w:val="List Paragraph"/>
    <w:basedOn w:val="Normal"/>
    <w:uiPriority w:val="34"/>
    <w:qFormat/>
    <w:rsid w:val="00B048E1"/>
    <w:pPr>
      <w:ind w:left="720"/>
      <w:contextualSpacing/>
    </w:pPr>
  </w:style>
  <w:style w:type="character" w:styleId="IntenseEmphasis">
    <w:name w:val="Intense Emphasis"/>
    <w:basedOn w:val="DefaultParagraphFont"/>
    <w:uiPriority w:val="21"/>
    <w:qFormat/>
    <w:rsid w:val="00B048E1"/>
    <w:rPr>
      <w:i/>
      <w:iCs/>
      <w:color w:val="0F4761" w:themeColor="accent1" w:themeShade="BF"/>
    </w:rPr>
  </w:style>
  <w:style w:type="paragraph" w:styleId="IntenseQuote">
    <w:name w:val="Intense Quote"/>
    <w:basedOn w:val="Normal"/>
    <w:next w:val="Normal"/>
    <w:link w:val="IntenseQuoteChar"/>
    <w:uiPriority w:val="30"/>
    <w:qFormat/>
    <w:rsid w:val="00B048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48E1"/>
    <w:rPr>
      <w:i/>
      <w:iCs/>
      <w:color w:val="0F4761" w:themeColor="accent1" w:themeShade="BF"/>
    </w:rPr>
  </w:style>
  <w:style w:type="character" w:styleId="IntenseReference">
    <w:name w:val="Intense Reference"/>
    <w:basedOn w:val="DefaultParagraphFont"/>
    <w:uiPriority w:val="32"/>
    <w:qFormat/>
    <w:rsid w:val="00B048E1"/>
    <w:rPr>
      <w:b/>
      <w:bCs/>
      <w:smallCaps/>
      <w:color w:val="0F4761" w:themeColor="accent1" w:themeShade="BF"/>
      <w:spacing w:val="5"/>
    </w:rPr>
  </w:style>
  <w:style w:type="character" w:styleId="CommentReference">
    <w:name w:val="annotation reference"/>
    <w:basedOn w:val="DefaultParagraphFont"/>
    <w:uiPriority w:val="99"/>
    <w:semiHidden/>
    <w:unhideWhenUsed/>
    <w:rsid w:val="008F7D4F"/>
    <w:rPr>
      <w:sz w:val="16"/>
      <w:szCs w:val="16"/>
    </w:rPr>
  </w:style>
  <w:style w:type="character" w:styleId="Hyperlink">
    <w:name w:val="Hyperlink"/>
    <w:basedOn w:val="DefaultParagraphFont"/>
    <w:uiPriority w:val="99"/>
    <w:unhideWhenUsed/>
    <w:rsid w:val="008F7D4F"/>
    <w:rPr>
      <w:color w:val="467886" w:themeColor="hyperlink"/>
      <w:u w:val="single"/>
    </w:rPr>
  </w:style>
  <w:style w:type="paragraph" w:styleId="Bibliography">
    <w:name w:val="Bibliography"/>
    <w:basedOn w:val="Normal"/>
    <w:next w:val="Normal"/>
    <w:uiPriority w:val="37"/>
    <w:unhideWhenUsed/>
    <w:rsid w:val="00935EC2"/>
    <w:pPr>
      <w:spacing w:after="240" w:line="240" w:lineRule="auto"/>
      <w:ind w:left="720" w:hanging="720"/>
    </w:pPr>
  </w:style>
  <w:style w:type="paragraph" w:styleId="Footer">
    <w:name w:val="footer"/>
    <w:basedOn w:val="Normal"/>
    <w:link w:val="FooterChar"/>
    <w:uiPriority w:val="99"/>
    <w:unhideWhenUsed/>
    <w:rsid w:val="008E18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18D4"/>
  </w:style>
  <w:style w:type="character" w:styleId="PageNumber">
    <w:name w:val="page number"/>
    <w:basedOn w:val="DefaultParagraphFont"/>
    <w:uiPriority w:val="99"/>
    <w:semiHidden/>
    <w:unhideWhenUsed/>
    <w:rsid w:val="008E18D4"/>
  </w:style>
  <w:style w:type="character" w:styleId="LineNumber">
    <w:name w:val="line number"/>
    <w:basedOn w:val="DefaultParagraphFont"/>
    <w:uiPriority w:val="99"/>
    <w:semiHidden/>
    <w:unhideWhenUsed/>
    <w:rsid w:val="008E1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3050</Words>
  <Characters>20106</Characters>
  <Application>Microsoft Office Word</Application>
  <DocSecurity>0</DocSecurity>
  <Lines>365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Randazzo, Nina A. (GSFC-6101)[UNIV OF MARYLAND COLLEGE PARK]</dc:creator>
  <cp:keywords/>
  <dc:description/>
  <cp:lastModifiedBy>Randazzo, Nina A. (GSFC-6101)[UNIV OF MARYLAND COLLEGE PARK]</cp:lastModifiedBy>
  <cp:revision>6</cp:revision>
  <dcterms:created xsi:type="dcterms:W3CDTF">2026-02-27T20:02:00Z</dcterms:created>
  <dcterms:modified xsi:type="dcterms:W3CDTF">2026-03-07T00:47:00Z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zotero-version="6.0.29"&gt;&lt;session id="JNle1q9K"/&gt;&lt;style id="http://www.zotero.org/styles/springer-basic-author-date" hasBibliography="1" bibliographyStyleHasBeenSet="1"/&gt;&lt;prefs&gt;&lt;pref name="fieldType" value="Field"/&gt;&lt;/prefs&gt;&lt;/data&gt;</vt:lpwstr>
  </property>
  <property fmtid="{D5CDD505-2E9C-101B-9397-08002B2CF9AE}" pid="3" name="ZOTERO_PREF_2">
    <vt:lpwstr/>
  </property>
</Properties>
</file>