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66D3" w14:textId="3F01732A" w:rsidR="00A90881" w:rsidRPr="008611B7" w:rsidRDefault="00DA6A84">
      <w:pPr>
        <w:rPr>
          <w:rFonts w:ascii="Calibri" w:hAnsi="Calibri" w:cs="Calibri"/>
          <w:b/>
          <w:bCs/>
          <w:sz w:val="28"/>
          <w:szCs w:val="28"/>
        </w:rPr>
      </w:pPr>
      <w:r w:rsidRPr="008611B7">
        <w:rPr>
          <w:rFonts w:ascii="Calibri" w:hAnsi="Calibri" w:cs="Calibri"/>
          <w:b/>
          <w:bCs/>
          <w:sz w:val="28"/>
          <w:szCs w:val="28"/>
        </w:rPr>
        <w:t xml:space="preserve">Supplementary file </w:t>
      </w:r>
      <w:r w:rsidR="008611B7" w:rsidRPr="008611B7">
        <w:rPr>
          <w:rFonts w:ascii="Calibri" w:hAnsi="Calibri" w:cs="Calibri"/>
          <w:b/>
          <w:bCs/>
          <w:sz w:val="28"/>
          <w:szCs w:val="28"/>
        </w:rPr>
        <w:t>3</w:t>
      </w:r>
      <w:r w:rsidRPr="008611B7">
        <w:rPr>
          <w:rFonts w:ascii="Calibri" w:hAnsi="Calibri" w:cs="Calibri"/>
          <w:b/>
          <w:bCs/>
          <w:sz w:val="28"/>
          <w:szCs w:val="28"/>
        </w:rPr>
        <w:t xml:space="preserve">. </w:t>
      </w:r>
      <w:r w:rsidR="007267D7" w:rsidRPr="008611B7">
        <w:rPr>
          <w:rFonts w:ascii="Calibri" w:hAnsi="Calibri" w:cs="Calibri"/>
          <w:b/>
          <w:bCs/>
          <w:sz w:val="28"/>
          <w:szCs w:val="28"/>
        </w:rPr>
        <w:t>Draft</w:t>
      </w:r>
      <w:r w:rsidRPr="008611B7">
        <w:rPr>
          <w:rFonts w:ascii="Calibri" w:hAnsi="Calibri" w:cs="Calibri"/>
          <w:b/>
          <w:bCs/>
          <w:sz w:val="28"/>
          <w:szCs w:val="28"/>
        </w:rPr>
        <w:t xml:space="preserve"> Principles of Engagement</w:t>
      </w:r>
    </w:p>
    <w:p w14:paraId="4EA1CEA2" w14:textId="77777777" w:rsidR="00DA6A84" w:rsidRPr="00D72AC6" w:rsidRDefault="00DA6A84">
      <w:pPr>
        <w:rPr>
          <w:rFonts w:ascii="Calibri" w:hAnsi="Calibri" w:cs="Calibri"/>
        </w:rPr>
      </w:pPr>
    </w:p>
    <w:p w14:paraId="6C82BBD8" w14:textId="741FD738" w:rsidR="001D13A4" w:rsidRPr="001D13A4" w:rsidRDefault="001D13A4">
      <w:pPr>
        <w:rPr>
          <w:rFonts w:ascii="Calibri" w:hAnsi="Calibri" w:cs="Calibri"/>
        </w:rPr>
      </w:pPr>
      <w:r>
        <w:rPr>
          <w:rFonts w:ascii="Calibri" w:hAnsi="Calibri" w:cs="Calibri"/>
        </w:rPr>
        <w:t xml:space="preserve">The principles of engagement below were drafted by the research team following a systematic review and focus groups on the </w:t>
      </w:r>
      <w:r w:rsidR="00CB60E1">
        <w:rPr>
          <w:rFonts w:ascii="Calibri" w:hAnsi="Calibri" w:cs="Calibri"/>
        </w:rPr>
        <w:t xml:space="preserve">participation of Black women in health research. </w:t>
      </w:r>
      <w:r w:rsidR="00C23BBE">
        <w:rPr>
          <w:rFonts w:ascii="Calibri" w:hAnsi="Calibri" w:cs="Calibri"/>
        </w:rPr>
        <w:t>These draft principles of engagement</w:t>
      </w:r>
      <w:r w:rsidR="00CB60E1">
        <w:rPr>
          <w:rFonts w:ascii="Calibri" w:hAnsi="Calibri" w:cs="Calibri"/>
        </w:rPr>
        <w:t xml:space="preserve"> were then voted on, modified and refined during a series of consensus workshops. The final principles of engagement can be </w:t>
      </w:r>
      <w:r w:rsidR="00CB60E1" w:rsidRPr="008611B7">
        <w:rPr>
          <w:rFonts w:ascii="Calibri" w:hAnsi="Calibri" w:cs="Calibri"/>
        </w:rPr>
        <w:t xml:space="preserve">found in Box </w:t>
      </w:r>
      <w:r w:rsidR="008611B7" w:rsidRPr="008611B7">
        <w:rPr>
          <w:rFonts w:ascii="Calibri" w:hAnsi="Calibri" w:cs="Calibri"/>
        </w:rPr>
        <w:t>1</w:t>
      </w:r>
      <w:r w:rsidR="00CB60E1" w:rsidRPr="008611B7">
        <w:rPr>
          <w:rFonts w:ascii="Calibri" w:hAnsi="Calibri" w:cs="Calibri"/>
        </w:rPr>
        <w:t>.</w:t>
      </w:r>
    </w:p>
    <w:p w14:paraId="537E0E77" w14:textId="006ADD60" w:rsidR="00DA6A84" w:rsidRPr="00D72AC6" w:rsidRDefault="00DA6A84" w:rsidP="00DA6A84">
      <w:pPr>
        <w:pStyle w:val="ListParagraph"/>
        <w:numPr>
          <w:ilvl w:val="0"/>
          <w:numId w:val="9"/>
        </w:numPr>
        <w:rPr>
          <w:rFonts w:ascii="Calibri" w:hAnsi="Calibri" w:cs="Calibri"/>
          <w:b/>
          <w:bCs/>
        </w:rPr>
      </w:pPr>
      <w:r w:rsidRPr="00D72AC6">
        <w:rPr>
          <w:rFonts w:ascii="Calibri" w:hAnsi="Calibri" w:cs="Calibri"/>
          <w:b/>
          <w:bCs/>
        </w:rPr>
        <w:t xml:space="preserve">Build Trust Through Relationships and Respect </w:t>
      </w:r>
    </w:p>
    <w:p w14:paraId="25FDC55F" w14:textId="77777777" w:rsidR="00DA6A84" w:rsidRPr="00D72AC6" w:rsidRDefault="00DA6A84" w:rsidP="00DA6A84">
      <w:pPr>
        <w:pStyle w:val="ListParagraph"/>
        <w:numPr>
          <w:ilvl w:val="0"/>
          <w:numId w:val="10"/>
        </w:numPr>
        <w:rPr>
          <w:rFonts w:ascii="Calibri" w:hAnsi="Calibri" w:cs="Calibri"/>
        </w:rPr>
      </w:pPr>
      <w:r w:rsidRPr="00D72AC6">
        <w:rPr>
          <w:rFonts w:ascii="Calibri" w:hAnsi="Calibri" w:cs="Calibri"/>
        </w:rPr>
        <w:t>Draw upon existing relationships with trusted NHS and non-NHS maternity care providers in different healthcare settings. Work with them to provide information to women about the importance of research</w:t>
      </w:r>
      <w:r w:rsidRPr="00D72AC6">
        <w:rPr>
          <w:rFonts w:ascii="Calibri" w:hAnsi="Calibri" w:cs="Calibri"/>
          <w:i/>
          <w:iCs/>
        </w:rPr>
        <w:t xml:space="preserve">. </w:t>
      </w:r>
    </w:p>
    <w:p w14:paraId="138994B2" w14:textId="77777777" w:rsidR="00DA6A84" w:rsidRPr="00D72AC6" w:rsidRDefault="00DA6A84" w:rsidP="00DA6A84">
      <w:pPr>
        <w:pStyle w:val="ListParagraph"/>
        <w:numPr>
          <w:ilvl w:val="0"/>
          <w:numId w:val="10"/>
        </w:numPr>
        <w:rPr>
          <w:rFonts w:ascii="Calibri" w:hAnsi="Calibri" w:cs="Calibri"/>
        </w:rPr>
      </w:pPr>
      <w:r w:rsidRPr="00D72AC6">
        <w:rPr>
          <w:rFonts w:ascii="Calibri" w:hAnsi="Calibri" w:cs="Calibri"/>
        </w:rPr>
        <w:t xml:space="preserve">Create a positive environment and reduce pressures by considering the timing, tone and turf of the conversation. </w:t>
      </w:r>
    </w:p>
    <w:p w14:paraId="201A3992" w14:textId="77777777" w:rsidR="00DA6A84" w:rsidRPr="00D72AC6" w:rsidRDefault="00DA6A84" w:rsidP="00DA6A84">
      <w:pPr>
        <w:pStyle w:val="ListParagraph"/>
        <w:numPr>
          <w:ilvl w:val="0"/>
          <w:numId w:val="10"/>
        </w:numPr>
        <w:rPr>
          <w:rFonts w:ascii="Calibri" w:hAnsi="Calibri" w:cs="Calibri"/>
        </w:rPr>
      </w:pPr>
      <w:r w:rsidRPr="00D72AC6">
        <w:rPr>
          <w:rFonts w:ascii="Calibri" w:hAnsi="Calibri" w:cs="Calibri"/>
        </w:rPr>
        <w:t>Be patient and respectful in earning/rebuilding trust</w:t>
      </w:r>
      <w:r w:rsidRPr="00D72AC6">
        <w:rPr>
          <w:rFonts w:ascii="Calibri" w:hAnsi="Calibri" w:cs="Calibri"/>
          <w:i/>
          <w:iCs/>
        </w:rPr>
        <w:t xml:space="preserve">, </w:t>
      </w:r>
      <w:r w:rsidRPr="00D72AC6">
        <w:rPr>
          <w:rFonts w:ascii="Calibri" w:hAnsi="Calibri" w:cs="Calibri"/>
        </w:rPr>
        <w:t xml:space="preserve">this can strengthen trust over time. Actively work to earn, as opposed to assume, trust. </w:t>
      </w:r>
    </w:p>
    <w:p w14:paraId="291F65C4" w14:textId="77777777" w:rsidR="00DA6A84" w:rsidRPr="00DA6A84" w:rsidRDefault="00DA6A84" w:rsidP="00DA6A84">
      <w:pPr>
        <w:rPr>
          <w:rFonts w:ascii="Calibri" w:hAnsi="Calibri" w:cs="Calibri"/>
        </w:rPr>
      </w:pPr>
    </w:p>
    <w:p w14:paraId="348FCDDF" w14:textId="0E64D4F0" w:rsidR="00DA6A84" w:rsidRPr="00D72AC6" w:rsidRDefault="00DA6A84" w:rsidP="00DA6A84">
      <w:pPr>
        <w:pStyle w:val="ListParagraph"/>
        <w:numPr>
          <w:ilvl w:val="0"/>
          <w:numId w:val="9"/>
        </w:numPr>
        <w:rPr>
          <w:rFonts w:ascii="Calibri" w:hAnsi="Calibri" w:cs="Calibri"/>
          <w:b/>
          <w:bCs/>
        </w:rPr>
      </w:pPr>
      <w:r w:rsidRPr="00D72AC6">
        <w:rPr>
          <w:rFonts w:ascii="Calibri" w:hAnsi="Calibri" w:cs="Calibri"/>
          <w:b/>
          <w:bCs/>
        </w:rPr>
        <w:t xml:space="preserve">Strive for Cultural Sensitivity </w:t>
      </w:r>
    </w:p>
    <w:p w14:paraId="0BD9AA4C" w14:textId="77777777" w:rsidR="00DA6A84" w:rsidRPr="00D72AC6" w:rsidRDefault="00DA6A84" w:rsidP="00DA6A84">
      <w:pPr>
        <w:pStyle w:val="ListParagraph"/>
        <w:numPr>
          <w:ilvl w:val="0"/>
          <w:numId w:val="11"/>
        </w:numPr>
        <w:rPr>
          <w:rFonts w:ascii="Calibri" w:hAnsi="Calibri" w:cs="Calibri"/>
        </w:rPr>
      </w:pPr>
      <w:r w:rsidRPr="00D72AC6">
        <w:rPr>
          <w:rFonts w:ascii="Calibri" w:hAnsi="Calibri" w:cs="Calibri"/>
        </w:rPr>
        <w:t xml:space="preserve">Ensure RDTs receive formal training in inclusive research practices, ethical practices and cultural competency. </w:t>
      </w:r>
    </w:p>
    <w:p w14:paraId="3866E79F" w14:textId="77777777" w:rsidR="00DA6A84" w:rsidRPr="00D72AC6" w:rsidRDefault="00DA6A84" w:rsidP="00DA6A84">
      <w:pPr>
        <w:pStyle w:val="ListParagraph"/>
        <w:numPr>
          <w:ilvl w:val="0"/>
          <w:numId w:val="11"/>
        </w:numPr>
        <w:rPr>
          <w:rFonts w:ascii="Calibri" w:hAnsi="Calibri" w:cs="Calibri"/>
        </w:rPr>
      </w:pPr>
      <w:r w:rsidRPr="00D72AC6">
        <w:rPr>
          <w:rFonts w:ascii="Calibri" w:hAnsi="Calibri" w:cs="Calibri"/>
        </w:rPr>
        <w:t xml:space="preserve">Avoid treating Black women as a homogenous </w:t>
      </w:r>
      <w:proofErr w:type="gramStart"/>
      <w:r w:rsidRPr="00D72AC6">
        <w:rPr>
          <w:rFonts w:ascii="Calibri" w:hAnsi="Calibri" w:cs="Calibri"/>
        </w:rPr>
        <w:t>group;</w:t>
      </w:r>
      <w:proofErr w:type="gramEnd"/>
      <w:r w:rsidRPr="00D72AC6">
        <w:rPr>
          <w:rFonts w:ascii="Calibri" w:hAnsi="Calibri" w:cs="Calibri"/>
        </w:rPr>
        <w:t xml:space="preserve"> respect individual identities and experiences. </w:t>
      </w:r>
    </w:p>
    <w:p w14:paraId="5ED09993" w14:textId="77777777" w:rsidR="00DA6A84" w:rsidRPr="00D72AC6" w:rsidRDefault="00DA6A84" w:rsidP="00DA6A84">
      <w:pPr>
        <w:pStyle w:val="ListParagraph"/>
        <w:numPr>
          <w:ilvl w:val="0"/>
          <w:numId w:val="11"/>
        </w:numPr>
        <w:rPr>
          <w:rFonts w:ascii="Calibri" w:hAnsi="Calibri" w:cs="Calibri"/>
        </w:rPr>
      </w:pPr>
      <w:r w:rsidRPr="00D72AC6">
        <w:rPr>
          <w:rFonts w:ascii="Calibri" w:hAnsi="Calibri" w:cs="Calibri"/>
        </w:rPr>
        <w:t xml:space="preserve">Be present in communities before initiating research; visibility builds credibility and can also support cultural competency. </w:t>
      </w:r>
    </w:p>
    <w:p w14:paraId="03A07BF1" w14:textId="77777777" w:rsidR="00DA6A84" w:rsidRPr="00DA6A84" w:rsidRDefault="00DA6A84" w:rsidP="00DA6A84">
      <w:pPr>
        <w:rPr>
          <w:rFonts w:ascii="Calibri" w:hAnsi="Calibri" w:cs="Calibri"/>
        </w:rPr>
      </w:pPr>
    </w:p>
    <w:p w14:paraId="3EBF705E" w14:textId="40B74920" w:rsidR="00DA6A84" w:rsidRPr="00D72AC6" w:rsidRDefault="00DA6A84" w:rsidP="00DA6A84">
      <w:pPr>
        <w:pStyle w:val="ListParagraph"/>
        <w:numPr>
          <w:ilvl w:val="0"/>
          <w:numId w:val="9"/>
        </w:numPr>
        <w:rPr>
          <w:rFonts w:ascii="Calibri" w:hAnsi="Calibri" w:cs="Calibri"/>
          <w:b/>
          <w:bCs/>
        </w:rPr>
      </w:pPr>
      <w:r w:rsidRPr="00D72AC6">
        <w:rPr>
          <w:rFonts w:ascii="Calibri" w:hAnsi="Calibri" w:cs="Calibri"/>
          <w:b/>
          <w:bCs/>
        </w:rPr>
        <w:t xml:space="preserve">Communicate Clearly </w:t>
      </w:r>
    </w:p>
    <w:p w14:paraId="5146993E" w14:textId="77777777" w:rsidR="00DA6A84" w:rsidRPr="00D72AC6" w:rsidRDefault="00DA6A84" w:rsidP="00DA6A84">
      <w:pPr>
        <w:pStyle w:val="ListParagraph"/>
        <w:numPr>
          <w:ilvl w:val="0"/>
          <w:numId w:val="12"/>
        </w:numPr>
        <w:rPr>
          <w:rFonts w:ascii="Calibri" w:hAnsi="Calibri" w:cs="Calibri"/>
        </w:rPr>
      </w:pPr>
      <w:r w:rsidRPr="00D72AC6">
        <w:rPr>
          <w:rFonts w:ascii="Calibri" w:hAnsi="Calibri" w:cs="Calibri"/>
        </w:rPr>
        <w:t xml:space="preserve">Let women know that there are active research studies being undertaken in their place of care and that they might be approached to take part during their maternity journey. This can be via posters, the hospital website or in-person. </w:t>
      </w:r>
    </w:p>
    <w:p w14:paraId="3B425353" w14:textId="77777777" w:rsidR="00DA6A84" w:rsidRPr="00D72AC6" w:rsidRDefault="00DA6A84" w:rsidP="00DA6A84">
      <w:pPr>
        <w:pStyle w:val="ListParagraph"/>
        <w:numPr>
          <w:ilvl w:val="0"/>
          <w:numId w:val="12"/>
        </w:numPr>
        <w:rPr>
          <w:rFonts w:ascii="Calibri" w:hAnsi="Calibri" w:cs="Calibri"/>
        </w:rPr>
      </w:pPr>
      <w:r w:rsidRPr="00D72AC6">
        <w:rPr>
          <w:rFonts w:ascii="Calibri" w:hAnsi="Calibri" w:cs="Calibri"/>
        </w:rPr>
        <w:t xml:space="preserve">When recruiting for specific studies, provide information well in advance to allow time for reflection and decision-making. </w:t>
      </w:r>
    </w:p>
    <w:p w14:paraId="72DBAA0C" w14:textId="594B5D2C" w:rsidR="00DA6A84" w:rsidRPr="00D72AC6" w:rsidRDefault="00DA6A84" w:rsidP="00DA6A84">
      <w:pPr>
        <w:pStyle w:val="ListParagraph"/>
        <w:numPr>
          <w:ilvl w:val="0"/>
          <w:numId w:val="12"/>
        </w:numPr>
        <w:rPr>
          <w:rFonts w:ascii="Calibri" w:hAnsi="Calibri" w:cs="Calibri"/>
        </w:rPr>
      </w:pPr>
      <w:r w:rsidRPr="00D72AC6">
        <w:rPr>
          <w:rFonts w:ascii="Calibri" w:hAnsi="Calibri" w:cs="Calibri"/>
        </w:rPr>
        <w:t xml:space="preserve">Address language barriers proactively. Talk to the study team about creating recruitment materials that are clear, accessible and appropriate for the local population. Ensure interpreter services are accurate and culturally competent and make use of diversity and language skills within the wider healthcare team. </w:t>
      </w:r>
    </w:p>
    <w:p w14:paraId="70179514" w14:textId="77777777" w:rsidR="00DA6A84" w:rsidRDefault="00DA6A84" w:rsidP="00DA6A84">
      <w:pPr>
        <w:rPr>
          <w:rFonts w:ascii="Calibri" w:hAnsi="Calibri" w:cs="Calibri"/>
        </w:rPr>
      </w:pPr>
    </w:p>
    <w:p w14:paraId="35FE5518" w14:textId="77777777" w:rsidR="008611B7" w:rsidRDefault="008611B7" w:rsidP="00DA6A84">
      <w:pPr>
        <w:rPr>
          <w:rFonts w:ascii="Calibri" w:hAnsi="Calibri" w:cs="Calibri"/>
        </w:rPr>
      </w:pPr>
    </w:p>
    <w:p w14:paraId="7337A09D" w14:textId="77777777" w:rsidR="008611B7" w:rsidRPr="00DA6A84" w:rsidRDefault="008611B7" w:rsidP="00DA6A84">
      <w:pPr>
        <w:rPr>
          <w:rFonts w:ascii="Calibri" w:hAnsi="Calibri" w:cs="Calibri"/>
        </w:rPr>
      </w:pPr>
    </w:p>
    <w:p w14:paraId="53BF1F1E" w14:textId="52D0AC06" w:rsidR="00DA6A84" w:rsidRPr="00D72AC6" w:rsidRDefault="00DA6A84" w:rsidP="00DA6A84">
      <w:pPr>
        <w:pStyle w:val="ListParagraph"/>
        <w:numPr>
          <w:ilvl w:val="0"/>
          <w:numId w:val="9"/>
        </w:numPr>
        <w:rPr>
          <w:rFonts w:ascii="Calibri" w:hAnsi="Calibri" w:cs="Calibri"/>
          <w:b/>
          <w:bCs/>
        </w:rPr>
      </w:pPr>
      <w:r w:rsidRPr="00D72AC6">
        <w:rPr>
          <w:rFonts w:ascii="Calibri" w:hAnsi="Calibri" w:cs="Calibri"/>
          <w:b/>
          <w:bCs/>
        </w:rPr>
        <w:lastRenderedPageBreak/>
        <w:t xml:space="preserve">Empower Safe and Autonomous Decision-Making </w:t>
      </w:r>
    </w:p>
    <w:p w14:paraId="534699E5" w14:textId="77777777" w:rsidR="00DA6A84" w:rsidRPr="00D72AC6" w:rsidRDefault="00DA6A84" w:rsidP="00DA6A84">
      <w:pPr>
        <w:pStyle w:val="ListParagraph"/>
        <w:numPr>
          <w:ilvl w:val="0"/>
          <w:numId w:val="13"/>
        </w:numPr>
        <w:rPr>
          <w:rFonts w:ascii="Calibri" w:hAnsi="Calibri" w:cs="Calibri"/>
        </w:rPr>
      </w:pPr>
      <w:r w:rsidRPr="00D72AC6">
        <w:rPr>
          <w:rFonts w:ascii="Calibri" w:hAnsi="Calibri" w:cs="Calibri"/>
        </w:rPr>
        <w:t xml:space="preserve">Support health and research literacy to empower women to make informed choices without pressure or coercion. </w:t>
      </w:r>
    </w:p>
    <w:p w14:paraId="7D7F851A" w14:textId="77777777" w:rsidR="00DA6A84" w:rsidRPr="00D72AC6" w:rsidRDefault="00DA6A84" w:rsidP="00DA6A84">
      <w:pPr>
        <w:pStyle w:val="ListParagraph"/>
        <w:numPr>
          <w:ilvl w:val="0"/>
          <w:numId w:val="13"/>
        </w:numPr>
        <w:rPr>
          <w:rFonts w:ascii="Calibri" w:hAnsi="Calibri" w:cs="Calibri"/>
        </w:rPr>
      </w:pPr>
      <w:r w:rsidRPr="00D72AC6">
        <w:rPr>
          <w:rFonts w:ascii="Calibri" w:hAnsi="Calibri" w:cs="Calibri"/>
        </w:rPr>
        <w:t xml:space="preserve">Recognise and respect the influence of family, friends, and community in decision-making. </w:t>
      </w:r>
    </w:p>
    <w:p w14:paraId="6017642F" w14:textId="7531405F" w:rsidR="00DA6A84" w:rsidRPr="00D72AC6" w:rsidRDefault="00DA6A84" w:rsidP="00DA6A84">
      <w:pPr>
        <w:pStyle w:val="ListParagraph"/>
        <w:numPr>
          <w:ilvl w:val="0"/>
          <w:numId w:val="13"/>
        </w:numPr>
        <w:rPr>
          <w:rFonts w:ascii="Calibri" w:hAnsi="Calibri" w:cs="Calibri"/>
        </w:rPr>
      </w:pPr>
      <w:r w:rsidRPr="00D72AC6">
        <w:rPr>
          <w:rFonts w:ascii="Calibri" w:hAnsi="Calibri" w:cs="Calibri"/>
        </w:rPr>
        <w:t xml:space="preserve">Avoid assumptions about motivations; allow space for personal reflection and knowledge seeking. </w:t>
      </w:r>
    </w:p>
    <w:p w14:paraId="7C6B443A" w14:textId="77777777" w:rsidR="00DA6A84" w:rsidRPr="00DA6A84" w:rsidRDefault="00DA6A84" w:rsidP="00DA6A84">
      <w:pPr>
        <w:rPr>
          <w:rFonts w:ascii="Calibri" w:hAnsi="Calibri" w:cs="Calibri"/>
        </w:rPr>
      </w:pPr>
    </w:p>
    <w:p w14:paraId="3A255E28" w14:textId="219B03A6" w:rsidR="00DA6A84" w:rsidRPr="00D72AC6" w:rsidRDefault="00DA6A84" w:rsidP="00DA6A84">
      <w:pPr>
        <w:pStyle w:val="ListParagraph"/>
        <w:numPr>
          <w:ilvl w:val="0"/>
          <w:numId w:val="9"/>
        </w:numPr>
        <w:rPr>
          <w:rFonts w:ascii="Calibri" w:hAnsi="Calibri" w:cs="Calibri"/>
          <w:b/>
          <w:bCs/>
        </w:rPr>
      </w:pPr>
      <w:r w:rsidRPr="00D72AC6">
        <w:rPr>
          <w:rFonts w:ascii="Calibri" w:hAnsi="Calibri" w:cs="Calibri"/>
          <w:b/>
          <w:bCs/>
        </w:rPr>
        <w:t xml:space="preserve">Be Flexible and Creative in Recruitment </w:t>
      </w:r>
    </w:p>
    <w:p w14:paraId="4699EC63" w14:textId="77777777" w:rsidR="00DA6A84" w:rsidRPr="00D72AC6" w:rsidRDefault="00DA6A84" w:rsidP="00DA6A84">
      <w:pPr>
        <w:pStyle w:val="ListParagraph"/>
        <w:numPr>
          <w:ilvl w:val="0"/>
          <w:numId w:val="14"/>
        </w:numPr>
        <w:rPr>
          <w:rFonts w:ascii="Calibri" w:hAnsi="Calibri" w:cs="Calibri"/>
        </w:rPr>
      </w:pPr>
      <w:r w:rsidRPr="00D72AC6">
        <w:rPr>
          <w:rFonts w:ascii="Calibri" w:hAnsi="Calibri" w:cs="Calibri"/>
        </w:rPr>
        <w:t xml:space="preserve">Adapt recruitment strategies to meet women where they are—physically, emotionally, and culturally. </w:t>
      </w:r>
    </w:p>
    <w:p w14:paraId="1A0E7339" w14:textId="77777777" w:rsidR="00DA6A84" w:rsidRPr="00D72AC6" w:rsidRDefault="00DA6A84" w:rsidP="00DA6A84">
      <w:pPr>
        <w:pStyle w:val="ListParagraph"/>
        <w:numPr>
          <w:ilvl w:val="0"/>
          <w:numId w:val="14"/>
        </w:numPr>
        <w:rPr>
          <w:rFonts w:ascii="Calibri" w:hAnsi="Calibri" w:cs="Calibri"/>
        </w:rPr>
      </w:pPr>
      <w:r w:rsidRPr="00D72AC6">
        <w:rPr>
          <w:rFonts w:ascii="Calibri" w:hAnsi="Calibri" w:cs="Calibri"/>
        </w:rPr>
        <w:t xml:space="preserve">Collaborate with trusted community organisations to support recruitment and engagement. </w:t>
      </w:r>
    </w:p>
    <w:p w14:paraId="376722B5" w14:textId="77777777" w:rsidR="00DA6A84" w:rsidRPr="00D72AC6" w:rsidRDefault="00DA6A84" w:rsidP="00DA6A84">
      <w:pPr>
        <w:pStyle w:val="ListParagraph"/>
        <w:numPr>
          <w:ilvl w:val="0"/>
          <w:numId w:val="14"/>
        </w:numPr>
        <w:rPr>
          <w:rFonts w:ascii="Calibri" w:hAnsi="Calibri" w:cs="Calibri"/>
        </w:rPr>
      </w:pPr>
      <w:r w:rsidRPr="00D72AC6">
        <w:rPr>
          <w:rFonts w:ascii="Calibri" w:hAnsi="Calibri" w:cs="Calibri"/>
        </w:rPr>
        <w:t xml:space="preserve">Consider convenience and logistical barriers as central to engagement and offer flexible participation options where possible. </w:t>
      </w:r>
    </w:p>
    <w:p w14:paraId="0AAB3ACC" w14:textId="77777777" w:rsidR="00DA6A84" w:rsidRPr="00DA6A84" w:rsidRDefault="00DA6A84" w:rsidP="00DA6A84">
      <w:pPr>
        <w:rPr>
          <w:rFonts w:ascii="Calibri" w:hAnsi="Calibri" w:cs="Calibri"/>
        </w:rPr>
      </w:pPr>
    </w:p>
    <w:p w14:paraId="65FB4AB2" w14:textId="2E740CE8" w:rsidR="00DA6A84" w:rsidRPr="00D72AC6" w:rsidRDefault="00DA6A84" w:rsidP="00B04A97">
      <w:pPr>
        <w:pStyle w:val="ListParagraph"/>
        <w:numPr>
          <w:ilvl w:val="0"/>
          <w:numId w:val="9"/>
        </w:numPr>
        <w:rPr>
          <w:rFonts w:ascii="Calibri" w:hAnsi="Calibri" w:cs="Calibri"/>
          <w:b/>
          <w:bCs/>
        </w:rPr>
      </w:pPr>
      <w:r w:rsidRPr="00D72AC6">
        <w:rPr>
          <w:rFonts w:ascii="Calibri" w:hAnsi="Calibri" w:cs="Calibri"/>
          <w:b/>
          <w:bCs/>
        </w:rPr>
        <w:t xml:space="preserve">Acknowledge and Address Mistrust </w:t>
      </w:r>
    </w:p>
    <w:p w14:paraId="443DBDA3" w14:textId="77777777" w:rsidR="00B04A97" w:rsidRPr="00D72AC6" w:rsidRDefault="00DA6A84" w:rsidP="00B04A97">
      <w:pPr>
        <w:pStyle w:val="ListParagraph"/>
        <w:numPr>
          <w:ilvl w:val="0"/>
          <w:numId w:val="15"/>
        </w:numPr>
        <w:rPr>
          <w:rFonts w:ascii="Calibri" w:hAnsi="Calibri" w:cs="Calibri"/>
        </w:rPr>
      </w:pPr>
      <w:r w:rsidRPr="00D72AC6">
        <w:rPr>
          <w:rFonts w:ascii="Calibri" w:hAnsi="Calibri" w:cs="Calibri"/>
        </w:rPr>
        <w:t xml:space="preserve">Be clear and transparent about the purpose, risks, and benefits of research. </w:t>
      </w:r>
    </w:p>
    <w:p w14:paraId="1A928C73" w14:textId="77777777" w:rsidR="00B04A97" w:rsidRPr="00D72AC6" w:rsidRDefault="00DA6A84" w:rsidP="00B04A97">
      <w:pPr>
        <w:pStyle w:val="ListParagraph"/>
        <w:numPr>
          <w:ilvl w:val="0"/>
          <w:numId w:val="15"/>
        </w:numPr>
        <w:rPr>
          <w:rFonts w:ascii="Calibri" w:hAnsi="Calibri" w:cs="Calibri"/>
        </w:rPr>
      </w:pPr>
      <w:r w:rsidRPr="00D72AC6">
        <w:rPr>
          <w:rFonts w:ascii="Calibri" w:hAnsi="Calibri" w:cs="Calibri"/>
        </w:rPr>
        <w:t xml:space="preserve">Use examples and testimonials to show how research leads to real-world positive change. </w:t>
      </w:r>
    </w:p>
    <w:p w14:paraId="31DF3EBB" w14:textId="179A6E9F" w:rsidR="00DA6A84" w:rsidRPr="00D72AC6" w:rsidRDefault="00DA6A84" w:rsidP="00B04A97">
      <w:pPr>
        <w:pStyle w:val="ListParagraph"/>
        <w:numPr>
          <w:ilvl w:val="0"/>
          <w:numId w:val="15"/>
        </w:numPr>
        <w:rPr>
          <w:rFonts w:ascii="Calibri" w:hAnsi="Calibri" w:cs="Calibri"/>
        </w:rPr>
      </w:pPr>
      <w:r w:rsidRPr="00D72AC6">
        <w:rPr>
          <w:rFonts w:ascii="Calibri" w:hAnsi="Calibri" w:cs="Calibri"/>
        </w:rPr>
        <w:t xml:space="preserve">Directly open discussion and acknowledge any fears, for example relating to data misuse and confidentiality breaches. </w:t>
      </w:r>
    </w:p>
    <w:p w14:paraId="5C765690" w14:textId="77777777" w:rsidR="00DA6A84" w:rsidRPr="00DA6A84" w:rsidRDefault="00DA6A84" w:rsidP="00DA6A84">
      <w:pPr>
        <w:rPr>
          <w:rFonts w:ascii="Calibri" w:hAnsi="Calibri" w:cs="Calibri"/>
        </w:rPr>
      </w:pPr>
    </w:p>
    <w:p w14:paraId="42E3A8DB" w14:textId="7FABEEF4" w:rsidR="00DA6A84" w:rsidRPr="00D72AC6" w:rsidRDefault="00DA6A84" w:rsidP="00B04A97">
      <w:pPr>
        <w:pStyle w:val="ListParagraph"/>
        <w:numPr>
          <w:ilvl w:val="0"/>
          <w:numId w:val="9"/>
        </w:numPr>
        <w:rPr>
          <w:rFonts w:ascii="Calibri" w:hAnsi="Calibri" w:cs="Calibri"/>
          <w:b/>
          <w:bCs/>
        </w:rPr>
      </w:pPr>
      <w:r w:rsidRPr="00D72AC6">
        <w:rPr>
          <w:rFonts w:ascii="Calibri" w:hAnsi="Calibri" w:cs="Calibri"/>
          <w:b/>
          <w:bCs/>
        </w:rPr>
        <w:t xml:space="preserve">Value Women’s Contributions </w:t>
      </w:r>
    </w:p>
    <w:p w14:paraId="22517536" w14:textId="77777777" w:rsidR="00B04A97" w:rsidRPr="00D72AC6" w:rsidRDefault="00DA6A84" w:rsidP="00B04A97">
      <w:pPr>
        <w:pStyle w:val="ListParagraph"/>
        <w:numPr>
          <w:ilvl w:val="0"/>
          <w:numId w:val="16"/>
        </w:numPr>
        <w:rPr>
          <w:rFonts w:ascii="Calibri" w:hAnsi="Calibri" w:cs="Calibri"/>
        </w:rPr>
      </w:pPr>
      <w:r w:rsidRPr="00D72AC6">
        <w:rPr>
          <w:rFonts w:ascii="Calibri" w:hAnsi="Calibri" w:cs="Calibri"/>
        </w:rPr>
        <w:t xml:space="preserve">Recognise participation as a meaningful contribution to improving care. </w:t>
      </w:r>
    </w:p>
    <w:p w14:paraId="69198382" w14:textId="77777777" w:rsidR="00B04A97" w:rsidRPr="00D72AC6" w:rsidRDefault="00DA6A84" w:rsidP="00B04A97">
      <w:pPr>
        <w:pStyle w:val="ListParagraph"/>
        <w:numPr>
          <w:ilvl w:val="0"/>
          <w:numId w:val="16"/>
        </w:numPr>
        <w:rPr>
          <w:rFonts w:ascii="Calibri" w:hAnsi="Calibri" w:cs="Calibri"/>
        </w:rPr>
      </w:pPr>
      <w:r w:rsidRPr="00D72AC6">
        <w:rPr>
          <w:rFonts w:ascii="Calibri" w:hAnsi="Calibri" w:cs="Calibri"/>
        </w:rPr>
        <w:t xml:space="preserve">Offer appropriate incentives that reflect participants’ time and effort, as well as highlighting the wide range of non-financial benefits they could experience if they take part. </w:t>
      </w:r>
    </w:p>
    <w:p w14:paraId="2A254771" w14:textId="2692CEF0" w:rsidR="00DA6A84" w:rsidRPr="00D72AC6" w:rsidRDefault="00DA6A84" w:rsidP="00B04A97">
      <w:pPr>
        <w:pStyle w:val="ListParagraph"/>
        <w:numPr>
          <w:ilvl w:val="0"/>
          <w:numId w:val="16"/>
        </w:numPr>
        <w:rPr>
          <w:rFonts w:ascii="Calibri" w:hAnsi="Calibri" w:cs="Calibri"/>
        </w:rPr>
      </w:pPr>
      <w:r w:rsidRPr="00D72AC6">
        <w:rPr>
          <w:rFonts w:ascii="Calibri" w:hAnsi="Calibri" w:cs="Calibri"/>
        </w:rPr>
        <w:t xml:space="preserve">Emphasise the important role of Black women in shaping research. </w:t>
      </w:r>
    </w:p>
    <w:p w14:paraId="5D8BBE92" w14:textId="77777777" w:rsidR="00DA6A84" w:rsidRPr="00D72AC6" w:rsidRDefault="00DA6A84">
      <w:pPr>
        <w:rPr>
          <w:rFonts w:ascii="Calibri" w:hAnsi="Calibri" w:cs="Calibri"/>
          <w:b/>
          <w:bCs/>
          <w:u w:val="single"/>
        </w:rPr>
      </w:pPr>
    </w:p>
    <w:sectPr w:rsidR="00DA6A84" w:rsidRPr="00D72AC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E6F0" w14:textId="77777777" w:rsidR="00B6701B" w:rsidRDefault="00B6701B" w:rsidP="00B04A97">
      <w:pPr>
        <w:spacing w:after="0" w:line="240" w:lineRule="auto"/>
      </w:pPr>
      <w:r>
        <w:separator/>
      </w:r>
    </w:p>
  </w:endnote>
  <w:endnote w:type="continuationSeparator" w:id="0">
    <w:p w14:paraId="0B36BA4F" w14:textId="77777777" w:rsidR="00B6701B" w:rsidRDefault="00B6701B" w:rsidP="00B0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699741"/>
      <w:docPartObj>
        <w:docPartGallery w:val="Page Numbers (Bottom of Page)"/>
        <w:docPartUnique/>
      </w:docPartObj>
    </w:sdtPr>
    <w:sdtEndPr>
      <w:rPr>
        <w:noProof/>
      </w:rPr>
    </w:sdtEndPr>
    <w:sdtContent>
      <w:p w14:paraId="45C0B75D" w14:textId="5B32CCD2" w:rsidR="00B04A97" w:rsidRDefault="00B04A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5944B" w14:textId="77777777" w:rsidR="00B04A97" w:rsidRDefault="00B04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6359" w14:textId="77777777" w:rsidR="00B6701B" w:rsidRDefault="00B6701B" w:rsidP="00B04A97">
      <w:pPr>
        <w:spacing w:after="0" w:line="240" w:lineRule="auto"/>
      </w:pPr>
      <w:r>
        <w:separator/>
      </w:r>
    </w:p>
  </w:footnote>
  <w:footnote w:type="continuationSeparator" w:id="0">
    <w:p w14:paraId="13E4C48D" w14:textId="77777777" w:rsidR="00B6701B" w:rsidRDefault="00B6701B" w:rsidP="00B04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093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87C0C"/>
    <w:multiLevelType w:val="hybridMultilevel"/>
    <w:tmpl w:val="4DE2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D3D2A"/>
    <w:multiLevelType w:val="hybridMultilevel"/>
    <w:tmpl w:val="6382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4BC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B331D9"/>
    <w:multiLevelType w:val="hybridMultilevel"/>
    <w:tmpl w:val="84B8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6C0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184702"/>
    <w:multiLevelType w:val="hybridMultilevel"/>
    <w:tmpl w:val="996A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77239"/>
    <w:multiLevelType w:val="hybridMultilevel"/>
    <w:tmpl w:val="97C28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342308"/>
    <w:multiLevelType w:val="multilevel"/>
    <w:tmpl w:val="352A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276ED"/>
    <w:multiLevelType w:val="multilevel"/>
    <w:tmpl w:val="580A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B7934"/>
    <w:multiLevelType w:val="multilevel"/>
    <w:tmpl w:val="FED4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776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2C8B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0E42CA"/>
    <w:multiLevelType w:val="hybridMultilevel"/>
    <w:tmpl w:val="2EE0AC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AE29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272012"/>
    <w:multiLevelType w:val="multilevel"/>
    <w:tmpl w:val="26C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205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87A346D"/>
    <w:multiLevelType w:val="multilevel"/>
    <w:tmpl w:val="C8C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C49F2"/>
    <w:multiLevelType w:val="hybridMultilevel"/>
    <w:tmpl w:val="36F0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A7B70"/>
    <w:multiLevelType w:val="hybridMultilevel"/>
    <w:tmpl w:val="93DA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802B3"/>
    <w:multiLevelType w:val="hybridMultilevel"/>
    <w:tmpl w:val="73C4AB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2C82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32C67F0"/>
    <w:multiLevelType w:val="multilevel"/>
    <w:tmpl w:val="45BE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C152C8"/>
    <w:multiLevelType w:val="multilevel"/>
    <w:tmpl w:val="03A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FD273D"/>
    <w:multiLevelType w:val="hybridMultilevel"/>
    <w:tmpl w:val="158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494772">
    <w:abstractNumId w:val="0"/>
  </w:num>
  <w:num w:numId="2" w16cid:durableId="1267738109">
    <w:abstractNumId w:val="12"/>
  </w:num>
  <w:num w:numId="3" w16cid:durableId="125776887">
    <w:abstractNumId w:val="3"/>
  </w:num>
  <w:num w:numId="4" w16cid:durableId="945892697">
    <w:abstractNumId w:val="21"/>
  </w:num>
  <w:num w:numId="5" w16cid:durableId="1773626189">
    <w:abstractNumId w:val="11"/>
  </w:num>
  <w:num w:numId="6" w16cid:durableId="1477380947">
    <w:abstractNumId w:val="16"/>
  </w:num>
  <w:num w:numId="7" w16cid:durableId="563224509">
    <w:abstractNumId w:val="14"/>
  </w:num>
  <w:num w:numId="8" w16cid:durableId="1521891478">
    <w:abstractNumId w:val="5"/>
  </w:num>
  <w:num w:numId="9" w16cid:durableId="599728650">
    <w:abstractNumId w:val="7"/>
  </w:num>
  <w:num w:numId="10" w16cid:durableId="2018463435">
    <w:abstractNumId w:val="1"/>
  </w:num>
  <w:num w:numId="11" w16cid:durableId="705371981">
    <w:abstractNumId w:val="24"/>
  </w:num>
  <w:num w:numId="12" w16cid:durableId="990595461">
    <w:abstractNumId w:val="20"/>
  </w:num>
  <w:num w:numId="13" w16cid:durableId="1203134263">
    <w:abstractNumId w:val="2"/>
  </w:num>
  <w:num w:numId="14" w16cid:durableId="1595479054">
    <w:abstractNumId w:val="4"/>
  </w:num>
  <w:num w:numId="15" w16cid:durableId="1027825905">
    <w:abstractNumId w:val="19"/>
  </w:num>
  <w:num w:numId="16" w16cid:durableId="1997101107">
    <w:abstractNumId w:val="18"/>
  </w:num>
  <w:num w:numId="17" w16cid:durableId="530413587">
    <w:abstractNumId w:val="23"/>
  </w:num>
  <w:num w:numId="18" w16cid:durableId="1998218215">
    <w:abstractNumId w:val="15"/>
  </w:num>
  <w:num w:numId="19" w16cid:durableId="971863735">
    <w:abstractNumId w:val="22"/>
  </w:num>
  <w:num w:numId="20" w16cid:durableId="398796460">
    <w:abstractNumId w:val="8"/>
  </w:num>
  <w:num w:numId="21" w16cid:durableId="1561937087">
    <w:abstractNumId w:val="17"/>
  </w:num>
  <w:num w:numId="22" w16cid:durableId="788012741">
    <w:abstractNumId w:val="10"/>
  </w:num>
  <w:num w:numId="23" w16cid:durableId="1719084973">
    <w:abstractNumId w:val="9"/>
  </w:num>
  <w:num w:numId="24" w16cid:durableId="1806971383">
    <w:abstractNumId w:val="6"/>
  </w:num>
  <w:num w:numId="25" w16cid:durableId="13747697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84"/>
    <w:rsid w:val="001D13A4"/>
    <w:rsid w:val="003F24A7"/>
    <w:rsid w:val="004842F5"/>
    <w:rsid w:val="007267D7"/>
    <w:rsid w:val="008611B7"/>
    <w:rsid w:val="00A90881"/>
    <w:rsid w:val="00AC30A6"/>
    <w:rsid w:val="00B04A97"/>
    <w:rsid w:val="00B6701B"/>
    <w:rsid w:val="00B95CF9"/>
    <w:rsid w:val="00BC7E81"/>
    <w:rsid w:val="00C23BBE"/>
    <w:rsid w:val="00CB60E1"/>
    <w:rsid w:val="00D72AC6"/>
    <w:rsid w:val="00DA6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BE87"/>
  <w15:chartTrackingRefBased/>
  <w15:docId w15:val="{25B4D704-5734-4591-98DF-34C5B931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A84"/>
    <w:rPr>
      <w:rFonts w:eastAsiaTheme="majorEastAsia" w:cstheme="majorBidi"/>
      <w:color w:val="272727" w:themeColor="text1" w:themeTint="D8"/>
    </w:rPr>
  </w:style>
  <w:style w:type="paragraph" w:styleId="Title">
    <w:name w:val="Title"/>
    <w:basedOn w:val="Normal"/>
    <w:next w:val="Normal"/>
    <w:link w:val="TitleChar"/>
    <w:uiPriority w:val="10"/>
    <w:qFormat/>
    <w:rsid w:val="00DA6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A84"/>
    <w:pPr>
      <w:spacing w:before="160"/>
      <w:jc w:val="center"/>
    </w:pPr>
    <w:rPr>
      <w:i/>
      <w:iCs/>
      <w:color w:val="404040" w:themeColor="text1" w:themeTint="BF"/>
    </w:rPr>
  </w:style>
  <w:style w:type="character" w:customStyle="1" w:styleId="QuoteChar">
    <w:name w:val="Quote Char"/>
    <w:basedOn w:val="DefaultParagraphFont"/>
    <w:link w:val="Quote"/>
    <w:uiPriority w:val="29"/>
    <w:rsid w:val="00DA6A84"/>
    <w:rPr>
      <w:i/>
      <w:iCs/>
      <w:color w:val="404040" w:themeColor="text1" w:themeTint="BF"/>
    </w:rPr>
  </w:style>
  <w:style w:type="paragraph" w:styleId="ListParagraph">
    <w:name w:val="List Paragraph"/>
    <w:basedOn w:val="Normal"/>
    <w:uiPriority w:val="34"/>
    <w:qFormat/>
    <w:rsid w:val="00DA6A84"/>
    <w:pPr>
      <w:ind w:left="720"/>
      <w:contextualSpacing/>
    </w:pPr>
  </w:style>
  <w:style w:type="character" w:styleId="IntenseEmphasis">
    <w:name w:val="Intense Emphasis"/>
    <w:basedOn w:val="DefaultParagraphFont"/>
    <w:uiPriority w:val="21"/>
    <w:qFormat/>
    <w:rsid w:val="00DA6A84"/>
    <w:rPr>
      <w:i/>
      <w:iCs/>
      <w:color w:val="0F4761" w:themeColor="accent1" w:themeShade="BF"/>
    </w:rPr>
  </w:style>
  <w:style w:type="paragraph" w:styleId="IntenseQuote">
    <w:name w:val="Intense Quote"/>
    <w:basedOn w:val="Normal"/>
    <w:next w:val="Normal"/>
    <w:link w:val="IntenseQuoteChar"/>
    <w:uiPriority w:val="30"/>
    <w:qFormat/>
    <w:rsid w:val="00DA6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A84"/>
    <w:rPr>
      <w:i/>
      <w:iCs/>
      <w:color w:val="0F4761" w:themeColor="accent1" w:themeShade="BF"/>
    </w:rPr>
  </w:style>
  <w:style w:type="character" w:styleId="IntenseReference">
    <w:name w:val="Intense Reference"/>
    <w:basedOn w:val="DefaultParagraphFont"/>
    <w:uiPriority w:val="32"/>
    <w:qFormat/>
    <w:rsid w:val="00DA6A84"/>
    <w:rPr>
      <w:b/>
      <w:bCs/>
      <w:smallCaps/>
      <w:color w:val="0F4761" w:themeColor="accent1" w:themeShade="BF"/>
      <w:spacing w:val="5"/>
    </w:rPr>
  </w:style>
  <w:style w:type="paragraph" w:styleId="Header">
    <w:name w:val="header"/>
    <w:basedOn w:val="Normal"/>
    <w:link w:val="HeaderChar"/>
    <w:uiPriority w:val="99"/>
    <w:unhideWhenUsed/>
    <w:rsid w:val="00B04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A97"/>
  </w:style>
  <w:style w:type="paragraph" w:styleId="Footer">
    <w:name w:val="footer"/>
    <w:basedOn w:val="Normal"/>
    <w:link w:val="FooterChar"/>
    <w:uiPriority w:val="99"/>
    <w:unhideWhenUsed/>
    <w:rsid w:val="00B04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Clancy (staff)</dc:creator>
  <cp:keywords/>
  <dc:description/>
  <cp:lastModifiedBy>Georgia Clancy (staff)</cp:lastModifiedBy>
  <cp:revision>9</cp:revision>
  <dcterms:created xsi:type="dcterms:W3CDTF">2026-01-05T17:09:00Z</dcterms:created>
  <dcterms:modified xsi:type="dcterms:W3CDTF">2026-03-30T16:30:00Z</dcterms:modified>
</cp:coreProperties>
</file>